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71"/>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32"/>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32"/>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32"/>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32"/>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32"/>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71"/>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32"/>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32"/>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32"/>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32"/>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32"/>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32"/>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32"/>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32"/>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32"/>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32"/>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32"/>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32"/>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32"/>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53.9929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Market Overview block, 'Cement Domestic Sales' 53,992.9 K Tons, against the 54.0 previously carried on trade estimate. Read at the page's own precision rather than the chart's rounded 53.9, because the utilisation ratios below are differences of large numbers</w:t>
            </w:r>
          </w:p>
        </w:tc>
        <w:tc>
          <w:tcPr>
            <w:tcW w:type="dxa" w:w="1210"/>
          </w:tcPr>
          <w:p>
            <w:pPr>
              <w:spacing w:after="20"/>
            </w:pPr>
            <w:r>
              <w:rPr>
                <w:color w:val="1C3A36"/>
                <w:sz w:val="14"/>
              </w:rPr>
              <w:t>2026-03-01</w:t>
            </w:r>
          </w:p>
        </w:tc>
      </w:tr>
      <w:tr>
        <w:tc>
          <w:tcPr>
            <w:tcW w:type="dxa" w:w="432"/>
          </w:tcPr>
          <w:p>
            <w:pPr>
              <w:spacing w:after="20"/>
            </w:pPr>
            <w:r>
              <w:rPr>
                <w:color w:val="1C3A36"/>
                <w:sz w:val="14"/>
              </w:rPr>
              <w:t>59</w:t>
            </w:r>
          </w:p>
        </w:tc>
        <w:tc>
          <w:tcPr>
            <w:tcW w:type="dxa" w:w="2448"/>
          </w:tcPr>
          <w:p>
            <w:pPr>
              <w:spacing w:after="20"/>
            </w:pPr>
            <w:r>
              <w:rPr>
                <w:color w:val="1C3A36"/>
                <w:sz w:val="14"/>
              </w:rPr>
              <w:t>egy_exports_cement_mt</w:t>
            </w:r>
          </w:p>
        </w:tc>
        <w:tc>
          <w:tcPr>
            <w:tcW w:type="dxa" w:w="1325"/>
          </w:tcPr>
          <w:p>
            <w:pPr>
              <w:spacing w:after="20"/>
            </w:pPr>
            <w:r>
              <w:rPr>
                <w:color w:val="1C3A36"/>
                <w:sz w:val="14"/>
              </w:rPr>
              <w:t>11.063</w:t>
            </w:r>
          </w:p>
        </w:tc>
        <w:tc>
          <w:tcPr>
            <w:tcW w:type="dxa" w:w="1066"/>
          </w:tcPr>
          <w:p>
            <w:pPr>
              <w:spacing w:after="20"/>
            </w:pPr>
            <w:r>
              <w:rPr>
                <w:color w:val="1C3A36"/>
                <w:sz w:val="14"/>
              </w:rPr>
              <w:t>Company</w:t>
            </w:r>
          </w:p>
        </w:tc>
        <w:tc>
          <w:tcPr>
            <w:tcW w:type="dxa" w:w="7171"/>
          </w:tcPr>
          <w:p>
            <w:pPr>
              <w:spacing w:after="20"/>
            </w:pPr>
            <w:r>
              <w:rPr>
                <w:color w:val="1C3A36"/>
                <w:sz w:val="14"/>
              </w:rPr>
              <w:t>Egyptian CEMENT export sales 2025. FY2025 Investor Presentation, Arabian Cement Company S.A.E., investor relations library, page 5 (sales volumes and production indicators), Market Overview block, 'Cement Export Sales' 11,063.0 K Tons (FY2024: 7,561.7, up 46%)</w:t>
            </w:r>
          </w:p>
        </w:tc>
        <w:tc>
          <w:tcPr>
            <w:tcW w:type="dxa" w:w="1210"/>
          </w:tcPr>
          <w:p>
            <w:pPr>
              <w:spacing w:after="20"/>
            </w:pPr>
            <w:r>
              <w:rPr>
                <w:color w:val="1C3A36"/>
                <w:sz w:val="14"/>
              </w:rPr>
              <w:t>2026-03-01</w:t>
            </w:r>
          </w:p>
        </w:tc>
      </w:tr>
      <w:tr>
        <w:tc>
          <w:tcPr>
            <w:tcW w:type="dxa" w:w="432"/>
          </w:tcPr>
          <w:p>
            <w:pPr>
              <w:spacing w:after="20"/>
            </w:pPr>
            <w:r>
              <w:rPr>
                <w:color w:val="1C3A36"/>
                <w:sz w:val="14"/>
              </w:rPr>
              <w:t>60</w:t>
            </w:r>
          </w:p>
        </w:tc>
        <w:tc>
          <w:tcPr>
            <w:tcW w:type="dxa" w:w="2448"/>
          </w:tcPr>
          <w:p>
            <w:pPr>
              <w:spacing w:after="20"/>
            </w:pPr>
            <w:r>
              <w:rPr>
                <w:color w:val="1C3A36"/>
                <w:sz w:val="14"/>
              </w:rPr>
              <w:t>egy_exports_clinker_mt</w:t>
            </w:r>
          </w:p>
        </w:tc>
        <w:tc>
          <w:tcPr>
            <w:tcW w:type="dxa" w:w="1325"/>
          </w:tcPr>
          <w:p>
            <w:pPr>
              <w:spacing w:after="20"/>
            </w:pPr>
            <w:r>
              <w:rPr>
                <w:color w:val="1C3A36"/>
                <w:sz w:val="14"/>
              </w:rPr>
              <w:t>7.5689</w:t>
            </w:r>
          </w:p>
        </w:tc>
        <w:tc>
          <w:tcPr>
            <w:tcW w:type="dxa" w:w="1066"/>
          </w:tcPr>
          <w:p>
            <w:pPr>
              <w:spacing w:after="20"/>
            </w:pPr>
            <w:r>
              <w:rPr>
                <w:color w:val="1C3A36"/>
                <w:sz w:val="14"/>
              </w:rPr>
              <w:t>Company</w:t>
            </w:r>
          </w:p>
        </w:tc>
        <w:tc>
          <w:tcPr>
            <w:tcW w:type="dxa" w:w="7171"/>
          </w:tcPr>
          <w:p>
            <w:pPr>
              <w:spacing w:after="20"/>
            </w:pPr>
            <w:r>
              <w:rPr>
                <w:color w:val="1C3A36"/>
                <w:sz w:val="14"/>
              </w:rPr>
              <w:t>Egyptian CLINKER export sales 2025. FY2025 Investor Presentation, Arabian Cement Company S.A.E., investor relations library, page 5 (sales volumes and production indicators), Market Overview block, 'Clinker Export Sales' 7,568.9 K Tons (FY2024: 12,241.4, down 38%). Leaves at the kiln, never enters a cement mill, and is therefore NOT in the cement-basis utilisation ratio</w:t>
            </w:r>
          </w:p>
        </w:tc>
        <w:tc>
          <w:tcPr>
            <w:tcW w:type="dxa" w:w="1210"/>
          </w:tcPr>
          <w:p>
            <w:pPr>
              <w:spacing w:after="20"/>
            </w:pPr>
            <w:r>
              <w:rPr>
                <w:color w:val="1C3A36"/>
                <w:sz w:val="14"/>
              </w:rPr>
              <w:t>2026-03-01</w:t>
            </w:r>
          </w:p>
        </w:tc>
      </w:tr>
      <w:tr>
        <w:tc>
          <w:tcPr>
            <w:tcW w:type="dxa" w:w="432"/>
          </w:tcPr>
          <w:p>
            <w:pPr>
              <w:spacing w:after="20"/>
            </w:pPr>
            <w:r>
              <w:rPr>
                <w:color w:val="1C3A36"/>
                <w:sz w:val="14"/>
              </w:rPr>
              <w:t>61</w:t>
            </w:r>
          </w:p>
        </w:tc>
        <w:tc>
          <w:tcPr>
            <w:tcW w:type="dxa" w:w="2448"/>
          </w:tcPr>
          <w:p>
            <w:pPr>
              <w:spacing w:after="20"/>
            </w:pPr>
            <w:r>
              <w:rPr>
                <w:color w:val="1C3A36"/>
                <w:sz w:val="14"/>
              </w:rPr>
              <w:t>egy_exports_mt</w:t>
            </w:r>
          </w:p>
        </w:tc>
        <w:tc>
          <w:tcPr>
            <w:tcW w:type="dxa" w:w="1325"/>
          </w:tcPr>
          <w:p>
            <w:pPr>
              <w:spacing w:after="20"/>
            </w:pPr>
            <w:r>
              <w:rPr>
                <w:color w:val="1C3A36"/>
                <w:sz w:val="14"/>
              </w:rPr>
              <w:t>18.6319</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Market Overview block, 'Total Export Sales' 18,631.9 K Tons. THE TWO PRODUCTS ARE REPORTED TOGETHER AND THE SAME PAGE SPLITS THEM, which is why the earlier balance failed: it set a cement-plus-clinker export figure against a cement-only production figure. The split is now carried in the two inputs below rather than left folded up here, because a utilisation ratio built on this line has the same defect</w:t>
            </w:r>
          </w:p>
        </w:tc>
        <w:tc>
          <w:tcPr>
            <w:tcW w:type="dxa" w:w="1210"/>
          </w:tcPr>
          <w:p>
            <w:pPr>
              <w:spacing w:after="20"/>
            </w:pPr>
            <w:r>
              <w:rPr>
                <w:color w:val="1C3A36"/>
                <w:sz w:val="14"/>
              </w:rPr>
              <w:t>2026-03-01</w:t>
            </w:r>
          </w:p>
        </w:tc>
      </w:tr>
      <w:tr>
        <w:tc>
          <w:tcPr>
            <w:tcW w:type="dxa" w:w="432"/>
          </w:tcPr>
          <w:p>
            <w:pPr>
              <w:spacing w:after="20"/>
            </w:pPr>
            <w:r>
              <w:rPr>
                <w:color w:val="1C3A36"/>
                <w:sz w:val="14"/>
              </w:rPr>
              <w:t>62</w:t>
            </w:r>
          </w:p>
        </w:tc>
        <w:tc>
          <w:tcPr>
            <w:tcW w:type="dxa" w:w="2448"/>
          </w:tcPr>
          <w:p>
            <w:pPr>
              <w:spacing w:after="20"/>
            </w:pPr>
            <w:r>
              <w:rPr>
                <w:color w:val="1C3A36"/>
                <w:sz w:val="14"/>
              </w:rPr>
              <w:t>egy_prod_mt</w:t>
            </w:r>
          </w:p>
        </w:tc>
        <w:tc>
          <w:tcPr>
            <w:tcW w:type="dxa" w:w="1325"/>
          </w:tcPr>
          <w:p>
            <w:pPr>
              <w:spacing w:after="20"/>
            </w:pPr>
            <w:r>
              <w:rPr>
                <w:color w:val="1C3A36"/>
                <w:sz w:val="14"/>
              </w:rPr>
              <w:t>72.6248</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gives domestic cement 53,992.9, cement exports 11,063.0 and clinker exports 7,568.9 K Tons. Revisions 1 to 4 carried 65.0Mt as 'production' against exports of 18.5Mt and consumption of 54Mt, a balance that does not close: 65 less 54 is 11Mt, not 18.5. THE 65Mt THEY DISCARDED WAS THE RIGHT CEMENT-BASIS NUMBER and the balance failed because the two figures were on different bases, not because either was wrong. This total is the all-product one and it is NOT the numerator of a cement utilisation ratio</w:t>
            </w:r>
          </w:p>
        </w:tc>
        <w:tc>
          <w:tcPr>
            <w:tcW w:type="dxa" w:w="1210"/>
          </w:tcPr>
          <w:p>
            <w:pPr>
              <w:spacing w:after="20"/>
            </w:pPr>
            <w:r>
              <w:rPr>
                <w:color w:val="1C3A36"/>
                <w:sz w:val="14"/>
              </w:rPr>
              <w:t>2026-03-01</w:t>
            </w:r>
          </w:p>
        </w:tc>
      </w:tr>
      <w:tr>
        <w:tc>
          <w:tcPr>
            <w:tcW w:type="dxa" w:w="432"/>
          </w:tcPr>
          <w:p>
            <w:pPr>
              <w:spacing w:after="20"/>
            </w:pPr>
            <w:r>
              <w:rPr>
                <w:color w:val="1C3A36"/>
                <w:sz w:val="14"/>
              </w:rPr>
              <w:t>63</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64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65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66</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67</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68</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69</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70</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32"/>
          </w:tcPr>
          <w:p>
            <w:pPr>
              <w:spacing w:after="20"/>
            </w:pPr>
            <w:r>
              <w:rPr>
                <w:color w:val="1C3A36"/>
                <w:sz w:val="14"/>
              </w:rPr>
              <w:t>71</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32"/>
          </w:tcPr>
          <w:p>
            <w:pPr>
              <w:spacing w:after="20"/>
            </w:pPr>
            <w:r>
              <w:rPr>
                <w:color w:val="1C3A36"/>
                <w:sz w:val="14"/>
              </w:rPr>
              <w:t>72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73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74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75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76</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32"/>
          </w:tcPr>
          <w:p>
            <w:pPr>
              <w:spacing w:after="20"/>
            </w:pPr>
            <w:r>
              <w:rPr>
                <w:color w:val="1C3A36"/>
                <w:sz w:val="14"/>
              </w:rPr>
              <w:t>77</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78</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79</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80</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81</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32"/>
          </w:tcPr>
          <w:p>
            <w:pPr>
              <w:spacing w:after="20"/>
            </w:pPr>
            <w:r>
              <w:rPr>
                <w:color w:val="1C3A36"/>
                <w:sz w:val="14"/>
              </w:rPr>
              <w:t>82</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83</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84</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85</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86</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87</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32"/>
          </w:tcPr>
          <w:p>
            <w:pPr>
              <w:spacing w:after="20"/>
            </w:pPr>
            <w:r>
              <w:rPr>
                <w:color w:val="1C3A36"/>
                <w:sz w:val="14"/>
              </w:rPr>
              <w:t>88</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32"/>
          </w:tcPr>
          <w:p>
            <w:pPr>
              <w:spacing w:after="20"/>
            </w:pPr>
            <w:r>
              <w:rPr>
                <w:color w:val="1C3A36"/>
                <w:sz w:val="14"/>
              </w:rPr>
              <w:t>89</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90</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32"/>
          </w:tcPr>
          <w:p>
            <w:pPr>
              <w:spacing w:after="20"/>
            </w:pPr>
            <w:r>
              <w:rPr>
                <w:color w:val="1C3A36"/>
                <w:sz w:val="14"/>
              </w:rPr>
              <w:t>91</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92</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32"/>
          </w:tcPr>
          <w:p>
            <w:pPr>
              <w:spacing w:after="20"/>
            </w:pPr>
            <w:r>
              <w:rPr>
                <w:color w:val="1C3A36"/>
                <w:sz w:val="14"/>
              </w:rPr>
              <w:t>93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94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95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96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97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98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99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100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101</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32"/>
          </w:tcPr>
          <w:p>
            <w:pPr>
              <w:spacing w:after="20"/>
            </w:pPr>
            <w:r>
              <w:rPr>
                <w:color w:val="1C3A36"/>
                <w:sz w:val="14"/>
              </w:rPr>
              <w:t>102</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103</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104</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32"/>
          </w:tcPr>
          <w:p>
            <w:pPr>
              <w:spacing w:after="20"/>
            </w:pPr>
            <w:r>
              <w:rPr>
                <w:color w:val="1C3A36"/>
                <w:sz w:val="14"/>
              </w:rPr>
              <w:t>105</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32"/>
          </w:tcPr>
          <w:p>
            <w:pPr>
              <w:spacing w:after="20"/>
            </w:pPr>
            <w:r>
              <w:rPr>
                <w:color w:val="1C3A36"/>
                <w:sz w:val="14"/>
              </w:rPr>
              <w:t>106</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107</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108</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109</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110</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32"/>
          </w:tcPr>
          <w:p>
            <w:pPr>
              <w:spacing w:after="20"/>
            </w:pPr>
            <w:r>
              <w:rPr>
                <w:color w:val="1C3A36"/>
                <w:sz w:val="14"/>
              </w:rPr>
              <w:t>111</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112</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113</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114</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115</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32"/>
          </w:tcPr>
          <w:p>
            <w:pPr>
              <w:spacing w:after="20"/>
            </w:pPr>
            <w:r>
              <w:rPr>
                <w:color w:val="1C3A36"/>
                <w:sz w:val="14"/>
              </w:rPr>
              <w:t>116</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117</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118</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119</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120</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121</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122</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32"/>
          </w:tcPr>
          <w:p>
            <w:pPr>
              <w:spacing w:after="20"/>
            </w:pPr>
            <w:r>
              <w:rPr>
                <w:color w:val="1C3A36"/>
                <w:sz w:val="14"/>
              </w:rPr>
              <w:t>123</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124</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125</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126</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32"/>
          </w:tcPr>
          <w:p>
            <w:pPr>
              <w:spacing w:after="20"/>
            </w:pPr>
            <w:r>
              <w:rPr>
                <w:color w:val="1C3A36"/>
                <w:sz w:val="14"/>
              </w:rPr>
              <w:t>127</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128</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129</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32"/>
          </w:tcPr>
          <w:p>
            <w:pPr>
              <w:spacing w:after="20"/>
            </w:pPr>
            <w:r>
              <w:rPr>
                <w:color w:val="1C3A36"/>
                <w:sz w:val="14"/>
              </w:rPr>
              <w:t>130</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131</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132</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133</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32"/>
          </w:tcPr>
          <w:p>
            <w:pPr>
              <w:spacing w:after="20"/>
            </w:pPr>
            <w:r>
              <w:rPr>
                <w:color w:val="1C3A36"/>
                <w:sz w:val="14"/>
              </w:rPr>
              <w:t>134</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32"/>
          </w:tcPr>
          <w:p>
            <w:pPr>
              <w:spacing w:after="20"/>
            </w:pPr>
            <w:r>
              <w:rPr>
                <w:color w:val="1C3A36"/>
                <w:sz w:val="14"/>
              </w:rPr>
              <w:t>135</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136</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137</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138</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32"/>
          </w:tcPr>
          <w:p>
            <w:pPr>
              <w:spacing w:after="20"/>
            </w:pPr>
            <w:r>
              <w:rPr>
                <w:color w:val="1C3A36"/>
                <w:sz w:val="14"/>
              </w:rPr>
              <w:t>139</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32"/>
          </w:tcPr>
          <w:p>
            <w:pPr>
              <w:spacing w:after="20"/>
            </w:pPr>
            <w:r>
              <w:rPr>
                <w:color w:val="1C3A36"/>
                <w:sz w:val="14"/>
              </w:rPr>
              <w:t>140</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141</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142</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32"/>
          </w:tcPr>
          <w:p>
            <w:pPr>
              <w:spacing w:after="20"/>
            </w:pPr>
            <w:r>
              <w:rPr>
                <w:color w:val="1C3A36"/>
                <w:sz w:val="14"/>
              </w:rPr>
              <w:t>143</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144</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145</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146</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147</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148</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149</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150</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151</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152</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153</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154</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155</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156</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157</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158</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159</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160</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32"/>
          </w:tcPr>
          <w:p>
            <w:pPr>
              <w:spacing w:after="20"/>
            </w:pPr>
            <w:r>
              <w:rPr>
                <w:color w:val="1C3A36"/>
                <w:sz w:val="14"/>
              </w:rPr>
              <w:t>161</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162</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163</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164</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165</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166</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167</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168</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169</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170</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171</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172</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173</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174</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175</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176</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177</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178</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171"/>
          </w:tcPr>
          <w:p>
            <w:pPr>
              <w:spacing w:after="20"/>
            </w:pPr>
            <w:r>
              <w:rPr>
                <w:color w:val="1C3A36"/>
                <w:sz w:val="14"/>
              </w:rPr>
              <w:t>Egypt total equity risk premium on the RATING basis, same file, same row, column 'Total Equity Risk Premium'. The CDS basis adopted here gives 9.41%; this is the published alternative and it is 4.53 points higher, so adopting it would RAISE the discount rate and LOWER the value. Priced in section 1.4 rather than left unstated</w:t>
            </w:r>
          </w:p>
        </w:tc>
        <w:tc>
          <w:tcPr>
            <w:tcW w:type="dxa" w:w="1210"/>
          </w:tcPr>
          <w:p>
            <w:pPr>
              <w:spacing w:after="20"/>
            </w:pPr>
            <w:r>
              <w:rPr>
                <w:color w:val="1C3A36"/>
                <w:sz w:val="14"/>
              </w:rPr>
              <w:t>2026-01-05</w:t>
            </w:r>
          </w:p>
        </w:tc>
      </w:tr>
      <w:tr>
        <w:tc>
          <w:tcPr>
            <w:tcW w:type="dxa" w:w="432"/>
          </w:tcPr>
          <w:p>
            <w:pPr>
              <w:spacing w:after="20"/>
            </w:pPr>
            <w:r>
              <w:rPr>
                <w:color w:val="1C3A36"/>
                <w:sz w:val="14"/>
              </w:rPr>
              <w:t>179</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180</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181</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71"/>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32"/>
          </w:tcPr>
          <w:p>
            <w:pPr>
              <w:spacing w:after="20"/>
            </w:pPr>
            <w:r>
              <w:rPr>
                <w:color w:val="1C3A36"/>
                <w:sz w:val="14"/>
              </w:rPr>
              <w:t>182</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183</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71"/>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32"/>
          </w:tcPr>
          <w:p>
            <w:pPr>
              <w:spacing w:after="20"/>
            </w:pPr>
            <w:r>
              <w:rPr>
                <w:color w:val="1C3A36"/>
                <w:sz w:val="14"/>
              </w:rPr>
              <w:t>184</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71"/>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32"/>
          </w:tcPr>
          <w:p>
            <w:pPr>
              <w:spacing w:after="20"/>
            </w:pPr>
            <w:r>
              <w:rPr>
                <w:color w:val="1C3A36"/>
                <w:sz w:val="14"/>
              </w:rPr>
              <w:t>185</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186</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171"/>
          </w:tcPr>
          <w:p>
            <w:pPr>
              <w:spacing w:after="20"/>
            </w:pPr>
            <w:r>
              <w:rPr>
                <w:color w:val="1C3A36"/>
                <w:sz w:val="14"/>
              </w:rPr>
              <w:t>Egypt rating-based sovereign default spread (Moody's Caa1), Damodaran January-2026 country risk file, sheet 'ERPs by country', Egypt row, column 'Rating-based Default Spread'. The ALTERNATIVE to the CDS spread this study adopts, published in the same row of the same file</w:t>
            </w:r>
          </w:p>
        </w:tc>
        <w:tc>
          <w:tcPr>
            <w:tcW w:type="dxa" w:w="1210"/>
          </w:tcPr>
          <w:p>
            <w:pPr>
              <w:spacing w:after="20"/>
            </w:pPr>
            <w:r>
              <w:rPr>
                <w:color w:val="1C3A36"/>
                <w:sz w:val="14"/>
              </w:rPr>
              <w:t>2026-01-05</w:t>
            </w:r>
          </w:p>
        </w:tc>
      </w:tr>
      <w:tr>
        <w:tc>
          <w:tcPr>
            <w:tcW w:type="dxa" w:w="432"/>
          </w:tcPr>
          <w:p>
            <w:pPr>
              <w:spacing w:after="20"/>
            </w:pPr>
            <w:r>
              <w:rPr>
                <w:color w:val="1C3A36"/>
                <w:sz w:val="14"/>
              </w:rPr>
              <w:t>187</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188</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189</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190</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71"/>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32"/>
          </w:tcPr>
          <w:p>
            <w:pPr>
              <w:spacing w:after="20"/>
            </w:pPr>
            <w:r>
              <w:rPr>
                <w:color w:val="1C3A36"/>
                <w:sz w:val="14"/>
              </w:rPr>
              <w:t>191</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192</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71"/>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193</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71"/>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194</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71"/>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32"/>
          </w:tcPr>
          <w:p>
            <w:pPr>
              <w:spacing w:after="20"/>
            </w:pPr>
            <w:r>
              <w:rPr>
                <w:color w:val="1C3A36"/>
                <w:sz w:val="14"/>
              </w:rPr>
              <w:t>195</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196</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197</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198</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199</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200</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201</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202</w:t>
            </w:r>
          </w:p>
        </w:tc>
        <w:tc>
          <w:tcPr>
            <w:tcW w:type="dxa" w:w="2448"/>
          </w:tcPr>
          <w:p>
            <w:pPr>
              <w:spacing w:after="20"/>
            </w:pPr>
            <w:r>
              <w:rPr>
                <w:color w:val="1C3A36"/>
                <w:sz w:val="14"/>
              </w:rPr>
              <w:t>nci_v1</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71"/>
          </w:tcPr>
          <w:p>
            <w:pPr>
              <w:spacing w:after="20"/>
            </w:pPr>
            <w:r>
              <w:rPr>
                <w:color w:val="1C3A36"/>
                <w:sz w:val="14"/>
              </w:rPr>
              <w:t>The non-controlling interest revision 1 of this study deducted, inferred from the profit statements when no source document could be opened. THIS MODEL CANNOT COMPUTE IT — a different model produced it — so it is registered as the historical fact it is rather than typed into a builder, the same disposition central_pre_rebuild takes. Note 24 of the audited accounts puts the real figure at EGP 158,005.</w:t>
            </w:r>
          </w:p>
        </w:tc>
        <w:tc>
          <w:tcPr>
            <w:tcW w:type="dxa" w:w="1210"/>
          </w:tcPr>
          <w:p>
            <w:pPr>
              <w:spacing w:after="20"/>
            </w:pPr>
            <w:r>
              <w:rPr>
                <w:color w:val="1C3A36"/>
                <w:sz w:val="14"/>
              </w:rPr>
              <w:t>2026-08-06</w:t>
            </w:r>
          </w:p>
        </w:tc>
      </w:tr>
      <w:tr>
        <w:tc>
          <w:tcPr>
            <w:tcW w:type="dxa" w:w="432"/>
          </w:tcPr>
          <w:p>
            <w:pPr>
              <w:spacing w:after="20"/>
            </w:pPr>
            <w:r>
              <w:rPr>
                <w:color w:val="1C3A36"/>
                <w:sz w:val="14"/>
              </w:rPr>
              <w:t>203</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204</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205</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206</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207</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71"/>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32"/>
          </w:tcPr>
          <w:p>
            <w:pPr>
              <w:spacing w:after="20"/>
            </w:pPr>
            <w:r>
              <w:rPr>
                <w:color w:val="1C3A36"/>
                <w:sz w:val="14"/>
              </w:rPr>
              <w:t>208</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209</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32"/>
          </w:tcPr>
          <w:p>
            <w:pPr>
              <w:spacing w:after="20"/>
            </w:pPr>
            <w:r>
              <w:rPr>
                <w:color w:val="1C3A36"/>
                <w:sz w:val="14"/>
              </w:rPr>
              <w:t>210</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71"/>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211</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212</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213</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214</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215</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216</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32"/>
          </w:tcPr>
          <w:p>
            <w:pPr>
              <w:spacing w:after="20"/>
            </w:pPr>
            <w:r>
              <w:rPr>
                <w:color w:val="1C3A36"/>
                <w:sz w:val="14"/>
              </w:rPr>
              <w:t>217</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71"/>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and NARROWER than earlier editions of this entry claimed: nameplate cement capacity of about 76Mt, the abolition of the production quota in May 2025 with exports capped at 30% of output, and the 12.6Mt of dormant capacity under revival from the second half of 2026. THE SECTOR SALES FIGURES ARE NOT FROM THESE SOURCES — domestic cement 54.0Mt, exported cement 11.1Mt and exported clinker 7.6Mt all come from the company's own FY2025 investor presentation and are listed under it. No company figure is taken from the press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10.52%</w:t>
            </w:r>
          </w:p>
        </w:tc>
        <w:tc>
          <w:tcPr>
            <w:tcW w:type="dxa" w:w="10224"/>
          </w:tcPr>
          <w:p>
            <w:pPr>
              <w:spacing w:after="20"/>
            </w:pPr>
            <w:r>
              <w:rPr>
                <w:color w:val="1C3A36"/>
                <w:sz w:val="16"/>
              </w:rPr>
              <w:t>The last forecast year's operating profit after tax against terminal invested capital, BOTH MEASURED AT THE SAME DATE. Earlier editions of this entry headed it 11.3%, which grows the profit by a year of terminal growth and leaves the capital base ungrown; that mismatch flatters the return by 74 basis points and the figure is withdrawn. It survives in the workbook, labelled as the retired construction. 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