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5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A 10% ad-valorem export duty charged on every export tonne, for ever</w:t>
            </w:r>
          </w:p>
        </w:tc>
        <w:tc>
          <w:tcPr>
            <w:tcW w:type="dxa" w:w="3960"/>
          </w:tcPr>
          <w:p>
            <w:pPr>
              <w:spacing w:after="20"/>
            </w:pPr>
            <w:r>
              <w:rPr>
                <w:color w:val="1C3A36"/>
                <w:sz w:val="15"/>
              </w:rPr>
              <w:t>No duty at all (6.7226) or half the rate (5.3811)</w:t>
            </w:r>
          </w:p>
        </w:tc>
        <w:tc>
          <w:tcPr>
            <w:tcW w:type="dxa" w:w="1512"/>
          </w:tcPr>
          <w:p>
            <w:pPr>
              <w:spacing w:after="20"/>
              <w:jc w:val="right"/>
            </w:pPr>
            <w:r>
              <w:rPr>
                <w:color w:val="1C3A36"/>
                <w:sz w:val="15"/>
              </w:rPr>
              <w:t>—</w:t>
            </w:r>
          </w:p>
        </w:tc>
        <w:tc>
          <w:tcPr>
            <w:tcW w:type="dxa" w:w="1008"/>
          </w:tcPr>
          <w:p>
            <w:pPr>
              <w:spacing w:after="20"/>
              <w:jc w:val="right"/>
            </w:pPr>
            <w:r>
              <w:rPr>
                <w:color w:val="1C3A36"/>
                <w:sz w:val="15"/>
              </w:rPr>
              <w:t>6.72</w:t>
            </w:r>
          </w:p>
        </w:tc>
        <w:tc>
          <w:tcPr>
            <w:tcW w:type="dxa" w:w="936"/>
          </w:tcPr>
          <w:p>
            <w:pPr>
              <w:spacing w:after="20"/>
              <w:jc w:val="right"/>
            </w:pPr>
            <w:r>
              <w:rPr>
                <w:color w:val="1C3A36"/>
                <w:sz w:val="15"/>
              </w:rPr>
              <w:t>-53%</w:t>
            </w:r>
          </w:p>
        </w:tc>
      </w:tr>
      <w:tr>
        <w:trPr>
          <w:cantSplit/>
        </w:trPr>
        <w:tc>
          <w:tcPr>
            <w:tcW w:type="dxa" w:w="2232"/>
          </w:tcPr>
          <w:p>
            <w:pPr>
              <w:spacing w:after="20"/>
            </w:pPr>
            <w:r>
              <w:rPr>
                <w:color w:val="1C3A36"/>
                <w:sz w:val="15"/>
              </w:rPr>
              <w:t>The new complex's granulated ammonium nitrate priced at a typed US$280/t, the weakest-sourced input in a 304-input register</w:t>
            </w:r>
          </w:p>
        </w:tc>
        <w:tc>
          <w:tcPr>
            <w:tcW w:type="dxa" w:w="3960"/>
          </w:tcPr>
          <w:p>
            <w:pPr>
              <w:spacing w:after="20"/>
            </w:pPr>
            <w:r>
              <w:rPr>
                <w:color w:val="1C3A36"/>
                <w:sz w:val="15"/>
              </w:rPr>
              <w:t>Priced at the SAME PRODUCT'S OWN DISCLOSED REALISED PRICE — EGP 20,000/t from note 20, which is US$408.16/t at this model's FY2024/25 rate of 49.00 (4.5269)</w:t>
            </w:r>
          </w:p>
        </w:tc>
        <w:tc>
          <w:tcPr>
            <w:tcW w:type="dxa" w:w="1512"/>
          </w:tcPr>
          <w:p>
            <w:pPr>
              <w:spacing w:after="20"/>
              <w:jc w:val="right"/>
            </w:pPr>
            <w:r>
              <w:rPr>
                <w:color w:val="1C3A36"/>
                <w:sz w:val="15"/>
              </w:rPr>
              <w:t>—</w:t>
            </w:r>
          </w:p>
        </w:tc>
        <w:tc>
          <w:tcPr>
            <w:tcW w:type="dxa" w:w="1008"/>
          </w:tcPr>
          <w:p>
            <w:pPr>
              <w:spacing w:after="20"/>
              <w:jc w:val="right"/>
            </w:pPr>
            <w:r>
              <w:rPr>
                <w:color w:val="1C3A36"/>
                <w:sz w:val="15"/>
              </w:rPr>
              <w:t>4.53</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A 10% ad-valorem export duty charged on every export tonne, for ever</w:t>
            </w:r>
          </w:p>
        </w:tc>
        <w:tc>
          <w:tcPr>
            <w:tcW w:type="dxa" w:w="2563"/>
          </w:tcPr>
          <w:p>
            <w:pPr>
              <w:spacing w:after="20"/>
            </w:pPr>
            <w:r>
              <w:rPr>
                <w:color w:val="1C3A36"/>
                <w:sz w:val="15"/>
              </w:rPr>
              <w:t>No duty at all (6.7226) or half the rate (5.3811)</w:t>
            </w:r>
          </w:p>
        </w:tc>
        <w:tc>
          <w:tcPr>
            <w:tcW w:type="dxa" w:w="950"/>
          </w:tcPr>
          <w:p>
            <w:pPr>
              <w:spacing w:after="20"/>
              <w:jc w:val="right"/>
            </w:pPr>
            <w:r>
              <w:rPr>
                <w:color w:val="1C3A36"/>
                <w:sz w:val="15"/>
              </w:rPr>
              <w:t>6.72</w:t>
            </w:r>
          </w:p>
        </w:tc>
        <w:tc>
          <w:tcPr>
            <w:tcW w:type="dxa" w:w="950"/>
          </w:tcPr>
          <w:p>
            <w:pPr>
              <w:spacing w:after="20"/>
              <w:jc w:val="right"/>
            </w:pPr>
            <w:r>
              <w:rPr>
                <w:color w:val="1C3A36"/>
                <w:sz w:val="15"/>
              </w:rPr>
              <w:t>+2.68</w:t>
            </w:r>
          </w:p>
        </w:tc>
        <w:tc>
          <w:tcPr>
            <w:tcW w:type="dxa" w:w="3139"/>
          </w:tcPr>
          <w:p>
            <w:pPr>
              <w:spacing w:after="20"/>
            </w:pPr>
            <w:r>
              <w:rPr>
                <w:color w:val="1C3A36"/>
                <w:sz w:val="15"/>
              </w:rPr>
              <w:t>THIS IS THE LARGEST SINGLE LINE IN THE STUDY AND THE INSTRUMENT BEHIND IT HAS NOW BEEN FOUND. It is DECREE No. 258 of 2026 of the Minister of Investment and Foreign Trade, published in the Official Gazette on 25 June 2026: 10% ad valorem on the FOB invoice value of nitrogen fertiliser exports, replacing a temporary US$90/t duty imposed in May 2026 for three months, and carrying no stated expiry of its own. The rate this study charges is the rate the decree sets, on the base it sets, applied in perpetuity because the instrument names no end -- which is a reading of the decree rather than the assumption it was until today. PURE AMMONIUM NITRATE ABOVE 34.2% NITROGEN AND FREE-ZONE SHIPMENTS ARE EXEMPT, and that was checked against the model rather than noted: the duty is applied to the UREA export leg alone, and urea is not exempt. THE DIRECTION IS AGAINST THIS STUDY -- removing the duty RAISES the value and narrows the gap -- and the search was made for that reason rather than despite it. It came back saying the duty is real, so the alternative below is priced and NOT adopted; a reader is entitled to see what the largest line in the study is worth even when it survives. The input was briefly re-tiered L3 to L4 earlier today on the ground that no instrument had been located; nobody had looked, and that sentence was the same defect it was written to record. It is L3 again, cited by number and date. What would improve it further: the Gazette text itself rather than two independent reports of it, and the FY2025/26 auditor's report disclosing a duty actually charged, the way the FY2024/25 report disclosed the EGP 437.5m shortfall levy on 175kt.</w:t>
            </w:r>
          </w:p>
        </w:tc>
      </w:tr>
      <w:tr>
        <w:trPr>
          <w:cantSplit/>
        </w:trPr>
        <w:tc>
          <w:tcPr>
            <w:tcW w:type="dxa" w:w="2477"/>
          </w:tcPr>
          <w:p>
            <w:pPr>
              <w:spacing w:after="20"/>
            </w:pPr>
            <w:r>
              <w:rPr>
                <w:color w:val="1C3A36"/>
                <w:sz w:val="15"/>
              </w:rPr>
              <w:t>The new complex's granulated ammonium nitrate priced at a typed US$280/t, the weakest-sourced input in a 304-input register</w:t>
            </w:r>
          </w:p>
        </w:tc>
        <w:tc>
          <w:tcPr>
            <w:tcW w:type="dxa" w:w="2563"/>
          </w:tcPr>
          <w:p>
            <w:pPr>
              <w:spacing w:after="20"/>
            </w:pPr>
            <w:r>
              <w:rPr>
                <w:color w:val="1C3A36"/>
                <w:sz w:val="15"/>
              </w:rPr>
              <w:t>Priced at the SAME PRODUCT'S OWN DISCLOSED REALISED PRICE — EGP 20,000/t from note 20, which is US$408.16/t at this model's FY2024/25 rate of 49.00 (4.5269)</w:t>
            </w:r>
          </w:p>
        </w:tc>
        <w:tc>
          <w:tcPr>
            <w:tcW w:type="dxa" w:w="950"/>
          </w:tcPr>
          <w:p>
            <w:pPr>
              <w:spacing w:after="20"/>
              <w:jc w:val="right"/>
            </w:pPr>
            <w:r>
              <w:rPr>
                <w:color w:val="1C3A36"/>
                <w:sz w:val="15"/>
              </w:rPr>
              <w:t>4.53</w:t>
            </w:r>
          </w:p>
        </w:tc>
        <w:tc>
          <w:tcPr>
            <w:tcW w:type="dxa" w:w="950"/>
          </w:tcPr>
          <w:p>
            <w:pPr>
              <w:spacing w:after="20"/>
              <w:jc w:val="right"/>
            </w:pPr>
            <w:r>
              <w:rPr>
                <w:color w:val="1C3A36"/>
                <w:sz w:val="15"/>
              </w:rPr>
              <w:t>+0.49</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export duty 2026 (+2.68);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fourth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305</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