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C3A36"/>
          <w:left w:val="single" w:sz="4" w:space="0" w:color="1C3A36"/>
          <w:bottom w:val="single" w:sz="4" w:space="0" w:color="1C3A36"/>
          <w:right w:val="single" w:sz="4" w:space="0" w:color="1C3A36"/>
          <w:insideH w:val="single" w:sz="4" w:space="0" w:color="1C3A36"/>
          <w:insideV w:val="single" w:sz="4" w:space="0" w:color="1C3A36"/>
        </w:tblBorders>
      </w:tblPr>
      <w:tblGrid>
        <w:gridCol w:w="10224"/>
      </w:tblGrid>
      <w:tr>
        <w:tc>
          <w:tcPr>
            <w:tcW w:type="dxa" w:w="10224"/>
            <w:shd w:val="clear" w:color="auto" w:fill="1C3A36"/>
          </w:tcPr>
          <w:p>
            <w:r>
              <w:rPr>
                <w:b/>
                <w:color w:val="FFFFFF"/>
                <w:sz w:val="24"/>
              </w:rPr>
              <w:t>TESTAHIL</w:t>
            </w:r>
          </w:p>
        </w:tc>
      </w:tr>
    </w:tbl>
    <w:p>
      <w:pPr>
        <w:spacing w:after="40" w:before="160"/>
      </w:pPr>
      <w:r>
        <w:rPr>
          <w:b/>
          <w:i w:val="0"/>
          <w:color w:val="1C3A36"/>
          <w:sz w:val="30"/>
        </w:rPr>
        <w:t>Electro Cable Egypt (EGX: ELEC) — Source Register</w:t>
      </w:r>
    </w:p>
    <w:p>
      <w:pPr>
        <w:spacing w:after="160" w:before="0"/>
      </w:pPr>
      <w:r>
        <w:rPr>
          <w:b w:val="0"/>
          <w:i/>
          <w:color w:val="6E7B77"/>
          <w:sz w:val="20"/>
        </w:rPr>
        <w:t>Companion to the Valuation Study dated 5 August 2026. Every figure that enters the model, with its source, its date, and the research ring it came from.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0A45F"/>
          <w:left w:val="single" w:sz="6" w:space="0" w:color="C0A45F"/>
          <w:bottom w:val="single" w:sz="6" w:space="0" w:color="C0A45F"/>
          <w:right w:val="single" w:sz="6" w:space="0" w:color="C0A45F"/>
          <w:insideH w:val="single" w:sz="6" w:space="0" w:color="C0A45F"/>
          <w:insideV w:val="single" w:sz="6" w:space="0" w:color="C0A45F"/>
        </w:tblBorders>
      </w:tblPr>
      <w:tblGrid>
        <w:gridCol w:w="10224"/>
      </w:tblGrid>
      <w:tr>
        <w:tc>
          <w:tcPr>
            <w:tcW w:type="dxa" w:w="10224"/>
            <w:shd w:val="clear" w:color="auto" w:fill="F6F1E6"/>
          </w:tcPr>
          <w:p>
            <w:r>
              <w:rPr>
                <w:b/>
                <w:sz w:val="19"/>
              </w:rPr>
              <w:t xml:space="preserve">READ FIRST. </w:t>
            </w:r>
            <w:r>
              <w:rPr>
                <w:sz w:val="19"/>
              </w:rPr>
              <w:t>This register exists so that no number in the study is unfalsifiable. Every input below is a four-field record — value, source, date, ring — emitted directly by the compute script that built the study (compute.py), not transcribed by hand afterwards. A bare numeral cannot enter the model: the build fails. Where a figure is a house judgment rather than an observable, the source field says so in those words. SPECIFIC TO THIS COMPANY: Electro Cable Egypt’s audited financial-statement PDFs (Mubasher file store, the company’s own site, and several data aggregators) were unreachable through the channels available for this study — headline figures are therefore multiply-sourced from bourse-disclosure reporting services, and several line items are DERIVED, each labelled as such. The one fully-triangulated year (FY2024) closes to the reported net profit within 0.8% using the derived lines. Testahil is not licensed by the FRA and publishes no ratings and no price targets.</w:t>
            </w:r>
          </w:p>
        </w:tc>
      </w:tr>
    </w:tbl>
    <w:p>
      <w:pPr>
        <w:spacing w:after="40"/>
      </w:pPr>
    </w:p>
    <w:p>
      <w:pPr>
        <w:spacing w:after="80" w:before="240"/>
      </w:pPr>
      <w:r>
        <w:rPr>
          <w:b/>
          <w:i w:val="0"/>
          <w:color w:val="1C3A36"/>
          <w:sz w:val="26"/>
        </w:rPr>
        <w:t>A.  How to read the ring column</w:t>
      </w:r>
    </w:p>
    <w:p>
      <w:pPr>
        <w:spacing w:after="100" w:before="0"/>
      </w:pPr>
      <w:r>
        <w:rPr>
          <w:b w:val="0"/>
          <w:i w:val="0"/>
          <w:color w:val="1C3A36"/>
          <w:sz w:val="20"/>
        </w:rPr>
        <w:t>Research runs outward-in — world, country, industry, company — before any forecast driver is set, and every driver must trace to a ring finding or be declared a house judgment.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</w:tblPr>
      <w:tblGrid>
        <w:gridCol w:w="3408"/>
        <w:gridCol w:w="3408"/>
        <w:gridCol w:w="3408"/>
      </w:tblGrid>
      <w:tr>
        <w:tc>
          <w:tcPr>
            <w:tcW w:type="dxa" w:w="144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8"/>
              </w:rPr>
              <w:t>Ring</w:t>
            </w:r>
          </w:p>
        </w:tc>
        <w:tc>
          <w:tcPr>
            <w:tcW w:type="dxa" w:w="633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8"/>
              </w:rPr>
              <w:t>What it means</w:t>
            </w:r>
          </w:p>
        </w:tc>
        <w:tc>
          <w:tcPr>
            <w:tcW w:type="dxa" w:w="2304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8"/>
              </w:rPr>
              <w:t>Count in this register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>
              <w:rPr>
                <w:color w:val="1C3A36"/>
                <w:sz w:val="18"/>
              </w:rPr>
              <w:t>Market</w:t>
            </w:r>
          </w:p>
        </w:tc>
        <w:tc>
          <w:tcPr>
            <w:tcW w:type="dxa" w:w="6336"/>
          </w:tcPr>
          <w:p>
            <w:pPr>
              <w:spacing w:after="20"/>
            </w:pPr>
            <w:r>
              <w:rPr>
                <w:color w:val="1C3A36"/>
                <w:sz w:val="18"/>
              </w:rPr>
              <w:t>Prices and quotes observable on a screen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color w:val="1C3A36"/>
                <w:sz w:val="18"/>
              </w:rPr>
              <w:t>1 records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>
              <w:rPr>
                <w:color w:val="1C3A36"/>
                <w:sz w:val="18"/>
              </w:rPr>
              <w:t>Global</w:t>
            </w:r>
          </w:p>
        </w:tc>
        <w:tc>
          <w:tcPr>
            <w:tcW w:type="dxa" w:w="6336"/>
          </w:tcPr>
          <w:p>
            <w:pPr>
              <w:spacing w:after="20"/>
            </w:pPr>
            <w:r>
              <w:rPr>
                <w:color w:val="1C3A36"/>
                <w:sz w:val="18"/>
              </w:rPr>
              <w:t>World-level facts that reach the company through prices (copper, rates)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color w:val="1C3A36"/>
                <w:sz w:val="18"/>
              </w:rPr>
              <w:t>2 records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>
              <w:rPr>
                <w:color w:val="1C3A36"/>
                <w:sz w:val="18"/>
              </w:rPr>
              <w:t>Country</w:t>
            </w:r>
          </w:p>
        </w:tc>
        <w:tc>
          <w:tcPr>
            <w:tcW w:type="dxa" w:w="6336"/>
          </w:tcPr>
          <w:p>
            <w:pPr>
              <w:spacing w:after="20"/>
            </w:pPr>
            <w:r>
              <w:rPr>
                <w:color w:val="1C3A36"/>
                <w:sz w:val="18"/>
              </w:rPr>
              <w:t>Egypt macro: policy rate, inflation, FX, sovereign risk, tax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color w:val="1C3A36"/>
                <w:sz w:val="18"/>
              </w:rPr>
              <w:t>8 records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>
              <w:rPr>
                <w:color w:val="1C3A36"/>
                <w:sz w:val="18"/>
              </w:rPr>
              <w:t>Industry</w:t>
            </w:r>
          </w:p>
        </w:tc>
        <w:tc>
          <w:tcPr>
            <w:tcW w:type="dxa" w:w="6336"/>
          </w:tcPr>
          <w:p>
            <w:pPr>
              <w:spacing w:after="20"/>
            </w:pPr>
            <w:r>
              <w:rPr>
                <w:color w:val="1C3A36"/>
                <w:sz w:val="18"/>
              </w:rPr>
              <w:t>Cable-sector structure, demand programs, pass-through economics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color w:val="1C3A36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>
              <w:rPr>
                <w:color w:val="1C3A36"/>
                <w:sz w:val="18"/>
              </w:rPr>
              <w:t>Company</w:t>
            </w:r>
          </w:p>
        </w:tc>
        <w:tc>
          <w:tcPr>
            <w:tcW w:type="dxa" w:w="6336"/>
          </w:tcPr>
          <w:p>
            <w:pPr>
              <w:spacing w:after="20"/>
            </w:pPr>
            <w:r>
              <w:rPr>
                <w:color w:val="1C3A36"/>
                <w:sz w:val="18"/>
              </w:rPr>
              <w:t>ELEC’s own disclosed figures and events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color w:val="1C3A36"/>
                <w:sz w:val="18"/>
              </w:rPr>
              <w:t>11 records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>
              <w:rPr>
                <w:color w:val="1C3A36"/>
                <w:sz w:val="18"/>
              </w:rPr>
              <w:t>House</w:t>
            </w:r>
          </w:p>
        </w:tc>
        <w:tc>
          <w:tcPr>
            <w:tcW w:type="dxa" w:w="6336"/>
          </w:tcPr>
          <w:p>
            <w:pPr>
              <w:spacing w:after="20"/>
            </w:pPr>
            <w:r>
              <w:rPr>
                <w:color w:val="1C3A36"/>
                <w:sz w:val="18"/>
              </w:rPr>
              <w:t>The preparer’s argued judgments — the rows a reader should attack first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color w:val="1C3A36"/>
                <w:sz w:val="18"/>
              </w:rPr>
              <w:t>30 records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>
              <w:rPr>
                <w:color w:val="1C3A36"/>
                <w:sz w:val="18"/>
              </w:rPr>
              <w:t>Vendor</w:t>
            </w:r>
          </w:p>
        </w:tc>
        <w:tc>
          <w:tcPr>
            <w:tcW w:type="dxa" w:w="6336"/>
          </w:tcPr>
          <w:p>
            <w:pPr>
              <w:spacing w:after="20"/>
            </w:pPr>
            <w:r>
              <w:rPr>
                <w:color w:val="1C3A36"/>
                <w:sz w:val="18"/>
              </w:rPr>
              <w:t>A DATA VENDOR, not the company. The vendor is named on every row of §C. ELEC’s own audited statement for these figures could not be obtained (§A note), so a vendor carries them. Declared, not shown as company-sourced.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color w:val="1C3A36"/>
                <w:sz w:val="18"/>
              </w:rPr>
              <w:t>20 records</w:t>
            </w:r>
          </w:p>
        </w:tc>
      </w:tr>
    </w:tbl>
    <w:p>
      <w:pPr>
        <w:spacing w:after="40"/>
      </w:pPr>
    </w:p>
    <w:p>
      <w:pPr>
        <w:spacing w:after="80" w:before="240"/>
      </w:pPr>
      <w:r>
        <w:rPr>
          <w:b/>
          <w:i w:val="0"/>
          <w:color w:val="1C3A36"/>
          <w:sz w:val="26"/>
        </w:rPr>
        <w:t>B.  Primary documents and channels relied on</w:t>
      </w:r>
    </w:p>
    <w:p>
      <w:pPr>
        <w:spacing w:after="100" w:before="0"/>
      </w:pPr>
      <w:r>
        <w:rPr>
          <w:b w:val="0"/>
          <w:i w:val="0"/>
          <w:color w:val="1C3A36"/>
          <w:sz w:val="20"/>
        </w:rPr>
        <w:t>Two channels deliberately NOT used: no figure is taken from the single InvestingPro "fair value" flag (model output, not disclosure), and the July-2026 "Damodaran 14.87%" figure circulating in secondary reproductions was not adopted (the identical figure was previously caught as a misquote of the original file; the house-cached January-2026 original-file figures are used and the difference is sensitized).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73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Document / channel</w:t>
            </w:r>
          </w:p>
        </w:tc>
        <w:tc>
          <w:tcPr>
            <w:tcW w:type="dxa" w:w="273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Publisher / provenance</w:t>
            </w:r>
          </w:p>
        </w:tc>
        <w:tc>
          <w:tcPr>
            <w:tcW w:type="dxa" w:w="1224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Date</w:t>
            </w:r>
          </w:p>
        </w:tc>
        <w:tc>
          <w:tcPr>
            <w:tcW w:type="dxa" w:w="3528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Used for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FY2024 consolidated results reporting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Mubasher / MarketScreener (of the EGX filing)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Mar-2025</w:t>
            </w:r>
          </w:p>
        </w:tc>
        <w:tc>
          <w:tcPr>
            <w:tcW w:type="dxa" w:w="3528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FY24 revenue, net profit, EPS; FY23 comparatives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FY2025 consolidated results reporting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Arab Finance / Zawya / Decypha / Reuters flash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Mar-2026</w:t>
            </w:r>
          </w:p>
        </w:tc>
        <w:tc>
          <w:tcPr>
            <w:tcW w:type="dxa" w:w="3528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FY25 revenue, NP, EPS, total assets; standalone NP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1Q-2026 results reporting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Zawya / Arab Finance (of the EGX filing)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May-2026</w:t>
            </w:r>
          </w:p>
        </w:tc>
        <w:tc>
          <w:tcPr>
            <w:tcW w:type="dxa" w:w="3528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Q1-26 loss, sales; Q1-25 restated comparatives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9M/H1-2025 results reporting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Zawya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Aug/Nov-2025</w:t>
            </w:r>
          </w:p>
        </w:tc>
        <w:tc>
          <w:tcPr>
            <w:tcW w:type="dxa" w:w="3528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Interim trajectory; 9M-25 total assets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Company profile (capital, shares, ISIN)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Mubasher ELEC page; EGX listing PDFs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mid-2026</w:t>
            </w:r>
          </w:p>
        </w:tc>
        <w:tc>
          <w:tcPr>
            <w:tcW w:type="dxa" w:w="3528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Shares 3,313,540,373; paid-in capital; par 0.20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Balance-sheet health snapshot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Simply Wall St (FY24 vintage, 22-May-2025)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May-2025</w:t>
            </w:r>
          </w:p>
        </w:tc>
        <w:tc>
          <w:tcPr>
            <w:tcW w:type="dxa" w:w="3528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Debt ~9,000 · cash 828 · equity 3,600 · EBIT 3,400 · coverage 2.0×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Ownership &amp; block-trade disclosures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Zawya / Arab Finance / Amwal Al Ghad / Alborsa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2023–Jul-2026</w:t>
            </w:r>
          </w:p>
        </w:tc>
        <w:tc>
          <w:tcPr>
            <w:tcW w:type="dxa" w:w="3528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Gadwa group ~81%; 2026 block sales at 2.00–2.21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CBE MPC &amp; CPI releases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Central Bank of Egypt (via FocusEconomics / DNE)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Jul-2026</w:t>
            </w:r>
          </w:p>
        </w:tc>
        <w:tc>
          <w:tcPr>
            <w:tcW w:type="dxa" w:w="3528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Corridor 19.00/20.00%; inflation 14.3%; targets 7%/5% ±2pp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Egypt 10Y yield / 5Y CDS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investing.com; MoF via DNE; MacroMicro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May–Jul-2026</w:t>
            </w:r>
          </w:p>
        </w:tc>
        <w:tc>
          <w:tcPr>
            <w:tcW w:type="dxa" w:w="3528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rf 22.31% (21-Jul-26 print); CDS 270–330bp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Damodaran country-risk file (house cache)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ctryprem, "Last updated January 5, 2026"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Jan-2026</w:t>
            </w:r>
          </w:p>
        </w:tc>
        <w:tc>
          <w:tcPr>
            <w:tcW w:type="dxa" w:w="3528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ERP 9.41% (CDS) / 13.94% (rating); default spreads 3.40% / 6.37%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Copper / aluminium market data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TradingEconomics; INN; ZAMAK; TradingKey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Aug-2026</w:t>
            </w:r>
          </w:p>
        </w:tc>
        <w:tc>
          <w:tcPr>
            <w:tcW w:type="dxa" w:w="3528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Copper ~$6.63/lb COMEX, +51.6% y/y; LME ~$12.8k avg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Grid-capex programs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Daily News Egypt; EEAS; Zawya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Nov-25–Jun-26</w:t>
            </w:r>
          </w:p>
        </w:tc>
        <w:tc>
          <w:tcPr>
            <w:tcW w:type="dxa" w:w="3528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EETC EGP 45bn plan; EU €690mn; Saudi interconnector 95%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Peer financials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Arab Finance (SWDY FY25); stockanalysis.com; multiples.vc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Mar–Jul-2026</w:t>
            </w:r>
          </w:p>
        </w:tc>
        <w:tc>
          <w:tcPr>
            <w:tcW w:type="dxa" w:w="3528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SWDY P/E 10.4× / EV-EBITDA ~6×; Riyadh Cables 18×/15×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Uploaded EGX daily price history (3,749 rows)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user-supplied OHLC export, cleaned by the data-quality gate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2011–05-Aug-2026</w:t>
            </w:r>
          </w:p>
        </w:tc>
        <w:tc>
          <w:tcPr>
            <w:tcW w:type="dxa" w:w="3528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Spot, technicals, calibration, simulation</w:t>
            </w:r>
          </w:p>
        </w:tc>
      </w:tr>
    </w:tbl>
    <w:p>
      <w:pPr>
        <w:spacing w:after="40"/>
      </w:pPr>
    </w:p>
    <w:p>
      <w:pPr>
        <w:spacing w:after="80" w:before="240"/>
      </w:pPr>
      <w:r>
        <w:rPr>
          <w:b/>
          <w:i w:val="0"/>
          <w:color w:val="1C3A36"/>
          <w:sz w:val="26"/>
        </w:rPr>
        <w:t>C.  The full input register</w:t>
      </w:r>
    </w:p>
    <w:p>
      <w:pPr>
        <w:spacing w:after="100" w:before="0"/>
      </w:pPr>
      <w:r>
        <w:rPr>
          <w:b w:val="0"/>
          <w:i w:val="0"/>
          <w:color w:val="1C3A36"/>
          <w:sz w:val="18"/>
        </w:rPr>
        <w:t>Every record below was emitted by compute.py. “House” in the ring column means the number is an argued assumption, not an observable; each such row is sensitized in the study (§1.9). A ring beginning “Vendor” names the data vendor the figure came from, because the company’s own statement for that figure could not be obtained — see §A on the source position.</w:t>
      </w:r>
    </w:p>
    <w:p>
      <w:pPr>
        <w:spacing w:after="60" w:before="160"/>
      </w:pPr>
      <w:r>
        <w:rPr>
          <w:b/>
          <w:i w:val="0"/>
          <w:color w:val="1C3A36"/>
          <w:sz w:val="22"/>
        </w:rPr>
        <w:t>C.1  Ring: Market  (1 records)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5"/>
              </w:rPr>
              <w:t>Input</w:t>
            </w:r>
          </w:p>
        </w:tc>
        <w:tc>
          <w:tcPr>
            <w:tcW w:type="dxa" w:w="165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5"/>
              </w:rPr>
              <w:t>Value</w:t>
            </w:r>
          </w:p>
        </w:tc>
        <w:tc>
          <w:tcPr>
            <w:tcW w:type="dxa" w:w="1224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5"/>
              </w:rPr>
              <w:t>Date</w:t>
            </w:r>
          </w:p>
        </w:tc>
        <w:tc>
          <w:tcPr>
            <w:tcW w:type="dxa" w:w="5544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5"/>
              </w:rPr>
              <w:t>Source / provenance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spot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2.08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2026-09-03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uploaded EGX daily history, last close — the latest price supplied to this repository (SUPPLIED_03-09-2026.json). Superseded: EGP 2.19 of 5 August 2026, on which every edition before this one was struck</w:t>
            </w:r>
          </w:p>
        </w:tc>
      </w:tr>
    </w:tbl>
    <w:p>
      <w:pPr>
        <w:spacing w:after="40"/>
      </w:pPr>
    </w:p>
    <w:p>
      <w:pPr>
        <w:spacing w:after="60" w:before="160"/>
      </w:pPr>
      <w:r>
        <w:rPr>
          <w:b/>
          <w:i w:val="0"/>
          <w:color w:val="1C3A36"/>
          <w:sz w:val="22"/>
        </w:rPr>
        <w:t>C.2  Ring: Country  (8 records)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5"/>
              </w:rPr>
              <w:t>Input</w:t>
            </w:r>
          </w:p>
        </w:tc>
        <w:tc>
          <w:tcPr>
            <w:tcW w:type="dxa" w:w="165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5"/>
              </w:rPr>
              <w:t>Value</w:t>
            </w:r>
          </w:p>
        </w:tc>
        <w:tc>
          <w:tcPr>
            <w:tcW w:type="dxa" w:w="1224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5"/>
              </w:rPr>
              <w:t>Date</w:t>
            </w:r>
          </w:p>
        </w:tc>
        <w:tc>
          <w:tcPr>
            <w:tcW w:type="dxa" w:w="5544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5"/>
              </w:rPr>
              <w:t>Source / provenance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tax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0.225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PwC Tax Summaries Egypt — corporate income tax 22.5%, unchanged 2025-26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fx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49.8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USD/EGP mid-market 49.765 (Xe/Google Finance, 05-Aug-26). NB the pound was NOT range-bound over the last year: 46.8 (Feb-26 strong side) to ~54.7 (Apr-26, war spike), back to ~49.8 — the prior 'range-bound 47-52' description was wrong and is corrected throughout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egp_hist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FY23=30.7, FY24=45.3, FY25=49.5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USD/EGP annual averages: 2023 official ~30.7 (parallel ~38 — the FY23 implied-volume range below carries both); 2024 blended ~45.3 (float 06-Mar-24); 2025 ~49.5 (range-bound 47-52, +6% appreciation year)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rf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0.2231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2026-07-21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investing.com, Egypt 10Y local-currency govt bond yield, 21-Jul-26 print (cached in-repo). Audit-checked: the credible early-Aug band is ~22.3-23.0% (Jul-26 3Y auction avg 23.32%; secondary prints 22.6-23.0 reported but unreachable at source) — the print sits at the LOW edge, worth ~-0.10/sh unfloored if the top of the band is right; May-26 window avg 21.29% (investing series) corroborates the level's vintage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sov_spread_cds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0.034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2026-01-05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Egypt CDS-implied sovereign default spread, Damodaran Jan-2026 original file (house cache); market 5Y CDS ~330bp late-May-2026 corroborates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sov_spread_rating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0.0637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2026-01-05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Damodaran adjusted default spread, rating basis (Caa1), Jan-2026 original file (house cache)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erp_cds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0.0941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2026-01-05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Damodaran ORIGINAL ctryprem, Egypt row, CDS column, 'Last updated January 5, 2026' (house cache; original page 403-blocked this session). A July-2026 secondary reproduction claims total ERP 14.87% — same figure previously caught as a misquote; NOT adopted, shown in sensitivity only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erp_rating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0.1394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2026-01-05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Damodaran ORIGINAL ctryprem, Egypt row, rating basis, Jan-2026 (house cache)</w:t>
            </w:r>
          </w:p>
        </w:tc>
      </w:tr>
    </w:tbl>
    <w:p>
      <w:pPr>
        <w:spacing w:after="40"/>
      </w:pPr>
    </w:p>
    <w:p>
      <w:pPr>
        <w:spacing w:after="60" w:before="160"/>
      </w:pPr>
      <w:r>
        <w:rPr>
          <w:b/>
          <w:i w:val="0"/>
          <w:color w:val="1C3A36"/>
          <w:sz w:val="22"/>
        </w:rPr>
        <w:t>C.3  Ring: Company  (11 records)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5"/>
              </w:rPr>
              <w:t>Input</w:t>
            </w:r>
          </w:p>
        </w:tc>
        <w:tc>
          <w:tcPr>
            <w:tcW w:type="dxa" w:w="165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5"/>
              </w:rPr>
              <w:t>Value</w:t>
            </w:r>
          </w:p>
        </w:tc>
        <w:tc>
          <w:tcPr>
            <w:tcW w:type="dxa" w:w="1224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5"/>
              </w:rPr>
              <w:t>Date</w:t>
            </w:r>
          </w:p>
        </w:tc>
        <w:tc>
          <w:tcPr>
            <w:tcW w:type="dxa" w:w="5544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5"/>
              </w:rPr>
              <w:t>Source / provenance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q1_25_rev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3,723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Q1-2026 release comparatives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q1_25_np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451.7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Q1-2026 release comparatives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facilities_fy25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10,900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2026-03-18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Disclosed: 'obtained credit facilities of EGP 10.9bn during 2025 vs 8.96bn in 2024, from several local banks' (almalnews/amwalalghad FY25 results coverage of the EGX filing). AMBIGUOUS between drawn balance and limits granted — no longer used directly as the debt anchor; retained as the disclosure record and upper cross-check (the triangulated drawn debt below implies ~96% drawn if these are limits)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q1_26_cogs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1,975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2026-06-30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Q1-2026 cost of sales (almalnews/alborsaanews/hapijournal, 30-Jun-2026, of the EGX interim filing)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q1_26_gp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119.1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2026-06-30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Q1-2026 gross profit — 5.7% margin vs 33.1% in Q1-25 (same sources)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q1_26_op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1.429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2026-06-30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Q1-2026 operating profit — essentially zero (same sources)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q1_25_gp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1,233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2026-06-30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Q1-2025 gross profit comparative (same sources)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q1_25_op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1,124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2026-06-30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Q1-2025 operating profit comparative (same sources)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agm_no_dividend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FY25 profits carried forward, no cash distribution; new boar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2026-05-06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AGM resolutions (amwalalghad/almasryalyoum, May-2026)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capacity_kt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25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Annual production capacity ~25,000 t/yr at the PARENT's 370,000 sqm Mostorod plant (IATF exhibitor profile — audit-confirmed parent-only). The consolidated group adds Giza Power Industry's 81,745 sqm Abu Rawash plant (99.99%%-owned; company-stated range 1kV-220kV incl. XLPE HV; certification evidence reaches 33kV; tonnage NOT disclosed) — so group capacity exceeds 25kt by an unknown margin and every utilization ratio in this study is an UPPER BOUND on a parent-capacity basis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debt_ccy_evidence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No facility-level disclosure reachable (FS notes on Mubasher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search sweep 05-Aug-2026, negative result</w:t>
            </w:r>
          </w:p>
        </w:tc>
      </w:tr>
    </w:tbl>
    <w:p>
      <w:pPr>
        <w:spacing w:after="40"/>
      </w:pPr>
    </w:p>
    <w:p>
      <w:pPr>
        <w:spacing w:after="60" w:before="160"/>
      </w:pPr>
      <w:r>
        <w:rPr>
          <w:b/>
          <w:i w:val="0"/>
          <w:color w:val="1C3A36"/>
          <w:sz w:val="22"/>
        </w:rPr>
        <w:t>C.4  Ring: House  (30 records)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5"/>
              </w:rPr>
              <w:t>Input</w:t>
            </w:r>
          </w:p>
        </w:tc>
        <w:tc>
          <w:tcPr>
            <w:tcW w:type="dxa" w:w="165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5"/>
              </w:rPr>
              <w:t>Value</w:t>
            </w:r>
          </w:p>
        </w:tc>
        <w:tc>
          <w:tcPr>
            <w:tcW w:type="dxa" w:w="1224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5"/>
              </w:rPr>
              <w:t>Date</w:t>
            </w:r>
          </w:p>
        </w:tc>
        <w:tc>
          <w:tcPr>
            <w:tcW w:type="dxa" w:w="5544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5"/>
              </w:rPr>
              <w:t>Source / provenance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assets_fy23_est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10,000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House estimate — bounded by 9M-23 disclosed 8,060 and FY24 14,970; no FY23 year-end print found (flagged). A single aggregator shows ~8,900, which would put this estimate ~12%% high — affects only the FY23 ROIC context row, no valuation line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debt_fy25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10,465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TRIANGULATED drawn debt (rollforward_fy25.py): total liabilities 12,360 (disclosed assets 16,460 - rolled equity 4,100) less non-debt liabilities ~1,890 (FY24's 2,410 scaled with purchase value, -21.5%). Independent of the ambiguous facilities sentence; sits at 96% of the disclosed 10.9bn facilities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cash_fy25_est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665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House: midpoint of [500 stress floor, 830 FY24-flat] — a no-dividend, liquidity-conserving year argues below the FY24 print (827.6)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fin_cost_fy25_est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2,150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House derivation: avg debt ~9.25bn x ~23.2% effective (CBE corridor 2025 path); closes FY25 P&amp;L to the reported NP 500.3 via EBT=NP/(1-22.5%)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fin_cost_fy23_est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990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House derivation: avg FY23 debt ~4.5bn (D/E path 36%-&gt;248% over 5yrs, SWS) x ~22% 2023 corridor-linked rate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dna_pct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0.013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House: FY24 EBITDA 3,490 - EBIT 3,400 = ~90mn D&amp;A on 13.8bn revenue (~0.7%); forecast set at 1.3% of revenue to fund modest PP&amp;E renewal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payables_fy25_est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1,890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Non-debt liabilities rolled from FY24's 2,410 on purchase value (volume -34%, copper-in-EGP +20% =&gt; x0.785); thin payables consistent with LC/bank-financed copper imports (rollforward_fy25.py)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nwc_fy25_est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12,245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House derivation on the triangulated balance sheet: FY25 assets 16,460 - cash 665 - PP&amp;E ~680 - other ~980 = gross WC ~14,135; less non-debt liabilities ~1,890 =&gt; ~12,245 (113% of FY25 revenue; FY24 was ~76%)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net_debt_fy25_est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9,805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TRIANGULATED (rollforward_fy25.py, replacing the facilities-sentence reading 10,200): (A) balance-sheet residual — disclosed assets 16,460 less rolled equity 4,100 (FY24 3,600 + NP 500.3, no dividend) gives liabilities 12,360; less non-debt liabilities ~1,890 =&gt; drawn debt 10,465; less cash 665 =&gt; 9,802. (B) cash-flow roll-forward from FY24 ND 8,132 + interest 2,150 + tax 145 + capex 210 + dNWC ~2,036 - EBITDA 2,871 =&gt; 9,803 (shares the balance-sheet WC decomposition with A — agreement is consistency, not full independence). (C) facilities-as-drawn 10,235 = the upper cross-check. Range 9,120-10,360 carried in sensitivity (~±EGP 0.19/sh); the FY24-vintage low alternative 8,172 is REJECTED by the reverse test (needs non-debt liabilities +41% while purchases fell 21%). Falsifier: audited FY25 borrowings note. POST-AUDIT NOTE: two aggregator-side readings sit AT/ABOVE the range top — facilities-as-drawn 10,235, and an unverifiable D/E print (299.35%) implying ~11.4bn total debt / ~10.4bn net — so the residual risk on this anchor is SKEWED ADVERSE; the challenged 10,386 reading is explicitly sensitized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equity_fy25_est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4,100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House derivation: FY24 equity 3,600 + FY25 NP 500.3, no dividends (company has never paid one)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egp_fcst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50.4, 52, 53.5, 55, 56.5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~3%/yr nominal crawl — the inflation differential narrows as the CBE targets bite; far below PPP catch-up, consistent with the post-float managed range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k_uplift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1.387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Fabrication uplift: cable price per tonne / copper cost per tonne. Set from the industry norm that copper is ~70-75% of a power-cable price (IndexBox: LME 'directly and rapidly reflected' in quotations) =&gt; k = 1/0.72 = 1.39. VALIDATION, not calibration: FY24 revenue 13,778 at 9,147 x 45.3 x 1.387 = 574k EGP/t implies 24.0 kt — 96% of the stated 25 kt capacity in the sector's boom year. Sensitized ±5%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vols_fcst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10.4, 11.9, 13.4, 14.8, 16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Volumes (kt): Q1-26 implied ~2.4 kt/qtr sets the FY26E base (~42% utilization); recovery on EETC's EGP 45bn plan, the EU package and interconnector follow-on to ~64% utilization by FY30E — still below the FY23-24 near-full prints; sensitized ±15%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ebitda_per_t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40, 90, 115, 128, 135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Conversion EBITDA per tonne (k EGP/t). Historical: FY23 ~111k, FY24 ~145k (both near-full utilization WITH devaluation inventory gains), FY25 ~183k (copper-gain inflated), Q1-26 ~11k (under-absorption at ~40% utilization). Forecast recovers with utilization to 135k by FY30E — BELOW FY24's 145k nominal despite five years of EGP inflation, i.e. a ~30% real discount to the windfall; sensitized ±30%. CROSS-CHECK: as a share of realized price/t at the $14k copper anchor, the terminal 135/1,097 = 12.3% matches the PRE-windfall 2022 norm (~12% of price at implied full utilization) — the forecast returns the company to its pre-devaluation conversion economics, not to the windfall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capex_mn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225, 243, 262, 283, 306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Maintenance capex ~EGP 9k per tonne of capacity (25 kt), escalated ~8%/yr — no disclosed capex any year (flagged gap); FY24 D&amp;A ~0.7% of revenue corroborates a light fixed-asset base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nwc_pct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1.12, 1.06, 1, 0.94, 0.88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House: FY25 intensity ~113% of revenue (triangulated balance sheet) gliding to 88% as receivables collect and copper-inflated inventory normalises; FY24 was ~76% — full reversion NOT assumed; sensitized in the grid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beta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0.964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Own-stock tier-1 regression: ELEC weekly log-returns vs 30-name equal-weight EGX composite (full engine library), 5yr window: beta 0.964, R2 0.222, n=257, SE 0.113, CI90 [0.78, 1.15] — passes usability gate; NOT weak-flagged (R2&gt;10%, CI span &lt; 2x beta)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kd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0.22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Marginal EGP rate for a levered EGX mid-cap: CBE corridor 19.00/20.00% deposit/lending (main operation 19.50%; third consecutive hold 09-Jul-26 after the 100bp Feb-26 cut) + ~2.5pp credit margin; consistent with avg bank lending 21.3% (Jan-26). Cross-checked against the two effective-rate computations below (23.5% FY24, 22.1% FY25 on the triangulated debt path). NB the Q1-26 P&amp;L implies a much smaller net finance line (~243/qtr) than Q1-25 (~542/qtr) — unexplained without the statements (possible FX/interest income offset or capitalised financing); flagged, does not change the marginal rate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kd_eff_fy24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0.235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Effective-rate check #1: FY24 interest ~1,700 (EBIT 3,400 / coverage 2.0x, SWS) / avg debt ~(5,500e+8,960)/2 = 7,230 =&gt; 23.5%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kd_eff_fy25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0.221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Effective-rate check #2: FY25 finance cost ~2,150 (derived, closes P&amp;L to reported NP; independently corroborated by Q1-25's implied ~542/qtr) / avg debt (8,960 + triangulated 10,465)/2 = 9,713 =&gt; 22.1%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kd_term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0.15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Terminal Kd: Egyptian long-run corporate-borrowing norm 14-16%, midpoint (standing house norm; no name-specific reason to deviate)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wd_term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0.4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Terminal debt weight D/(D+E): NORMALIZED capital structure, not today's ~60% distress weight — the steady state the terminal value describes presupposes deleveraging, and current market-value weights are circular (the equity weight depends on the DCF's own output). 40% is the industry-normal structure for a working-capital-funded cable maker; sensitized via the terminal-WACC grid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rf_term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0.105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Terminal rf norm-built: CBE's own stated Q4-2028 inflation target 5%% (+/-2pp) + ~5.5pp EM real-rate convention (house standing construction)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erp_term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0.07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Terminal ERP normalised below the crisis-era 9.41%% CDS-based level toward the B-rating-class norm; never held flat into perpetuity (house standing rule)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kd_path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0.22, 0.2, 0.185, 0.168, 0.155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Forward Kd path: FY26 held FLAT at 22%% — the CBE paused its easing cycle in Apr-26 ('wait-and-see', three consecutive holds through 09-Jul-26, inflation guided to accelerate through Q3-26 on base effects and energy price hikes) and the path resumes only from FY27 toward the 7%%-&gt;5%% inflation-target glide; corporate spread held ~3pp; terminal 15%%. Next MPC 20-Aug-26 (confirmed). A higher-for-longer path is the explicit +2pp column of the rate grid. The WACC glide shape is tied to this path by construction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g_term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0.05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Terminal growth center 5%% — standing convention for established Egyptian names post-disinflation; grid 3-7%%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ev_ebitda_base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5.5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Justified EV/EBITDA on mid-cycle FY27E EBITDA: SWDY trades ~6x (multiples.vc mid-2026) with a fortress balance sheet and export book; ELEC discount for leverage, domestic concentration, no dividend record. Bear 4.5x / bull 6.5x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pe_norm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6.5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Justified through-cycle P/E on normalized EPS: SWDY 10.4x trailing (stockanalysis, Jul-26); Riyadh Cables 18x (different market). Levered uncovered EGX small-cap discount. Bear 5.5x / bull 8.0x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roe_sust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0.14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Sustainable ROE for the book lens: normalized NP ~600-750 on ~4.6-5.2bn forward book =&gt; 13-15%%; struck below FY23-24 windfall ROEs (35%%+) which carried devaluation inventory gains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lens_weights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dcf=0.4, relative=0.2, normalized=0.2, book=0.2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House: DCF primary for an operating manufacturer; the three market lenses share the remainder equally</w:t>
            </w:r>
          </w:p>
        </w:tc>
      </w:tr>
    </w:tbl>
    <w:p>
      <w:pPr>
        <w:spacing w:after="40"/>
      </w:pPr>
    </w:p>
    <w:p>
      <w:pPr>
        <w:spacing w:after="60" w:before="160"/>
      </w:pPr>
      <w:r>
        <w:rPr>
          <w:b/>
          <w:i w:val="0"/>
          <w:color w:val="1C3A36"/>
          <w:sz w:val="22"/>
        </w:rPr>
        <w:t>C.5  Ring: Global  (2 records)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5"/>
              </w:rPr>
              <w:t>Input</w:t>
            </w:r>
          </w:p>
        </w:tc>
        <w:tc>
          <w:tcPr>
            <w:tcW w:type="dxa" w:w="165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5"/>
              </w:rPr>
              <w:t>Value</w:t>
            </w:r>
          </w:p>
        </w:tc>
        <w:tc>
          <w:tcPr>
            <w:tcW w:type="dxa" w:w="1224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5"/>
              </w:rPr>
              <w:t>Date</w:t>
            </w:r>
          </w:p>
        </w:tc>
        <w:tc>
          <w:tcPr>
            <w:tcW w:type="dxa" w:w="5544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5"/>
              </w:rPr>
              <w:t>Source / provenance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copper_hist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FY23=8478, FY24=9147, FY25=10000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LME cash annual averages: 2023 $8,478/t and 2024 $9,147/t (LME published averages); 2025 ~$10,000/t derived from INN's dated statement that the 2026 consensus average $12,600 is '+26% vs the 2025 average'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copper_fcst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1.4e+04, 1.4e+04, 1.4e+04, 1.4e+04, 1.4e+04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2026-08-05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Flat at the CURRENT market level ~$14,000/t (LME cash ~13.9-14.2k 3-4 Aug-26; COMEX $6.63/lb 04-Aug, 2-month high; Aug MTD ~14.1k) — a 'no house view' forecast must anchor on the market, and the prior $12,600 anchor was a ~6-month-old consensus print ~10%% below the tape (audit-corrected). The −10%% copper sensitivity (=12.6k, the old anchor) and the bull's softer-copper leg carry the mean-reversion case; Goldman's Dec-25 ~$10.7k H1-26 view was overtaken by events and sits beyond the grid</w:t>
            </w:r>
          </w:p>
        </w:tc>
      </w:tr>
    </w:tbl>
    <w:p>
      <w:pPr>
        <w:spacing w:after="40"/>
      </w:pPr>
    </w:p>
    <w:p>
      <w:pPr>
        <w:spacing w:after="60" w:before="160"/>
      </w:pPr>
      <w:r>
        <w:rPr>
          <w:b/>
          <w:i w:val="0"/>
          <w:color w:val="1C3A36"/>
          <w:sz w:val="22"/>
        </w:rPr>
        <w:t>C.6  Ring: Vendor  (20 records)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5"/>
              </w:rPr>
              <w:t>Input</w:t>
            </w:r>
          </w:p>
        </w:tc>
        <w:tc>
          <w:tcPr>
            <w:tcW w:type="dxa" w:w="165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5"/>
              </w:rPr>
              <w:t>Value</w:t>
            </w:r>
          </w:p>
        </w:tc>
        <w:tc>
          <w:tcPr>
            <w:tcW w:type="dxa" w:w="1224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5"/>
              </w:rPr>
              <w:t>Date</w:t>
            </w:r>
          </w:p>
        </w:tc>
        <w:tc>
          <w:tcPr>
            <w:tcW w:type="dxa" w:w="5544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5"/>
              </w:rPr>
              <w:t>Source / provenance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shares_mn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3,314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 (mid)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Mubasher ELEC profile (paid-in capital EGP 662,708,074.60 / par 0.20); verified 3 ways: SWS holder sum; FY24 EPS 0.40=1,327.8/3,313.5; FY25 EPS 0.15=500.3/3,313.5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rev_fy23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8,673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2025-03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MarketScreener/Mubasher FY2024 results note (comparative)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rev_fy24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13,778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2025-03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MarketScreener/Mubasher FY2024 consolidated results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rev_fy25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10,819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2026-03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Arab Finance/Zawya FY2025 results (net sales EGP 10.81bn)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np_fy23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1,248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2024-03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Zawya/MarketScreener (FY23 consolidated NP)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np_fy24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1,328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2025-03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Mubasher FY2024 consolidated results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np_fy25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500.3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2026-03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Arab Finance FY2025 (attributable; Reuters flash 501.4 incl. NCI)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ebit_fy24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3,400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2025-05-22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Simply Wall St health page: 'EBIT is EGP3.4B, interest coverage 2x'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ebitda_fy24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3,490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 capture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Investing.com financial summary ('EBITDA 3.49B') — single aggregator, period attributed to FY2024; flagged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int_cover_fy24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2025-05-22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Simply Wall St health page (interest coverage 2x EBIT)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q1_26_rev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2,094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Zawya/Arab Finance Q1-2026 (consolidated net sales)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q1_26_np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-241.6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2026-05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Zawya/Arab Finance Q1-2026 (consolidated net LOSS)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assets_fy22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4,960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2023-11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Zawya 9M-2023 results note (comparative, 31-Dec-2022)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assets_fy24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14,970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2026-03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Zawya/Decypha FY2025 note (comparative) + SWS (15.0bn)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assets_fy25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16,460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2026-03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Zawya/Decypha FY2025 results (total assets, +9.9%)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debt_fy24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8,960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2026-03-18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Company's own FY25-filing comparative ('vs 8.96bn in 2024'); SWS independent print ~9.0bn corroborates. Standardized on the filing comparative so every FY24 net-debt reference in the study is the same number (8,132)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cash_fy24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827.6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2025-05-22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Simply Wall St health page (cash &amp; ST investments)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equity_fy24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3,600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2025-05-22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Simply Wall St health page (total shareholder equity)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liab_fy24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11,300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2025-05-22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Simply Wall St health page (total liabilities)</w:t>
            </w:r>
          </w:p>
        </w:tc>
      </w:tr>
      <w:tr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fy25_standalone_sales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4,700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2026-03</w:t>
            </w:r>
          </w:p>
        </w:tc>
        <w:tc>
          <w:tcPr>
            <w:tcW w:type="dxa" w:w="5544"/>
          </w:tcPr>
          <w:p>
            <w:pPr>
              <w:spacing w:after="20"/>
            </w:pPr>
            <w:r>
              <w:rPr>
                <w:color w:val="1C3A36"/>
                <w:sz w:val="15"/>
              </w:rPr>
              <w:t>FY25 standalone sales EGP 4.7bn vs 7.69bn FY24 (Arab Finance AR) — the consolidated subsidiaries carry most of group revenue</w:t>
            </w:r>
          </w:p>
        </w:tc>
      </w:tr>
    </w:tbl>
    <w:p>
      <w:pPr>
        <w:spacing w:after="40"/>
      </w:pPr>
    </w:p>
    <w:p>
      <w:pPr>
        <w:spacing w:after="80" w:before="240"/>
      </w:pPr>
      <w:r>
        <w:rPr>
          <w:b/>
          <w:i w:val="0"/>
          <w:color w:val="1C3A36"/>
          <w:sz w:val="26"/>
        </w:rPr>
        <w:t>D.  Numbers that are judgments, not observations</w:t>
      </w:r>
    </w:p>
    <w:p>
      <w:pPr>
        <w:spacing w:after="100" w:before="0"/>
      </w:pPr>
      <w:r>
        <w:rPr>
          <w:b w:val="0"/>
          <w:i w:val="0"/>
          <w:color w:val="1C3A36"/>
          <w:sz w:val="20"/>
        </w:rPr>
        <w:t>Stated separately because they are the ones a reader should attack first. Each is sensitized in the study.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Judgment</w:t>
            </w:r>
          </w:p>
        </w:tc>
        <w:tc>
          <w:tcPr>
            <w:tcW w:type="dxa" w:w="180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Value used</w:t>
            </w:r>
          </w:p>
        </w:tc>
        <w:tc>
          <w:tcPr>
            <w:tcW w:type="dxa" w:w="4104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Why it is a judgment</w:t>
            </w:r>
          </w:p>
        </w:tc>
        <w:tc>
          <w:tcPr>
            <w:tcW w:type="dxa" w:w="2160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6"/>
              </w:rPr>
              <w:t>Where it is sensitised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EBITDA margin path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13% → 19%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The true mid-cycle margin is unknowable from outside; set between the 1Q26 trough and the windfall prints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§1.9 margin × NWC grid, ±3pp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NWC intensity path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108% → 88% of revenue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Collection of state-linked receivables is unproven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§1.9 grid, 76–100% endpoints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Net debt FY25 anchor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EGP 8,800 mn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Derived from twice-sourced totals, not a disclosed print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±1,000 in bear/bull; SOTP Bridge note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Kd 23.5% and the forward path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23.5% → 15.5%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Facility disclosure unreachable; effective-rate checks are themselves partly derived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Explicit × terminal WACC grid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Terminal rf / ERP / Kd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10.5% / 7.0% / 15.0%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Norm-built from the CBE target + house conventions — a macro view, disclosed as such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Terminal WACC × g grid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Terminal growth 5%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center of 3–7% grid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Standing convention for established Egyptian names post-disinflation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§1.9 grid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Justified multiples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5.5× EV/EBITDA · 6.5× P/E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Peer-anchored with a leverage/concentration discount — a judgment of degree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Bear/bull columns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Capex 1.6% of revenue</w:t>
            </w:r>
          </w:p>
        </w:tc>
        <w:tc>
          <w:tcPr>
            <w:tcW w:type="dxa" w:w="180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no disclosed capex any year</w:t>
            </w:r>
          </w:p>
        </w:tc>
        <w:tc>
          <w:tcPr>
            <w:tcW w:type="dxa" w:w="4104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Derived through the D&amp;A ratio; a capacity program would change it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color w:val="1C3A36"/>
                <w:sz w:val="16"/>
              </w:rPr>
              <w:t>Immaterial at ±50bp; noted §7</w:t>
            </w:r>
          </w:p>
        </w:tc>
      </w:tr>
    </w:tbl>
    <w:p>
      <w:pPr>
        <w:spacing w:after="40"/>
      </w:pPr>
    </w:p>
    <w:p>
      <w:pPr>
        <w:spacing w:after="80" w:before="240"/>
      </w:pPr>
      <w:r>
        <w:rPr>
          <w:b/>
          <w:i w:val="0"/>
          <w:color w:val="1C3A36"/>
          <w:sz w:val="26"/>
        </w:rPr>
        <w:t>E.  What would falsify the study</w:t>
      </w:r>
    </w:p>
    <w:p>
      <w:pPr>
        <w:spacing w:after="100" w:before="0"/>
      </w:pPr>
      <w:r>
        <w:rPr>
          <w:b w:val="0"/>
          <w:i w:val="0"/>
          <w:color w:val="1C3A36"/>
          <w:sz w:val="20"/>
        </w:rPr>
        <w:t>The single most useful thing a source register can do is name the evidence that would overturn the work.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D4D1"/>
          <w:left w:val="single" w:sz="4" w:space="0" w:color="C9D4D1"/>
          <w:bottom w:val="single" w:sz="4" w:space="0" w:color="C9D4D1"/>
          <w:right w:val="single" w:sz="4" w:space="0" w:color="C9D4D1"/>
          <w:insideH w:val="single" w:sz="4" w:space="0" w:color="C9D4D1"/>
          <w:insideV w:val="single" w:sz="4" w:space="0" w:color="C9D4D1"/>
        </w:tblBorders>
      </w:tblPr>
      <w:tblGrid>
        <w:gridCol w:w="3408"/>
        <w:gridCol w:w="3408"/>
        <w:gridCol w:w="3408"/>
      </w:tblGrid>
      <w:tr>
        <w:tc>
          <w:tcPr>
            <w:tcW w:type="dxa" w:w="2736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7"/>
              </w:rPr>
              <w:t>Test</w:t>
            </w:r>
          </w:p>
        </w:tc>
        <w:tc>
          <w:tcPr>
            <w:tcW w:type="dxa" w:w="5184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7"/>
              </w:rPr>
              <w:t>What to watch</w:t>
            </w:r>
          </w:p>
        </w:tc>
        <w:tc>
          <w:tcPr>
            <w:tcW w:type="dxa" w:w="2304"/>
            <w:shd w:val="clear" w:color="auto" w:fill="EAF0EE"/>
          </w:tcPr>
          <w:p>
            <w:pPr>
              <w:spacing w:after="20"/>
            </w:pPr>
            <w:r>
              <w:rPr>
                <w:b/>
                <w:color w:val="1C3A36"/>
                <w:sz w:val="17"/>
              </w:rPr>
              <w:t>When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7"/>
              </w:rPr>
              <w:t>The collection question (the crux)</w:t>
            </w:r>
          </w:p>
        </w:tc>
        <w:tc>
          <w:tcPr>
            <w:tcW w:type="dxa" w:w="5184"/>
          </w:tcPr>
          <w:p>
            <w:pPr>
              <w:spacing w:after="20"/>
            </w:pPr>
            <w:r>
              <w:rPr>
                <w:color w:val="1C3A36"/>
                <w:sz w:val="17"/>
              </w:rPr>
              <w:t>H1-2026 receivables and operating cash flow; any receivables-ageing disclosure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color w:val="1C3A36"/>
                <w:sz w:val="17"/>
              </w:rPr>
              <w:t>~mid-Aug-2026 (H1 results)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7"/>
              </w:rPr>
              <w:t>The margin question</w:t>
            </w:r>
          </w:p>
        </w:tc>
        <w:tc>
          <w:tcPr>
            <w:tcW w:type="dxa" w:w="5184"/>
          </w:tcPr>
          <w:p>
            <w:pPr>
              <w:spacing w:after="20"/>
            </w:pPr>
            <w:r>
              <w:rPr>
                <w:color w:val="1C3A36"/>
                <w:sz w:val="17"/>
              </w:rPr>
              <w:t>Two consecutive halves of EBITDA margin ≥ 20% without a devaluation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color w:val="1C3A36"/>
                <w:sz w:val="17"/>
              </w:rPr>
              <w:t>H1-26, FY26 results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7"/>
              </w:rPr>
              <w:t>The rate path</w:t>
            </w:r>
          </w:p>
        </w:tc>
        <w:tc>
          <w:tcPr>
            <w:tcW w:type="dxa" w:w="5184"/>
          </w:tcPr>
          <w:p>
            <w:pPr>
              <w:spacing w:after="20"/>
            </w:pPr>
            <w:r>
              <w:rPr>
                <w:color w:val="1C3A36"/>
                <w:sz w:val="17"/>
              </w:rPr>
              <w:t>CBE MPC decisions vs the modelled 23.5% → 15.5% forward Kd path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color w:val="1C3A36"/>
                <w:sz w:val="17"/>
              </w:rPr>
              <w:t>MPC 20-Aug / 01-Oct / 12-Nov-2026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7"/>
              </w:rPr>
              <w:t>The net-debt anchor</w:t>
            </w:r>
          </w:p>
        </w:tc>
        <w:tc>
          <w:tcPr>
            <w:tcW w:type="dxa" w:w="5184"/>
          </w:tcPr>
          <w:p>
            <w:pPr>
              <w:spacing w:after="20"/>
            </w:pPr>
            <w:r>
              <w:rPr>
                <w:color w:val="1C3A36"/>
                <w:sz w:val="17"/>
              </w:rPr>
              <w:t>Any audited balance sheet: debt, cash, facility schedule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color w:val="1C3A36"/>
                <w:sz w:val="17"/>
              </w:rPr>
              <w:t>On publication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7"/>
              </w:rPr>
              <w:t>The demand thesis</w:t>
            </w:r>
          </w:p>
        </w:tc>
        <w:tc>
          <w:tcPr>
            <w:tcW w:type="dxa" w:w="5184"/>
          </w:tcPr>
          <w:p>
            <w:pPr>
              <w:spacing w:after="20"/>
            </w:pPr>
            <w:r>
              <w:rPr>
                <w:color w:val="1C3A36"/>
                <w:sz w:val="17"/>
              </w:rPr>
              <w:t>EETC tender awards actually reaching ELEC’s order book (vs Elsewedy taking all of it)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color w:val="1C3A36"/>
                <w:sz w:val="17"/>
              </w:rPr>
              <w:t>FY26/27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color w:val="1C3A36"/>
                <w:sz w:val="17"/>
              </w:rPr>
              <w:t>The flow overhang</w:t>
            </w:r>
          </w:p>
        </w:tc>
        <w:tc>
          <w:tcPr>
            <w:tcW w:type="dxa" w:w="5184"/>
          </w:tcPr>
          <w:p>
            <w:pPr>
              <w:spacing w:after="20"/>
            </w:pPr>
            <w:r>
              <w:rPr>
                <w:color w:val="1C3A36"/>
                <w:sz w:val="17"/>
              </w:rPr>
              <w:t>Further controlling-group block sales — or their cessation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color w:val="1C3A36"/>
                <w:sz w:val="17"/>
              </w:rPr>
              <w:t>Ongoing</w:t>
            </w:r>
          </w:p>
        </w:tc>
      </w:tr>
    </w:tbl>
    <w:p>
      <w:pPr>
        <w:spacing w:after="40"/>
      </w:pPr>
    </w:p>
    <w:p>
      <w:pPr>
        <w:spacing w:after="100" w:before="200"/>
        <w:jc w:val="center"/>
      </w:pPr>
      <w:r>
        <w:rPr>
          <w:b w:val="0"/>
          <w:i w:val="0"/>
          <w:color w:val="6E7B77"/>
          <w:sz w:val="16"/>
        </w:rPr>
        <w:t>Testahil · Independent valuation studies · Distributions, not tips. Educational analysis, not investment advice. Testahil is not licensed by the FRA or any securities regulator and publishes no ratings and no price targets.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1C3A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