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50" w:type="dxa"/>
          <w:bottom w:w="90" w:type="dxa"/>
          <w:right w:w="150" w:type="dxa"/>
        </w:tblCellMar>
      </w:tblPr>
      <w:tblGrid>
        <w:gridCol w:w="14112"/>
      </w:tblGrid>
      <w:tr>
        <w:tc>
          <w:tcPr>
            <w:tcW w:type="dxa" w:w="14112"/>
            <w:shd w:val="clear" w:color="auto" w:fill="1C3A36"/>
          </w:tcPr>
          <w:p>
            <w:r>
              <w:rPr>
                <w:b/>
                <w:color w:val="FFFFFF"/>
                <w:sz w:val="24"/>
              </w:rPr>
              <w:t>Testahil · Sinai Cement Company S.A.E. (EGX: SCEM) — Source Register</w:t>
            </w:r>
            <w:r>
              <w:rPr>
                <w:color w:val="9FB0AC"/>
                <w:sz w:val="20"/>
              </w:rPr>
              <w:t xml:space="preserve">   6 August 2026</w:t>
            </w:r>
          </w:p>
        </w:tc>
      </w:tr>
    </w:tbl>
    <w:p>
      <w:pPr>
        <w:spacing w:after="80"/>
      </w:pPr>
    </w:p>
    <w:p>
      <w:pPr>
        <w:spacing w:after="100" w:before="0"/>
      </w:pPr>
      <w:r>
        <w:rPr>
          <w:b w:val="0"/>
          <w:i w:val="0"/>
          <w:color w:val="1C3A36"/>
          <w:sz w:val="20"/>
        </w:rPr>
        <w:t>Where every number came from. This register accompanies the valuation study and the companion model. Each input carries the source it was taken from, the type of that source, and the date the source itself bears — not the date it was read.</w:t>
      </w:r>
    </w:p>
    <w:p>
      <w:pPr>
        <w:spacing w:after="80" w:before="200"/>
      </w:pPr>
      <w:r>
        <w:rPr>
          <w:b/>
          <w:i w:val="0"/>
          <w:color w:val="1C3A36"/>
          <w:sz w:val="23"/>
        </w:rPr>
        <w:t>A limitation to state at the top</w:t>
      </w:r>
    </w:p>
    <w:p>
      <w:pPr>
        <w:spacing w:after="100" w:before="0"/>
      </w:pPr>
      <w:r>
        <w:rPr>
          <w:b w:val="0"/>
          <w:i w:val="0"/>
          <w:color w:val="1C3A36"/>
          <w:sz w:val="19"/>
        </w:rPr>
        <w:t>The company's audited consolidated financial statements could not be retrieved while this work was carried out. They are known to be published at sinaicement.com/wp-content/uploads/2025/05/SCC-AFS-E-1224.pdf, and every attempt to reach that address — along with the exchange's own disclosure portal and every financial data provider — was refused by the network policy governing this environment. Thirteen separate hosts were blocked.</w:t>
      </w:r>
    </w:p>
    <w:p>
      <w:pPr>
        <w:spacing w:after="100" w:before="0"/>
      </w:pPr>
      <w:r>
        <w:rPr>
          <w:b w:val="0"/>
          <w:i w:val="0"/>
          <w:color w:val="1C3A36"/>
          <w:sz w:val="19"/>
        </w:rPr>
        <w:t>The consequence is stated rather than hidden. Revenue and profit after tax are carried as reported through press coverage of the company's exchange filings — one step removed from the audited print. Every line between revenue and profit after tax is DERIVED by closing the disclosed profit, and is labelled as derived wherever it appears. Two entries below are flagged accordingly. A reader with access to the audited statements should re-run the model against them; the workbook is built so that changing the input reprices everything downstream.</w:t>
      </w:r>
    </w:p>
    <w:p>
      <w:r>
        <w:br w:type="page"/>
      </w:r>
    </w:p>
    <w:p>
      <w:pPr>
        <w:spacing w:after="120" w:before="240"/>
      </w:pPr>
      <w:r>
        <w:rPr>
          <w:b/>
          <w:i w:val="0"/>
          <w:color w:val="1C3A36"/>
          <w:sz w:val="30"/>
        </w:rPr>
        <w:t>1  Input register — every figure in the model</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8"/>
        <w:gridCol w:w="2448"/>
        <w:gridCol w:w="1325"/>
        <w:gridCol w:w="1066"/>
        <w:gridCol w:w="7085"/>
        <w:gridCol w:w="1210"/>
      </w:tblGrid>
      <w:tr>
        <w:tc>
          <w:tcPr>
            <w:tcW w:type="dxa" w:w="518"/>
            <w:shd w:val="clear" w:color="auto" w:fill="EAF0EE"/>
          </w:tcPr>
          <w:p>
            <w:pPr>
              <w:spacing w:after="20"/>
            </w:pPr>
            <w:r>
              <w:rPr>
                <w:b/>
                <w:color w:val="1C3A36"/>
                <w:sz w:val="14"/>
              </w:rPr>
              <w:t>#</w:t>
            </w:r>
          </w:p>
        </w:tc>
        <w:tc>
          <w:tcPr>
            <w:tcW w:type="dxa" w:w="2448"/>
            <w:shd w:val="clear" w:color="auto" w:fill="EAF0EE"/>
          </w:tcPr>
          <w:p>
            <w:pPr>
              <w:spacing w:after="20"/>
            </w:pPr>
            <w:r>
              <w:rPr>
                <w:b/>
                <w:color w:val="1C3A36"/>
                <w:sz w:val="14"/>
              </w:rPr>
              <w:t>Input</w:t>
            </w:r>
          </w:p>
        </w:tc>
        <w:tc>
          <w:tcPr>
            <w:tcW w:type="dxa" w:w="1325"/>
            <w:shd w:val="clear" w:color="auto" w:fill="EAF0EE"/>
          </w:tcPr>
          <w:p>
            <w:pPr>
              <w:spacing w:after="20"/>
            </w:pPr>
            <w:r>
              <w:rPr>
                <w:b/>
                <w:color w:val="1C3A36"/>
                <w:sz w:val="14"/>
              </w:rPr>
              <w:t>Value</w:t>
            </w:r>
          </w:p>
        </w:tc>
        <w:tc>
          <w:tcPr>
            <w:tcW w:type="dxa" w:w="1066"/>
            <w:shd w:val="clear" w:color="auto" w:fill="EAF0EE"/>
          </w:tcPr>
          <w:p>
            <w:pPr>
              <w:spacing w:after="20"/>
            </w:pPr>
            <w:r>
              <w:rPr>
                <w:b/>
                <w:color w:val="1C3A36"/>
                <w:sz w:val="14"/>
              </w:rPr>
              <w:t>Ring</w:t>
            </w:r>
          </w:p>
        </w:tc>
        <w:tc>
          <w:tcPr>
            <w:tcW w:type="dxa" w:w="7085"/>
            <w:shd w:val="clear" w:color="auto" w:fill="EAF0EE"/>
          </w:tcPr>
          <w:p>
            <w:pPr>
              <w:spacing w:after="20"/>
            </w:pPr>
            <w:r>
              <w:rPr>
                <w:b/>
                <w:color w:val="1C3A36"/>
                <w:sz w:val="14"/>
              </w:rPr>
              <w:t>Source</w:t>
            </w:r>
          </w:p>
        </w:tc>
        <w:tc>
          <w:tcPr>
            <w:tcW w:type="dxa" w:w="1210"/>
            <w:shd w:val="clear" w:color="auto" w:fill="EAF0EE"/>
          </w:tcPr>
          <w:p>
            <w:pPr>
              <w:spacing w:after="20"/>
            </w:pPr>
            <w:r>
              <w:rPr>
                <w:b/>
                <w:color w:val="1C3A36"/>
                <w:sz w:val="14"/>
              </w:rPr>
              <w:t>Source date</w:t>
            </w:r>
          </w:p>
        </w:tc>
      </w:tr>
      <w:tr>
        <w:tc>
          <w:tcPr>
            <w:tcW w:type="dxa" w:w="518"/>
          </w:tcPr>
          <w:p>
            <w:pPr>
              <w:spacing w:after="20"/>
            </w:pPr>
            <w:r>
              <w:rPr>
                <w:color w:val="1C3A36"/>
                <w:sz w:val="14"/>
              </w:rPr>
              <w:t>1</w:t>
            </w:r>
          </w:p>
        </w:tc>
        <w:tc>
          <w:tcPr>
            <w:tcW w:type="dxa" w:w="2448"/>
          </w:tcPr>
          <w:p>
            <w:pPr>
              <w:spacing w:after="20"/>
            </w:pPr>
            <w:r>
              <w:rPr>
                <w:color w:val="1C3A36"/>
                <w:sz w:val="14"/>
              </w:rPr>
              <w:t>spot</w:t>
            </w:r>
          </w:p>
        </w:tc>
        <w:tc>
          <w:tcPr>
            <w:tcW w:type="dxa" w:w="1325"/>
          </w:tcPr>
          <w:p>
            <w:pPr>
              <w:spacing w:after="20"/>
            </w:pPr>
            <w:r>
              <w:rPr>
                <w:color w:val="1C3A36"/>
                <w:sz w:val="14"/>
              </w:rPr>
              <w:t>100.5</w:t>
            </w:r>
          </w:p>
        </w:tc>
        <w:tc>
          <w:tcPr>
            <w:tcW w:type="dxa" w:w="1066"/>
          </w:tcPr>
          <w:p>
            <w:pPr>
              <w:spacing w:after="20"/>
            </w:pPr>
            <w:r>
              <w:rPr>
                <w:color w:val="1C3A36"/>
                <w:sz w:val="14"/>
              </w:rPr>
              <w:t>Market</w:t>
            </w:r>
          </w:p>
        </w:tc>
        <w:tc>
          <w:tcPr>
            <w:tcW w:type="dxa" w:w="7085"/>
          </w:tcPr>
          <w:p>
            <w:pPr>
              <w:spacing w:after="20"/>
            </w:pPr>
            <w:r>
              <w:rPr>
                <w:color w:val="1C3A36"/>
                <w:sz w:val="14"/>
              </w:rPr>
              <w:t>Closing price 02-Sep-2026, from the price file the principal supplied on 3 September 2026 and committed at this house's own committed record NO STUDY IS DELIVERED AGAINST A STALE PRICE: this edition was struck against the 06-Aug close of 79.00, and the shares have risen 27.2% in the month since. A fair value published against a month-old price is a comparison a reader cannot use, whatever the fair value is worth</w:t>
            </w:r>
          </w:p>
        </w:tc>
        <w:tc>
          <w:tcPr>
            <w:tcW w:type="dxa" w:w="1210"/>
          </w:tcPr>
          <w:p>
            <w:pPr>
              <w:spacing w:after="20"/>
            </w:pPr>
            <w:r>
              <w:rPr>
                <w:color w:val="1C3A36"/>
                <w:sz w:val="14"/>
              </w:rPr>
              <w:t>2026-09-02</w:t>
            </w:r>
          </w:p>
        </w:tc>
      </w:tr>
      <w:tr>
        <w:tc>
          <w:tcPr>
            <w:tcW w:type="dxa" w:w="518"/>
          </w:tcPr>
          <w:p>
            <w:pPr>
              <w:spacing w:after="20"/>
            </w:pPr>
            <w:r>
              <w:rPr>
                <w:color w:val="1C3A36"/>
                <w:sz w:val="14"/>
              </w:rPr>
              <w:t>2</w:t>
            </w:r>
          </w:p>
        </w:tc>
        <w:tc>
          <w:tcPr>
            <w:tcW w:type="dxa" w:w="2448"/>
          </w:tcPr>
          <w:p>
            <w:pPr>
              <w:spacing w:after="20"/>
            </w:pPr>
            <w:r>
              <w:rPr>
                <w:color w:val="1C3A36"/>
                <w:sz w:val="14"/>
              </w:rPr>
              <w:t>spot_prev</w:t>
            </w:r>
          </w:p>
        </w:tc>
        <w:tc>
          <w:tcPr>
            <w:tcW w:type="dxa" w:w="1325"/>
          </w:tcPr>
          <w:p>
            <w:pPr>
              <w:spacing w:after="20"/>
            </w:pPr>
            <w:r>
              <w:rPr>
                <w:color w:val="1C3A36"/>
                <w:sz w:val="14"/>
              </w:rPr>
              <w:t>79</w:t>
            </w:r>
          </w:p>
        </w:tc>
        <w:tc>
          <w:tcPr>
            <w:tcW w:type="dxa" w:w="1066"/>
          </w:tcPr>
          <w:p>
            <w:pPr>
              <w:spacing w:after="20"/>
            </w:pPr>
            <w:r>
              <w:rPr>
                <w:color w:val="1C3A36"/>
                <w:sz w:val="14"/>
              </w:rPr>
              <w:t>Market</w:t>
            </w:r>
          </w:p>
        </w:tc>
        <w:tc>
          <w:tcPr>
            <w:tcW w:type="dxa" w:w="7085"/>
          </w:tcPr>
          <w:p>
            <w:pPr>
              <w:spacing w:after="20"/>
            </w:pPr>
            <w:r>
              <w:rPr>
                <w:color w:val="1C3A36"/>
                <w:sz w:val="14"/>
              </w:rPr>
              <w:t>The 06-Aug-2026 close this study was previously struck against (open 81.80, high 82.50, low 78.30), kept so the re-strike is visible rather than silent</w:t>
            </w:r>
          </w:p>
        </w:tc>
        <w:tc>
          <w:tcPr>
            <w:tcW w:type="dxa" w:w="1210"/>
          </w:tcPr>
          <w:p>
            <w:pPr>
              <w:spacing w:after="20"/>
            </w:pPr>
            <w:r>
              <w:rPr>
                <w:color w:val="1C3A36"/>
                <w:sz w:val="14"/>
              </w:rPr>
              <w:t>2026-08-06</w:t>
            </w:r>
          </w:p>
        </w:tc>
      </w:tr>
      <w:tr>
        <w:tc>
          <w:tcPr>
            <w:tcW w:type="dxa" w:w="518"/>
          </w:tcPr>
          <w:p>
            <w:pPr>
              <w:spacing w:after="20"/>
            </w:pPr>
            <w:r>
              <w:rPr>
                <w:color w:val="1C3A36"/>
                <w:sz w:val="14"/>
              </w:rPr>
              <w:t>3</w:t>
            </w:r>
          </w:p>
        </w:tc>
        <w:tc>
          <w:tcPr>
            <w:tcW w:type="dxa" w:w="2448"/>
          </w:tcPr>
          <w:p>
            <w:pPr>
              <w:spacing w:after="20"/>
            </w:pPr>
            <w:r>
              <w:rPr>
                <w:color w:val="1C3A36"/>
                <w:sz w:val="14"/>
              </w:rPr>
              <w:t>cap_cement_mt</w:t>
            </w:r>
          </w:p>
        </w:tc>
        <w:tc>
          <w:tcPr>
            <w:tcW w:type="dxa" w:w="1325"/>
          </w:tcPr>
          <w:p>
            <w:pPr>
              <w:spacing w:after="20"/>
            </w:pPr>
            <w:r>
              <w:rPr>
                <w:color w:val="1C3A36"/>
                <w:sz w:val="14"/>
              </w:rPr>
              <w:t>3.8</w:t>
            </w:r>
          </w:p>
        </w:tc>
        <w:tc>
          <w:tcPr>
            <w:tcW w:type="dxa" w:w="1066"/>
          </w:tcPr>
          <w:p>
            <w:pPr>
              <w:spacing w:after="20"/>
            </w:pPr>
            <w:r>
              <w:rPr>
                <w:color w:val="1C3A36"/>
                <w:sz w:val="14"/>
              </w:rPr>
              <w:t>Company</w:t>
            </w:r>
          </w:p>
        </w:tc>
        <w:tc>
          <w:tcPr>
            <w:tcW w:type="dxa" w:w="7085"/>
          </w:tcPr>
          <w:p>
            <w:pPr>
              <w:spacing w:after="20"/>
            </w:pPr>
            <w:r>
              <w:rPr>
                <w:color w:val="1C3A36"/>
                <w:sz w:val="14"/>
              </w:rPr>
              <w:t>Cement grinding capacity, El Hassana, two lines</w:t>
            </w:r>
          </w:p>
        </w:tc>
        <w:tc>
          <w:tcPr>
            <w:tcW w:type="dxa" w:w="1210"/>
          </w:tcPr>
          <w:p>
            <w:pPr>
              <w:spacing w:after="20"/>
            </w:pPr>
            <w:r>
              <w:rPr>
                <w:color w:val="1C3A36"/>
                <w:sz w:val="14"/>
              </w:rPr>
              <w:t>2025-03-23</w:t>
            </w:r>
          </w:p>
        </w:tc>
      </w:tr>
      <w:tr>
        <w:tc>
          <w:tcPr>
            <w:tcW w:type="dxa" w:w="518"/>
          </w:tcPr>
          <w:p>
            <w:pPr>
              <w:spacing w:after="20"/>
            </w:pPr>
            <w:r>
              <w:rPr>
                <w:color w:val="1C3A36"/>
                <w:sz w:val="14"/>
              </w:rPr>
              <w:t>4</w:t>
            </w:r>
          </w:p>
        </w:tc>
        <w:tc>
          <w:tcPr>
            <w:tcW w:type="dxa" w:w="2448"/>
          </w:tcPr>
          <w:p>
            <w:pPr>
              <w:spacing w:after="20"/>
            </w:pPr>
            <w:r>
              <w:rPr>
                <w:color w:val="1C3A36"/>
                <w:sz w:val="14"/>
              </w:rPr>
              <w:t>cap_clinker_mt</w:t>
            </w:r>
          </w:p>
        </w:tc>
        <w:tc>
          <w:tcPr>
            <w:tcW w:type="dxa" w:w="1325"/>
          </w:tcPr>
          <w:p>
            <w:pPr>
              <w:spacing w:after="20"/>
            </w:pPr>
            <w:r>
              <w:rPr>
                <w:color w:val="1C3A36"/>
                <w:sz w:val="14"/>
              </w:rPr>
              <w:t>2.57</w:t>
            </w:r>
          </w:p>
        </w:tc>
        <w:tc>
          <w:tcPr>
            <w:tcW w:type="dxa" w:w="1066"/>
          </w:tcPr>
          <w:p>
            <w:pPr>
              <w:spacing w:after="20"/>
            </w:pPr>
            <w:r>
              <w:rPr>
                <w:color w:val="1C3A36"/>
                <w:sz w:val="14"/>
              </w:rPr>
              <w:t>Company</w:t>
            </w:r>
          </w:p>
        </w:tc>
        <w:tc>
          <w:tcPr>
            <w:tcW w:type="dxa" w:w="7085"/>
          </w:tcPr>
          <w:p>
            <w:pPr>
              <w:spacing w:after="20"/>
            </w:pPr>
            <w:r>
              <w:rPr>
                <w:color w:val="1C3A36"/>
                <w:sz w:val="14"/>
              </w:rPr>
              <w:t>Kiln clinker capacity. The PAIR with cement capacity OBSERVES the clinker factor rather than assuming it, and settles which base a USD-per-tonne benchmark is quoted on</w:t>
            </w:r>
          </w:p>
        </w:tc>
        <w:tc>
          <w:tcPr>
            <w:tcW w:type="dxa" w:w="1210"/>
          </w:tcPr>
          <w:p>
            <w:pPr>
              <w:spacing w:after="20"/>
            </w:pPr>
            <w:r>
              <w:rPr>
                <w:color w:val="1C3A36"/>
                <w:sz w:val="14"/>
              </w:rPr>
              <w:t>2025-03-23</w:t>
            </w:r>
          </w:p>
        </w:tc>
      </w:tr>
      <w:tr>
        <w:tc>
          <w:tcPr>
            <w:tcW w:type="dxa" w:w="518"/>
          </w:tcPr>
          <w:p>
            <w:pPr>
              <w:spacing w:after="20"/>
            </w:pPr>
            <w:r>
              <w:rPr>
                <w:color w:val="1C3A36"/>
                <w:sz w:val="14"/>
              </w:rPr>
              <w:t>5</w:t>
            </w:r>
          </w:p>
        </w:tc>
        <w:tc>
          <w:tcPr>
            <w:tcW w:type="dxa" w:w="2448"/>
          </w:tcPr>
          <w:p>
            <w:pPr>
              <w:spacing w:after="20"/>
            </w:pPr>
            <w:r>
              <w:rPr>
                <w:color w:val="1C3A36"/>
                <w:sz w:val="14"/>
              </w:rPr>
              <w:t>cap_increase_fy24</w:t>
            </w:r>
          </w:p>
        </w:tc>
        <w:tc>
          <w:tcPr>
            <w:tcW w:type="dxa" w:w="1325"/>
          </w:tcPr>
          <w:p>
            <w:pPr>
              <w:spacing w:after="20"/>
            </w:pPr>
            <w:r>
              <w:rPr>
                <w:color w:val="1C3A36"/>
                <w:sz w:val="14"/>
              </w:rPr>
              <w:t>1,277.4661</w:t>
            </w:r>
          </w:p>
        </w:tc>
        <w:tc>
          <w:tcPr>
            <w:tcW w:type="dxa" w:w="1066"/>
          </w:tcPr>
          <w:p>
            <w:pPr>
              <w:spacing w:after="20"/>
            </w:pPr>
            <w:r>
              <w:rPr>
                <w:color w:val="1C3A36"/>
                <w:sz w:val="14"/>
              </w:rPr>
              <w:t>Company</w:t>
            </w:r>
          </w:p>
        </w:tc>
        <w:tc>
          <w:tcPr>
            <w:tcW w:type="dxa" w:w="7085"/>
          </w:tcPr>
          <w:p>
            <w:pPr>
              <w:spacing w:after="20"/>
            </w:pPr>
            <w:r>
              <w:rPr>
                <w:color w:val="1C3A36"/>
                <w:sz w:val="14"/>
              </w:rPr>
              <w:t>Audited independent balance sheet as of 31 December 2024, printed page 5 of the FY2024 audited statements (SCC-AFS-E-1224.pdf), read from the company's own website. ROUTE: OCR off the rendered pixels — that filing carries no text layer at all (zero bytes across its 36 pages), so no extraction confidence exists to trust and ARITHMETIC IS THE ARBITER: the page's own total liabilities of EGP 1,959,808,479 plus its own total equity of EGP 3,735,799,731 foot to its printed total assets of EGP 5,695,608,210 exactly, and its non-current total of 1,703,837,097 plus current total of 3,991,771,113 foot to the same figure. Cross-checked against the FY2025 filing's own comparative column at printed page 2, committed in filings_extract.py, which agrees to the pound on liabilities and prints total assets one pound higher at 5,695,608,211 — the filings' own additive rounding, disclosed rather than reconciled away — "Paid under capital increase", note 17, nil in the comparative column and EGP 1,277,466,100 at 31 December 2024. This is the line the equity roll was missing</w:t>
            </w:r>
          </w:p>
        </w:tc>
        <w:tc>
          <w:tcPr>
            <w:tcW w:type="dxa" w:w="1210"/>
          </w:tcPr>
          <w:p>
            <w:pPr>
              <w:spacing w:after="20"/>
            </w:pPr>
            <w:r>
              <w:rPr>
                <w:color w:val="1C3A36"/>
                <w:sz w:val="14"/>
              </w:rPr>
              <w:t>2024-12-31</w:t>
            </w:r>
          </w:p>
        </w:tc>
      </w:tr>
      <w:tr>
        <w:tc>
          <w:tcPr>
            <w:tcW w:type="dxa" w:w="518"/>
          </w:tcPr>
          <w:p>
            <w:pPr>
              <w:spacing w:after="20"/>
            </w:pPr>
            <w:r>
              <w:rPr>
                <w:color w:val="1C3A36"/>
                <w:sz w:val="14"/>
              </w:rPr>
              <w:t>6</w:t>
            </w:r>
          </w:p>
        </w:tc>
        <w:tc>
          <w:tcPr>
            <w:tcW w:type="dxa" w:w="2448"/>
          </w:tcPr>
          <w:p>
            <w:pPr>
              <w:spacing w:after="20"/>
            </w:pPr>
            <w:r>
              <w:rPr>
                <w:color w:val="1C3A36"/>
                <w:sz w:val="14"/>
              </w:rPr>
              <w:t>capacity_mt</w:t>
            </w:r>
          </w:p>
        </w:tc>
        <w:tc>
          <w:tcPr>
            <w:tcW w:type="dxa" w:w="1325"/>
          </w:tcPr>
          <w:p>
            <w:pPr>
              <w:spacing w:after="20"/>
            </w:pPr>
            <w:r>
              <w:rPr>
                <w:color w:val="1C3A36"/>
                <w:sz w:val="14"/>
              </w:rPr>
              <w:t>3.8</w:t>
            </w:r>
          </w:p>
        </w:tc>
        <w:tc>
          <w:tcPr>
            <w:tcW w:type="dxa" w:w="1066"/>
          </w:tcPr>
          <w:p>
            <w:pPr>
              <w:spacing w:after="20"/>
            </w:pPr>
            <w:r>
              <w:rPr>
                <w:color w:val="1C3A36"/>
                <w:sz w:val="14"/>
              </w:rPr>
              <w:t>Company</w:t>
            </w:r>
          </w:p>
        </w:tc>
        <w:tc>
          <w:tcPr>
            <w:tcW w:type="dxa" w:w="7085"/>
          </w:tcPr>
          <w:p>
            <w:pPr>
              <w:spacing w:after="20"/>
            </w:pPr>
            <w:r>
              <w:rPr>
                <w:color w:val="1C3A36"/>
                <w:sz w:val="14"/>
              </w:rPr>
              <w:t>Alias of cement grinding capacity</w:t>
            </w:r>
          </w:p>
        </w:tc>
        <w:tc>
          <w:tcPr>
            <w:tcW w:type="dxa" w:w="1210"/>
          </w:tcPr>
          <w:p>
            <w:pPr>
              <w:spacing w:after="20"/>
            </w:pPr>
            <w:r>
              <w:rPr>
                <w:color w:val="1C3A36"/>
                <w:sz w:val="14"/>
              </w:rPr>
              <w:t>2025-03-23</w:t>
            </w:r>
          </w:p>
        </w:tc>
      </w:tr>
      <w:tr>
        <w:tc>
          <w:tcPr>
            <w:tcW w:type="dxa" w:w="518"/>
          </w:tcPr>
          <w:p>
            <w:pPr>
              <w:spacing w:after="20"/>
            </w:pPr>
            <w:r>
              <w:rPr>
                <w:color w:val="1C3A36"/>
                <w:sz w:val="14"/>
              </w:rPr>
              <w:t>7</w:t>
            </w:r>
          </w:p>
        </w:tc>
        <w:tc>
          <w:tcPr>
            <w:tcW w:type="dxa" w:w="2448"/>
          </w:tcPr>
          <w:p>
            <w:pPr>
              <w:spacing w:after="20"/>
            </w:pPr>
            <w:r>
              <w:rPr>
                <w:color w:val="1C3A36"/>
                <w:sz w:val="14"/>
              </w:rPr>
              <w:t>capex_run_rate</w:t>
            </w:r>
          </w:p>
        </w:tc>
        <w:tc>
          <w:tcPr>
            <w:tcW w:type="dxa" w:w="1325"/>
          </w:tcPr>
          <w:p>
            <w:pPr>
              <w:spacing w:after="20"/>
            </w:pPr>
            <w:r>
              <w:rPr>
                <w:color w:val="1C3A36"/>
                <w:sz w:val="14"/>
              </w:rPr>
              <w:t>303.211</w:t>
            </w:r>
          </w:p>
        </w:tc>
        <w:tc>
          <w:tcPr>
            <w:tcW w:type="dxa" w:w="1066"/>
          </w:tcPr>
          <w:p>
            <w:pPr>
              <w:spacing w:after="20"/>
            </w:pPr>
            <w:r>
              <w:rPr>
                <w:color w:val="1C3A36"/>
                <w:sz w:val="14"/>
              </w:rPr>
              <w:t>Company</w:t>
            </w:r>
          </w:p>
        </w:tc>
        <w:tc>
          <w:tcPr>
            <w:tcW w:type="dxa" w:w="7085"/>
          </w:tcPr>
          <w:p>
            <w:pPr>
              <w:spacing w:after="20"/>
            </w:pPr>
            <w:r>
              <w:rPr>
                <w:color w:val="1C3A36"/>
                <w:sz w:val="14"/>
              </w:rPr>
              <w:t>Capex on the company's own cash-flow statements: FY2023 120.827, FY2024 526.408, FY2025 262.397, average 303.211. Revision 2 assumed 4.5-5.0% of revenue, which is 435-484mn and rising</w:t>
            </w:r>
          </w:p>
        </w:tc>
        <w:tc>
          <w:tcPr>
            <w:tcW w:type="dxa" w:w="1210"/>
          </w:tcPr>
          <w:p>
            <w:pPr>
              <w:spacing w:after="20"/>
            </w:pPr>
            <w:r>
              <w:rPr>
                <w:color w:val="1C3A36"/>
                <w:sz w:val="14"/>
              </w:rPr>
              <w:t>2025-12-31</w:t>
            </w:r>
          </w:p>
        </w:tc>
      </w:tr>
      <w:tr>
        <w:tc>
          <w:tcPr>
            <w:tcW w:type="dxa" w:w="518"/>
          </w:tcPr>
          <w:p>
            <w:pPr>
              <w:spacing w:after="20"/>
            </w:pPr>
            <w:r>
              <w:rPr>
                <w:color w:val="1C3A36"/>
                <w:sz w:val="14"/>
              </w:rPr>
              <w:t>8</w:t>
            </w:r>
          </w:p>
        </w:tc>
        <w:tc>
          <w:tcPr>
            <w:tcW w:type="dxa" w:w="2448"/>
          </w:tcPr>
          <w:p>
            <w:pPr>
              <w:spacing w:after="20"/>
            </w:pPr>
            <w:r>
              <w:rPr>
                <w:color w:val="1C3A36"/>
                <w:sz w:val="14"/>
              </w:rPr>
              <w:t>cash_fy25</w:t>
            </w:r>
          </w:p>
        </w:tc>
        <w:tc>
          <w:tcPr>
            <w:tcW w:type="dxa" w:w="1325"/>
          </w:tcPr>
          <w:p>
            <w:pPr>
              <w:spacing w:after="20"/>
            </w:pPr>
            <w:r>
              <w:rPr>
                <w:color w:val="1C3A36"/>
                <w:sz w:val="14"/>
              </w:rPr>
              <w:t>4,762.3487</w:t>
            </w:r>
          </w:p>
        </w:tc>
        <w:tc>
          <w:tcPr>
            <w:tcW w:type="dxa" w:w="1066"/>
          </w:tcPr>
          <w:p>
            <w:pPr>
              <w:spacing w:after="20"/>
            </w:pPr>
            <w:r>
              <w:rPr>
                <w:color w:val="1C3A36"/>
                <w:sz w:val="14"/>
              </w:rPr>
              <w:t>Company</w:t>
            </w:r>
          </w:p>
        </w:tc>
        <w:tc>
          <w:tcPr>
            <w:tcW w:type="dxa" w:w="7085"/>
          </w:tcPr>
          <w:p>
            <w:pPr>
              <w:spacing w:after="20"/>
            </w:pPr>
            <w:r>
              <w:rPr>
                <w:color w:val="1C3A36"/>
                <w:sz w:val="14"/>
              </w:rPr>
              <w:t>Cash on hand and at banks at 31 December 2025. Audited statement of financial position at 31 December 2025, printed page 2, from the company's own website. Revision 2 used an aggregator's carry of S&amp;P Global Market Intelligence</w:t>
            </w:r>
          </w:p>
        </w:tc>
        <w:tc>
          <w:tcPr>
            <w:tcW w:type="dxa" w:w="1210"/>
          </w:tcPr>
          <w:p>
            <w:pPr>
              <w:spacing w:after="20"/>
            </w:pPr>
            <w:r>
              <w:rPr>
                <w:color w:val="1C3A36"/>
                <w:sz w:val="14"/>
              </w:rPr>
              <w:t>2025-12-31</w:t>
            </w:r>
          </w:p>
        </w:tc>
      </w:tr>
      <w:tr>
        <w:tc>
          <w:tcPr>
            <w:tcW w:type="dxa" w:w="518"/>
          </w:tcPr>
          <w:p>
            <w:pPr>
              <w:spacing w:after="20"/>
            </w:pPr>
            <w:r>
              <w:rPr>
                <w:color w:val="1C3A36"/>
                <w:sz w:val="14"/>
              </w:rPr>
              <w:t>9</w:t>
            </w:r>
          </w:p>
        </w:tc>
        <w:tc>
          <w:tcPr>
            <w:tcW w:type="dxa" w:w="2448"/>
          </w:tcPr>
          <w:p>
            <w:pPr>
              <w:spacing w:after="20"/>
            </w:pPr>
            <w:r>
              <w:rPr>
                <w:color w:val="1C3A36"/>
                <w:sz w:val="14"/>
              </w:rPr>
              <w:t>cash_mar26</w:t>
            </w:r>
          </w:p>
        </w:tc>
        <w:tc>
          <w:tcPr>
            <w:tcW w:type="dxa" w:w="1325"/>
          </w:tcPr>
          <w:p>
            <w:pPr>
              <w:spacing w:after="20"/>
            </w:pPr>
            <w:r>
              <w:rPr>
                <w:color w:val="1C3A36"/>
                <w:sz w:val="14"/>
              </w:rPr>
              <w:t>5,801.9817</w:t>
            </w:r>
          </w:p>
        </w:tc>
        <w:tc>
          <w:tcPr>
            <w:tcW w:type="dxa" w:w="1066"/>
          </w:tcPr>
          <w:p>
            <w:pPr>
              <w:spacing w:after="20"/>
            </w:pPr>
            <w:r>
              <w:rPr>
                <w:color w:val="1C3A36"/>
                <w:sz w:val="14"/>
              </w:rPr>
              <w:t>Company</w:t>
            </w:r>
          </w:p>
        </w:tc>
        <w:tc>
          <w:tcPr>
            <w:tcW w:type="dxa" w:w="7085"/>
          </w:tcPr>
          <w:p>
            <w:pPr>
              <w:spacing w:after="20"/>
            </w:pPr>
            <w:r>
              <w:rPr>
                <w:color w:val="1C3A36"/>
                <w:sz w:val="14"/>
              </w:rPr>
              <w:t>Cash on hand and at banks, REVIEWED interim statement of financial position as at 31 March 2026, printed page 2. This is the latest disclosed sheet and the bridge stands on it; revision 2 stood on 31-Dec-2025 and rolled it forward on an estimate</w:t>
            </w:r>
          </w:p>
        </w:tc>
        <w:tc>
          <w:tcPr>
            <w:tcW w:type="dxa" w:w="1210"/>
          </w:tcPr>
          <w:p>
            <w:pPr>
              <w:spacing w:after="20"/>
            </w:pPr>
            <w:r>
              <w:rPr>
                <w:color w:val="1C3A36"/>
                <w:sz w:val="14"/>
              </w:rPr>
              <w:t>2026-03-31</w:t>
            </w:r>
          </w:p>
        </w:tc>
      </w:tr>
      <w:tr>
        <w:tc>
          <w:tcPr>
            <w:tcW w:type="dxa" w:w="518"/>
          </w:tcPr>
          <w:p>
            <w:pPr>
              <w:spacing w:after="20"/>
            </w:pPr>
            <w:r>
              <w:rPr>
                <w:color w:val="1C3A36"/>
                <w:sz w:val="14"/>
              </w:rPr>
              <w:t>10</w:t>
            </w:r>
          </w:p>
        </w:tc>
        <w:tc>
          <w:tcPr>
            <w:tcW w:type="dxa" w:w="2448"/>
          </w:tcPr>
          <w:p>
            <w:pPr>
              <w:spacing w:after="20"/>
            </w:pPr>
            <w:r>
              <w:rPr>
                <w:color w:val="1C3A36"/>
                <w:sz w:val="14"/>
              </w:rPr>
              <w:t>clinker_factor</w:t>
            </w:r>
          </w:p>
        </w:tc>
        <w:tc>
          <w:tcPr>
            <w:tcW w:type="dxa" w:w="1325"/>
          </w:tcPr>
          <w:p>
            <w:pPr>
              <w:spacing w:after="20"/>
            </w:pPr>
            <w:r>
              <w:rPr>
                <w:color w:val="1C3A36"/>
                <w:sz w:val="14"/>
              </w:rPr>
              <w:t>0.6763</w:t>
            </w:r>
          </w:p>
        </w:tc>
        <w:tc>
          <w:tcPr>
            <w:tcW w:type="dxa" w:w="1066"/>
          </w:tcPr>
          <w:p>
            <w:pPr>
              <w:spacing w:after="20"/>
            </w:pPr>
            <w:r>
              <w:rPr>
                <w:color w:val="1C3A36"/>
                <w:sz w:val="14"/>
              </w:rPr>
              <w:t>Company</w:t>
            </w:r>
          </w:p>
        </w:tc>
        <w:tc>
          <w:tcPr>
            <w:tcW w:type="dxa" w:w="7085"/>
          </w:tcPr>
          <w:p>
            <w:pPr>
              <w:spacing w:after="20"/>
            </w:pPr>
            <w:r>
              <w:rPr>
                <w:color w:val="1C3A36"/>
                <w:sz w:val="14"/>
              </w:rPr>
              <w:t>Tonnes of clinker per tonne of cement. ANCHORED on the plant register's two capacities (2.57/3.80 = 0.676) but carried as an independent input, because blending is a real operating lever: a lower factor means more cement per tonne of clinker and less fuel per tonne of cement. Deriving it from the capacity pair made kiln capacity cancel out of cement output algebraically — the driver test caught that</w:t>
            </w:r>
          </w:p>
        </w:tc>
        <w:tc>
          <w:tcPr>
            <w:tcW w:type="dxa" w:w="1210"/>
          </w:tcPr>
          <w:p>
            <w:pPr>
              <w:spacing w:after="20"/>
            </w:pPr>
            <w:r>
              <w:rPr>
                <w:color w:val="1C3A36"/>
                <w:sz w:val="14"/>
              </w:rPr>
              <w:t>2025-03-23</w:t>
            </w:r>
          </w:p>
        </w:tc>
      </w:tr>
      <w:tr>
        <w:tc>
          <w:tcPr>
            <w:tcW w:type="dxa" w:w="518"/>
          </w:tcPr>
          <w:p>
            <w:pPr>
              <w:spacing w:after="20"/>
            </w:pPr>
            <w:r>
              <w:rPr>
                <w:color w:val="1C3A36"/>
                <w:sz w:val="14"/>
              </w:rPr>
              <w:t>11</w:t>
            </w:r>
          </w:p>
        </w:tc>
        <w:tc>
          <w:tcPr>
            <w:tcW w:type="dxa" w:w="2448"/>
          </w:tcPr>
          <w:p>
            <w:pPr>
              <w:spacing w:after="20"/>
            </w:pPr>
            <w:r>
              <w:rPr>
                <w:color w:val="1C3A36"/>
                <w:sz w:val="14"/>
              </w:rPr>
              <w:t>cost_distribution_fy25</w:t>
            </w:r>
          </w:p>
        </w:tc>
        <w:tc>
          <w:tcPr>
            <w:tcW w:type="dxa" w:w="1325"/>
          </w:tcPr>
          <w:p>
            <w:pPr>
              <w:spacing w:after="20"/>
            </w:pPr>
            <w:r>
              <w:rPr>
                <w:color w:val="1C3A36"/>
                <w:sz w:val="14"/>
              </w:rPr>
              <w:t>770.5241</w:t>
            </w:r>
          </w:p>
        </w:tc>
        <w:tc>
          <w:tcPr>
            <w:tcW w:type="dxa" w:w="1066"/>
          </w:tcPr>
          <w:p>
            <w:pPr>
              <w:spacing w:after="20"/>
            </w:pPr>
            <w:r>
              <w:rPr>
                <w:color w:val="1C3A36"/>
                <w:sz w:val="14"/>
              </w:rPr>
              <w:t>Company</w:t>
            </w:r>
          </w:p>
        </w:tc>
        <w:tc>
          <w:tcPr>
            <w:tcW w:type="dxa" w:w="7085"/>
          </w:tcPr>
          <w:p>
            <w:pPr>
              <w:spacing w:after="20"/>
            </w:pPr>
            <w:r>
              <w:rPr>
                <w:color w:val="1C3A36"/>
                <w:sz w:val="14"/>
              </w:rPr>
              <w:t>Note 25 'Transfer &amp; loading expenses &amp; renting cars to transport cement' 579.219496 plus 'Export expenses and quality mark' 185.690219, plus note 24's own 'Transfer &amp; loading' 5.614378, FY2025 audited statements for the year ended 31 December 2025, read from the company's own website; committed with its footings in filings_extract.py</w:t>
            </w:r>
          </w:p>
        </w:tc>
        <w:tc>
          <w:tcPr>
            <w:tcW w:type="dxa" w:w="1210"/>
          </w:tcPr>
          <w:p>
            <w:pPr>
              <w:spacing w:after="20"/>
            </w:pPr>
            <w:r>
              <w:rPr>
                <w:color w:val="1C3A36"/>
                <w:sz w:val="14"/>
              </w:rPr>
              <w:t>2025-12-31</w:t>
            </w:r>
          </w:p>
        </w:tc>
      </w:tr>
      <w:tr>
        <w:tc>
          <w:tcPr>
            <w:tcW w:type="dxa" w:w="518"/>
          </w:tcPr>
          <w:p>
            <w:pPr>
              <w:spacing w:after="20"/>
            </w:pPr>
            <w:r>
              <w:rPr>
                <w:color w:val="1C3A36"/>
                <w:sz w:val="14"/>
              </w:rPr>
              <w:t>12</w:t>
            </w:r>
          </w:p>
        </w:tc>
        <w:tc>
          <w:tcPr>
            <w:tcW w:type="dxa" w:w="2448"/>
          </w:tcPr>
          <w:p>
            <w:pPr>
              <w:spacing w:after="20"/>
            </w:pPr>
            <w:r>
              <w:rPr>
                <w:color w:val="1C3A36"/>
                <w:sz w:val="14"/>
              </w:rPr>
              <w:t>cost_fixed_fy25</w:t>
            </w:r>
          </w:p>
        </w:tc>
        <w:tc>
          <w:tcPr>
            <w:tcW w:type="dxa" w:w="1325"/>
          </w:tcPr>
          <w:p>
            <w:pPr>
              <w:spacing w:after="20"/>
            </w:pPr>
            <w:r>
              <w:rPr>
                <w:color w:val="1C3A36"/>
                <w:sz w:val="14"/>
              </w:rPr>
              <w:t>1,270.9542</w:t>
            </w:r>
          </w:p>
        </w:tc>
        <w:tc>
          <w:tcPr>
            <w:tcW w:type="dxa" w:w="1066"/>
          </w:tcPr>
          <w:p>
            <w:pPr>
              <w:spacing w:after="20"/>
            </w:pPr>
            <w:r>
              <w:rPr>
                <w:color w:val="1C3A36"/>
                <w:sz w:val="14"/>
              </w:rPr>
              <w:t>Company</w:t>
            </w:r>
          </w:p>
        </w:tc>
        <w:tc>
          <w:tcPr>
            <w:tcW w:type="dxa" w:w="7085"/>
          </w:tcPr>
          <w:p>
            <w:pPr>
              <w:spacing w:after="20"/>
            </w:pPr>
            <w:r>
              <w:rPr>
                <w:color w:val="1C3A36"/>
                <w:sz w:val="14"/>
              </w:rPr>
              <w:t>The rest of the disclosed cash operating cost: revenue 9,089.149688 less EBITDA 3,455.205144 less the two lines above. It is wages, maintenance, subcontractors, clay resource fees, rents, technical assistance, insurance and general administration across notes 24, 25 and 26. Revision 2 assumed USD 14.60 per tonne of installed capacity = EGP 2,762.9mn, 2.17x the company's actual fixed cost, and that single assumption is most of why its FY2025 backcast came out 355mn light on EBITDA</w:t>
            </w:r>
          </w:p>
        </w:tc>
        <w:tc>
          <w:tcPr>
            <w:tcW w:type="dxa" w:w="1210"/>
          </w:tcPr>
          <w:p>
            <w:pPr>
              <w:spacing w:after="20"/>
            </w:pPr>
            <w:r>
              <w:rPr>
                <w:color w:val="1C3A36"/>
                <w:sz w:val="14"/>
              </w:rPr>
              <w:t>2025-12-31</w:t>
            </w:r>
          </w:p>
        </w:tc>
      </w:tr>
      <w:tr>
        <w:tc>
          <w:tcPr>
            <w:tcW w:type="dxa" w:w="518"/>
          </w:tcPr>
          <w:p>
            <w:pPr>
              <w:spacing w:after="20"/>
            </w:pPr>
            <w:r>
              <w:rPr>
                <w:color w:val="1C3A36"/>
                <w:sz w:val="14"/>
              </w:rPr>
              <w:t>13</w:t>
            </w:r>
          </w:p>
        </w:tc>
        <w:tc>
          <w:tcPr>
            <w:tcW w:type="dxa" w:w="2448"/>
          </w:tcPr>
          <w:p>
            <w:pPr>
              <w:spacing w:after="20"/>
            </w:pPr>
            <w:r>
              <w:rPr>
                <w:color w:val="1C3A36"/>
                <w:sz w:val="14"/>
              </w:rPr>
              <w:t>cost_materials_fy25</w:t>
            </w:r>
          </w:p>
        </w:tc>
        <w:tc>
          <w:tcPr>
            <w:tcW w:type="dxa" w:w="1325"/>
          </w:tcPr>
          <w:p>
            <w:pPr>
              <w:spacing w:after="20"/>
            </w:pPr>
            <w:r>
              <w:rPr>
                <w:color w:val="1C3A36"/>
                <w:sz w:val="14"/>
              </w:rPr>
              <w:t>3,592.4662</w:t>
            </w:r>
          </w:p>
        </w:tc>
        <w:tc>
          <w:tcPr>
            <w:tcW w:type="dxa" w:w="1066"/>
          </w:tcPr>
          <w:p>
            <w:pPr>
              <w:spacing w:after="20"/>
            </w:pPr>
            <w:r>
              <w:rPr>
                <w:color w:val="1C3A36"/>
                <w:sz w:val="14"/>
              </w:rPr>
              <w:t>Company</w:t>
            </w:r>
          </w:p>
        </w:tc>
        <w:tc>
          <w:tcPr>
            <w:tcW w:type="dxa" w:w="7085"/>
          </w:tcPr>
          <w:p>
            <w:pPr>
              <w:spacing w:after="20"/>
            </w:pPr>
            <w:r>
              <w:rPr>
                <w:color w:val="1C3A36"/>
                <w:sz w:val="14"/>
              </w:rPr>
              <w:t>Note 24, 'Raw materials, Supplies, fuel, power, packing sacks', FY2025 audited statements for the year ended 31 December 2025, read from the company's own website; committed with its footings in filings_extract.py. Revision 2 built this from four industry rules of thumb summing to EGP 2,553.7mn, which is -28.9 per cent BELOW the disclosed line, the disclosed line being 40.7 per cent above the assumption</w:t>
            </w:r>
          </w:p>
        </w:tc>
        <w:tc>
          <w:tcPr>
            <w:tcW w:type="dxa" w:w="1210"/>
          </w:tcPr>
          <w:p>
            <w:pPr>
              <w:spacing w:after="20"/>
            </w:pPr>
            <w:r>
              <w:rPr>
                <w:color w:val="1C3A36"/>
                <w:sz w:val="14"/>
              </w:rPr>
              <w:t>2025-12-31</w:t>
            </w:r>
          </w:p>
        </w:tc>
      </w:tr>
      <w:tr>
        <w:tc>
          <w:tcPr>
            <w:tcW w:type="dxa" w:w="518"/>
          </w:tcPr>
          <w:p>
            <w:pPr>
              <w:spacing w:after="20"/>
            </w:pPr>
            <w:r>
              <w:rPr>
                <w:color w:val="1C3A36"/>
                <w:sz w:val="14"/>
              </w:rPr>
              <w:t>14</w:t>
            </w:r>
          </w:p>
        </w:tc>
        <w:tc>
          <w:tcPr>
            <w:tcW w:type="dxa" w:w="2448"/>
          </w:tcPr>
          <w:p>
            <w:pPr>
              <w:spacing w:after="20"/>
            </w:pPr>
            <w:r>
              <w:rPr>
                <w:color w:val="1C3A36"/>
                <w:sz w:val="14"/>
              </w:rPr>
              <w:t>debt_fy25</w:t>
            </w:r>
          </w:p>
        </w:tc>
        <w:tc>
          <w:tcPr>
            <w:tcW w:type="dxa" w:w="1325"/>
          </w:tcPr>
          <w:p>
            <w:pPr>
              <w:spacing w:after="20"/>
            </w:pPr>
            <w:r>
              <w:rPr>
                <w:color w:val="1C3A36"/>
                <w:sz w:val="14"/>
              </w:rPr>
              <w:t>137.5659</w:t>
            </w:r>
          </w:p>
        </w:tc>
        <w:tc>
          <w:tcPr>
            <w:tcW w:type="dxa" w:w="1066"/>
          </w:tcPr>
          <w:p>
            <w:pPr>
              <w:spacing w:after="20"/>
            </w:pPr>
            <w:r>
              <w:rPr>
                <w:color w:val="1C3A36"/>
                <w:sz w:val="14"/>
              </w:rPr>
              <w:t>Company</w:t>
            </w:r>
          </w:p>
        </w:tc>
        <w:tc>
          <w:tcPr>
            <w:tcW w:type="dxa" w:w="7085"/>
          </w:tcPr>
          <w:p>
            <w:pPr>
              <w:spacing w:after="20"/>
            </w:pPr>
            <w:r>
              <w:rPr>
                <w:color w:val="1C3A36"/>
                <w:sz w:val="14"/>
              </w:rPr>
              <w:t>Lease liabilities at 31 December 2025, 111.742265 long-term and 25.823623 current. THE COMPANY HAS NO BANK BORROWINGS. Audited statement of financial position at 31 December 2025, printed page 2, from the company's own website. Revision 2 used an aggregator's carry of S&amp;P Global Market Intelligence</w:t>
            </w:r>
          </w:p>
        </w:tc>
        <w:tc>
          <w:tcPr>
            <w:tcW w:type="dxa" w:w="1210"/>
          </w:tcPr>
          <w:p>
            <w:pPr>
              <w:spacing w:after="20"/>
            </w:pPr>
            <w:r>
              <w:rPr>
                <w:color w:val="1C3A36"/>
                <w:sz w:val="14"/>
              </w:rPr>
              <w:t>2025-12-31</w:t>
            </w:r>
          </w:p>
        </w:tc>
      </w:tr>
      <w:tr>
        <w:tc>
          <w:tcPr>
            <w:tcW w:type="dxa" w:w="518"/>
          </w:tcPr>
          <w:p>
            <w:pPr>
              <w:spacing w:after="20"/>
            </w:pPr>
            <w:r>
              <w:rPr>
                <w:color w:val="1C3A36"/>
                <w:sz w:val="14"/>
              </w:rPr>
              <w:t>15</w:t>
            </w:r>
          </w:p>
        </w:tc>
        <w:tc>
          <w:tcPr>
            <w:tcW w:type="dxa" w:w="2448"/>
          </w:tcPr>
          <w:p>
            <w:pPr>
              <w:spacing w:after="20"/>
            </w:pPr>
            <w:r>
              <w:rPr>
                <w:color w:val="1C3A36"/>
                <w:sz w:val="14"/>
              </w:rPr>
              <w:t>debt_mar26</w:t>
            </w:r>
          </w:p>
        </w:tc>
        <w:tc>
          <w:tcPr>
            <w:tcW w:type="dxa" w:w="1325"/>
          </w:tcPr>
          <w:p>
            <w:pPr>
              <w:spacing w:after="20"/>
            </w:pPr>
            <w:r>
              <w:rPr>
                <w:color w:val="1C3A36"/>
                <w:sz w:val="14"/>
              </w:rPr>
              <w:t>152.71</w:t>
            </w:r>
          </w:p>
        </w:tc>
        <w:tc>
          <w:tcPr>
            <w:tcW w:type="dxa" w:w="1066"/>
          </w:tcPr>
          <w:p>
            <w:pPr>
              <w:spacing w:after="20"/>
            </w:pPr>
            <w:r>
              <w:rPr>
                <w:color w:val="1C3A36"/>
                <w:sz w:val="14"/>
              </w:rPr>
              <w:t>Company</w:t>
            </w:r>
          </w:p>
        </w:tc>
        <w:tc>
          <w:tcPr>
            <w:tcW w:type="dxa" w:w="7085"/>
          </w:tcPr>
          <w:p>
            <w:pPr>
              <w:spacing w:after="20"/>
            </w:pPr>
            <w:r>
              <w:rPr>
                <w:color w:val="1C3A36"/>
                <w:sz w:val="14"/>
              </w:rPr>
              <w:t>Lease liabilities, 137.620919 long-term and 15.089045 current, reviewed sheet at 31 March 2026. THE COMPANY HAS NO BANK BORROWINGS AT EITHER DATE — the whole of its interest-bearing debt is leases under EAS 49</w:t>
            </w:r>
          </w:p>
        </w:tc>
        <w:tc>
          <w:tcPr>
            <w:tcW w:type="dxa" w:w="1210"/>
          </w:tcPr>
          <w:p>
            <w:pPr>
              <w:spacing w:after="20"/>
            </w:pPr>
            <w:r>
              <w:rPr>
                <w:color w:val="1C3A36"/>
                <w:sz w:val="14"/>
              </w:rPr>
              <w:t>2026-03-31</w:t>
            </w:r>
          </w:p>
        </w:tc>
      </w:tr>
      <w:tr>
        <w:tc>
          <w:tcPr>
            <w:tcW w:type="dxa" w:w="518"/>
          </w:tcPr>
          <w:p>
            <w:pPr>
              <w:spacing w:after="20"/>
            </w:pPr>
            <w:r>
              <w:rPr>
                <w:color w:val="1C3A36"/>
                <w:sz w:val="14"/>
              </w:rPr>
              <w:t>16</w:t>
            </w:r>
          </w:p>
        </w:tc>
        <w:tc>
          <w:tcPr>
            <w:tcW w:type="dxa" w:w="2448"/>
          </w:tcPr>
          <w:p>
            <w:pPr>
              <w:spacing w:after="20"/>
            </w:pPr>
            <w:r>
              <w:rPr>
                <w:color w:val="1C3A36"/>
                <w:sz w:val="14"/>
              </w:rPr>
              <w:t>dep_rate_disclosed</w:t>
            </w:r>
          </w:p>
        </w:tc>
        <w:tc>
          <w:tcPr>
            <w:tcW w:type="dxa" w:w="1325"/>
          </w:tcPr>
          <w:p>
            <w:pPr>
              <w:spacing w:after="20"/>
            </w:pPr>
            <w:r>
              <w:rPr>
                <w:color w:val="1C3A36"/>
                <w:sz w:val="14"/>
              </w:rPr>
              <w:t>0.0386</w:t>
            </w:r>
          </w:p>
        </w:tc>
        <w:tc>
          <w:tcPr>
            <w:tcW w:type="dxa" w:w="1066"/>
          </w:tcPr>
          <w:p>
            <w:pPr>
              <w:spacing w:after="20"/>
            </w:pPr>
            <w:r>
              <w:rPr>
                <w:color w:val="1C3A36"/>
                <w:sz w:val="14"/>
              </w:rPr>
              <w:t>Company</w:t>
            </w:r>
          </w:p>
        </w:tc>
        <w:tc>
          <w:tcPr>
            <w:tcW w:type="dxa" w:w="7085"/>
          </w:tcPr>
          <w:p>
            <w:pPr>
              <w:spacing w:after="20"/>
            </w:pPr>
            <w:r>
              <w:rPr>
                <w:color w:val="1C3A36"/>
                <w:sz w:val="14"/>
              </w:rPr>
              <w:t>The BOOK depreciation rate carried forward on gross cost, being note 3/2's disclosed rates at the midpoint of the two ranges, cost-weighted as an arithmetic mean of lives on note 4's own mix. It is used ONLY for the forward book charge, which is what a rate is for. IT IS NOT THE TERMINAL'S USEFUL LIFE and revision 3 used its reciprocal as one: 1/0.038626 = 25.89 years, justified on the grounds that it 'reproduces the filed FY2025 charge to within 1.2% (121.3 against 122.6)'. THAT VALIDATION WAS TWO ERRORS CANCELLING - the 121.3 is an arithmetic-mean rate that understates the disclosed rates' own product of 151.5mn, and the 122.6 includes intangible amortisation against a filed FIXED-ASSET charge of 99.2mn. See useful_lives.json</w:t>
            </w:r>
          </w:p>
        </w:tc>
        <w:tc>
          <w:tcPr>
            <w:tcW w:type="dxa" w:w="1210"/>
          </w:tcPr>
          <w:p>
            <w:pPr>
              <w:spacing w:after="20"/>
            </w:pPr>
            <w:r>
              <w:rPr>
                <w:color w:val="1C3A36"/>
                <w:sz w:val="14"/>
              </w:rPr>
              <w:t>2025-12-31</w:t>
            </w:r>
          </w:p>
        </w:tc>
      </w:tr>
      <w:tr>
        <w:tc>
          <w:tcPr>
            <w:tcW w:type="dxa" w:w="518"/>
          </w:tcPr>
          <w:p>
            <w:pPr>
              <w:spacing w:after="20"/>
            </w:pPr>
            <w:r>
              <w:rPr>
                <w:color w:val="1C3A36"/>
                <w:sz w:val="14"/>
              </w:rPr>
              <w:t>17</w:t>
            </w:r>
          </w:p>
        </w:tc>
        <w:tc>
          <w:tcPr>
            <w:tcW w:type="dxa" w:w="2448"/>
          </w:tcPr>
          <w:p>
            <w:pPr>
              <w:spacing w:after="20"/>
            </w:pPr>
            <w:r>
              <w:rPr>
                <w:color w:val="1C3A36"/>
                <w:sz w:val="14"/>
              </w:rPr>
              <w:t>ebitda_fy24</w:t>
            </w:r>
          </w:p>
        </w:tc>
        <w:tc>
          <w:tcPr>
            <w:tcW w:type="dxa" w:w="1325"/>
          </w:tcPr>
          <w:p>
            <w:pPr>
              <w:spacing w:after="20"/>
            </w:pPr>
            <w:r>
              <w:rPr>
                <w:color w:val="1C3A36"/>
                <w:sz w:val="14"/>
              </w:rPr>
              <w:t>1,590</w:t>
            </w:r>
          </w:p>
        </w:tc>
        <w:tc>
          <w:tcPr>
            <w:tcW w:type="dxa" w:w="1066"/>
          </w:tcPr>
          <w:p>
            <w:pPr>
              <w:spacing w:after="20"/>
            </w:pPr>
            <w:r>
              <w:rPr>
                <w:color w:val="1C3A36"/>
                <w:sz w:val="14"/>
              </w:rPr>
              <w:t>Company</w:t>
            </w:r>
          </w:p>
        </w:tc>
        <w:tc>
          <w:tcPr>
            <w:tcW w:type="dxa" w:w="7085"/>
          </w:tcPr>
          <w:p>
            <w:pPr>
              <w:spacing w:after="20"/>
            </w:pPr>
            <w:r>
              <w:rPr>
                <w:color w:val="1C3A36"/>
                <w:sz w:val="14"/>
              </w:rPr>
              <w:t>FY2024 EBITDA, the one disclosed margin anchor</w:t>
            </w:r>
          </w:p>
        </w:tc>
        <w:tc>
          <w:tcPr>
            <w:tcW w:type="dxa" w:w="1210"/>
          </w:tcPr>
          <w:p>
            <w:pPr>
              <w:spacing w:after="20"/>
            </w:pPr>
            <w:r>
              <w:rPr>
                <w:color w:val="1C3A36"/>
                <w:sz w:val="14"/>
              </w:rPr>
              <w:t>2026-03-10</w:t>
            </w:r>
          </w:p>
        </w:tc>
      </w:tr>
      <w:tr>
        <w:tc>
          <w:tcPr>
            <w:tcW w:type="dxa" w:w="518"/>
          </w:tcPr>
          <w:p>
            <w:pPr>
              <w:spacing w:after="20"/>
            </w:pPr>
            <w:r>
              <w:rPr>
                <w:color w:val="1C3A36"/>
                <w:sz w:val="14"/>
              </w:rPr>
              <w:t>18</w:t>
            </w:r>
          </w:p>
        </w:tc>
        <w:tc>
          <w:tcPr>
            <w:tcW w:type="dxa" w:w="2448"/>
          </w:tcPr>
          <w:p>
            <w:pPr>
              <w:spacing w:after="20"/>
            </w:pPr>
            <w:r>
              <w:rPr>
                <w:color w:val="1C3A36"/>
                <w:sz w:val="14"/>
              </w:rPr>
              <w:t>eq_fy23_rep</w:t>
            </w:r>
          </w:p>
        </w:tc>
        <w:tc>
          <w:tcPr>
            <w:tcW w:type="dxa" w:w="1325"/>
          </w:tcPr>
          <w:p>
            <w:pPr>
              <w:spacing w:after="20"/>
            </w:pPr>
            <w:r>
              <w:rPr>
                <w:color w:val="1C3A36"/>
                <w:sz w:val="14"/>
              </w:rPr>
              <w:t>-614.0282</w:t>
            </w:r>
          </w:p>
        </w:tc>
        <w:tc>
          <w:tcPr>
            <w:tcW w:type="dxa" w:w="1066"/>
          </w:tcPr>
          <w:p>
            <w:pPr>
              <w:spacing w:after="20"/>
            </w:pPr>
            <w:r>
              <w:rPr>
                <w:color w:val="1C3A36"/>
                <w:sz w:val="14"/>
              </w:rPr>
              <w:t>Company</w:t>
            </w:r>
          </w:p>
        </w:tc>
        <w:tc>
          <w:tcPr>
            <w:tcW w:type="dxa" w:w="7085"/>
          </w:tcPr>
          <w:p>
            <w:pPr>
              <w:spacing w:after="20"/>
            </w:pPr>
            <w:r>
              <w:rPr>
                <w:color w:val="1C3A36"/>
                <w:sz w:val="14"/>
              </w:rPr>
              <w:t>Audited independent balance sheet as of 31 December 2024, printed page 5 of the FY2024 audited statements (SCC-AFS-E-1224.pdf), read from the company's own website. ROUTE: OCR off the rendered pixels — that filing carries no text layer at all (zero bytes across its 36 pages), so no extraction confidence exists to trust and ARITHMETIC IS THE ARBITER: the page's own total liabilities of EGP 1,959,808,479 plus its own total equity of EGP 3,735,799,731 foot to its printed total assets of EGP 5,695,608,210 exactly, and its non-current total of 1,703,837,097 plus current total of 3,991,771,113 foot to the same figure. Cross-checked against the FY2025 filing's own comparative column at printed page 2, committed in filings_extract.py, which agrees to the pound on liabilities and prints total assets one pound higher at 5,695,608,211 — the filings' own additive rounding, disclosed rather than reconciled away — total equity at 31 December 2023, the comparative column of the same page. It is NEGATIVE, and the filing's own totals foot: liabilities of 4,116,928,922 plus equity of (614,028,180) give total assets of 3,502,900,742, which is also that column's non-current 1,232,905,958 plus current 2,269,994,784</w:t>
            </w:r>
          </w:p>
        </w:tc>
        <w:tc>
          <w:tcPr>
            <w:tcW w:type="dxa" w:w="1210"/>
          </w:tcPr>
          <w:p>
            <w:pPr>
              <w:spacing w:after="20"/>
            </w:pPr>
            <w:r>
              <w:rPr>
                <w:color w:val="1C3A36"/>
                <w:sz w:val="14"/>
              </w:rPr>
              <w:t>2023-12-31</w:t>
            </w:r>
          </w:p>
        </w:tc>
      </w:tr>
      <w:tr>
        <w:tc>
          <w:tcPr>
            <w:tcW w:type="dxa" w:w="518"/>
          </w:tcPr>
          <w:p>
            <w:pPr>
              <w:spacing w:after="20"/>
            </w:pPr>
            <w:r>
              <w:rPr>
                <w:color w:val="1C3A36"/>
                <w:sz w:val="14"/>
              </w:rPr>
              <w:t>19</w:t>
            </w:r>
          </w:p>
        </w:tc>
        <w:tc>
          <w:tcPr>
            <w:tcW w:type="dxa" w:w="2448"/>
          </w:tcPr>
          <w:p>
            <w:pPr>
              <w:spacing w:after="20"/>
            </w:pPr>
            <w:r>
              <w:rPr>
                <w:color w:val="1C3A36"/>
                <w:sz w:val="14"/>
              </w:rPr>
              <w:t>eq_fy25_rep</w:t>
            </w:r>
          </w:p>
        </w:tc>
        <w:tc>
          <w:tcPr>
            <w:tcW w:type="dxa" w:w="1325"/>
          </w:tcPr>
          <w:p>
            <w:pPr>
              <w:spacing w:after="20"/>
            </w:pPr>
            <w:r>
              <w:rPr>
                <w:color w:val="1C3A36"/>
                <w:sz w:val="14"/>
              </w:rPr>
              <w:t>6,020.3387</w:t>
            </w:r>
          </w:p>
        </w:tc>
        <w:tc>
          <w:tcPr>
            <w:tcW w:type="dxa" w:w="1066"/>
          </w:tcPr>
          <w:p>
            <w:pPr>
              <w:spacing w:after="20"/>
            </w:pPr>
            <w:r>
              <w:rPr>
                <w:color w:val="1C3A36"/>
                <w:sz w:val="14"/>
              </w:rPr>
              <w:t>Company</w:t>
            </w:r>
          </w:p>
        </w:tc>
        <w:tc>
          <w:tcPr>
            <w:tcW w:type="dxa" w:w="7085"/>
          </w:tcPr>
          <w:p>
            <w:pPr>
              <w:spacing w:after="20"/>
            </w:pPr>
            <w:r>
              <w:rPr>
                <w:color w:val="1C3A36"/>
                <w:sz w:val="14"/>
              </w:rPr>
              <w:t>Total shareholders' equity at 31 December 2025, footing across capital, reserves, retained earnings and the year's profit. Audited statement of financial position at 31 December 2025, printed page 2, from the company's own website. Revision 2 used an aggregator's carry of S&amp;P Global Market Intelligence</w:t>
            </w:r>
          </w:p>
        </w:tc>
        <w:tc>
          <w:tcPr>
            <w:tcW w:type="dxa" w:w="1210"/>
          </w:tcPr>
          <w:p>
            <w:pPr>
              <w:spacing w:after="20"/>
            </w:pPr>
            <w:r>
              <w:rPr>
                <w:color w:val="1C3A36"/>
                <w:sz w:val="14"/>
              </w:rPr>
              <w:t>2025-12-31</w:t>
            </w:r>
          </w:p>
        </w:tc>
      </w:tr>
      <w:tr>
        <w:tc>
          <w:tcPr>
            <w:tcW w:type="dxa" w:w="518"/>
          </w:tcPr>
          <w:p>
            <w:pPr>
              <w:spacing w:after="20"/>
            </w:pPr>
            <w:r>
              <w:rPr>
                <w:color w:val="1C3A36"/>
                <w:sz w:val="14"/>
              </w:rPr>
              <w:t>20</w:t>
            </w:r>
          </w:p>
        </w:tc>
        <w:tc>
          <w:tcPr>
            <w:tcW w:type="dxa" w:w="2448"/>
          </w:tcPr>
          <w:p>
            <w:pPr>
              <w:spacing w:after="20"/>
            </w:pPr>
            <w:r>
              <w:rPr>
                <w:color w:val="1C3A36"/>
                <w:sz w:val="14"/>
              </w:rPr>
              <w:t>eq_mar26</w:t>
            </w:r>
          </w:p>
        </w:tc>
        <w:tc>
          <w:tcPr>
            <w:tcW w:type="dxa" w:w="1325"/>
          </w:tcPr>
          <w:p>
            <w:pPr>
              <w:spacing w:after="20"/>
            </w:pPr>
            <w:r>
              <w:rPr>
                <w:color w:val="1C3A36"/>
                <w:sz w:val="14"/>
              </w:rPr>
              <w:t>7,134.8177</w:t>
            </w:r>
          </w:p>
        </w:tc>
        <w:tc>
          <w:tcPr>
            <w:tcW w:type="dxa" w:w="1066"/>
          </w:tcPr>
          <w:p>
            <w:pPr>
              <w:spacing w:after="20"/>
            </w:pPr>
            <w:r>
              <w:rPr>
                <w:color w:val="1C3A36"/>
                <w:sz w:val="14"/>
              </w:rPr>
              <w:t>Company</w:t>
            </w:r>
          </w:p>
        </w:tc>
        <w:tc>
          <w:tcPr>
            <w:tcW w:type="dxa" w:w="7085"/>
          </w:tcPr>
          <w:p>
            <w:pPr>
              <w:spacing w:after="20"/>
            </w:pPr>
            <w:r>
              <w:rPr>
                <w:color w:val="1C3A36"/>
                <w:sz w:val="14"/>
              </w:rPr>
              <w:t>Total equity, reviewed sheet at 31 March 2026</w:t>
            </w:r>
          </w:p>
        </w:tc>
        <w:tc>
          <w:tcPr>
            <w:tcW w:type="dxa" w:w="1210"/>
          </w:tcPr>
          <w:p>
            <w:pPr>
              <w:spacing w:after="20"/>
            </w:pPr>
            <w:r>
              <w:rPr>
                <w:color w:val="1C3A36"/>
                <w:sz w:val="14"/>
              </w:rPr>
              <w:t>2026-03-31</w:t>
            </w:r>
          </w:p>
        </w:tc>
      </w:tr>
      <w:tr>
        <w:tc>
          <w:tcPr>
            <w:tcW w:type="dxa" w:w="518"/>
          </w:tcPr>
          <w:p>
            <w:pPr>
              <w:spacing w:after="20"/>
            </w:pPr>
            <w:r>
              <w:rPr>
                <w:color w:val="1C3A36"/>
                <w:sz w:val="14"/>
              </w:rPr>
              <w:t>21</w:t>
            </w:r>
          </w:p>
        </w:tc>
        <w:tc>
          <w:tcPr>
            <w:tcW w:type="dxa" w:w="2448"/>
          </w:tcPr>
          <w:p>
            <w:pPr>
              <w:spacing w:after="20"/>
            </w:pPr>
            <w:r>
              <w:rPr>
                <w:color w:val="1C3A36"/>
                <w:sz w:val="14"/>
              </w:rPr>
              <w:t>free_float</w:t>
            </w:r>
          </w:p>
        </w:tc>
        <w:tc>
          <w:tcPr>
            <w:tcW w:type="dxa" w:w="1325"/>
          </w:tcPr>
          <w:p>
            <w:pPr>
              <w:spacing w:after="20"/>
            </w:pPr>
            <w:r>
              <w:rPr>
                <w:color w:val="1C3A36"/>
                <w:sz w:val="14"/>
              </w:rPr>
              <w:t>0.224</w:t>
            </w:r>
          </w:p>
        </w:tc>
        <w:tc>
          <w:tcPr>
            <w:tcW w:type="dxa" w:w="1066"/>
          </w:tcPr>
          <w:p>
            <w:pPr>
              <w:spacing w:after="20"/>
            </w:pPr>
            <w:r>
              <w:rPr>
                <w:color w:val="1C3A36"/>
                <w:sz w:val="14"/>
              </w:rPr>
              <w:t>Company</w:t>
            </w:r>
          </w:p>
        </w:tc>
        <w:tc>
          <w:tcPr>
            <w:tcW w:type="dxa" w:w="7085"/>
          </w:tcPr>
          <w:p>
            <w:pPr>
              <w:spacing w:after="20"/>
            </w:pPr>
            <w:r>
              <w:rPr>
                <w:color w:val="1C3A36"/>
                <w:sz w:val="14"/>
              </w:rPr>
              <w:t>The public float, being one less Vicat's holding. DERIVED: 1 - vicat_stake, and it is the share count the same tender offer names (58,416,664 of 260,812,477 = 22.4%), which is the check that the two figures are one fact and not two</w:t>
            </w:r>
          </w:p>
        </w:tc>
        <w:tc>
          <w:tcPr>
            <w:tcW w:type="dxa" w:w="1210"/>
          </w:tcPr>
          <w:p>
            <w:pPr>
              <w:spacing w:after="20"/>
            </w:pPr>
            <w:r>
              <w:rPr>
                <w:color w:val="1C3A36"/>
                <w:sz w:val="14"/>
              </w:rPr>
              <w:t>2025-07-28</w:t>
            </w:r>
          </w:p>
        </w:tc>
      </w:tr>
      <w:tr>
        <w:tc>
          <w:tcPr>
            <w:tcW w:type="dxa" w:w="518"/>
          </w:tcPr>
          <w:p>
            <w:pPr>
              <w:spacing w:after="20"/>
            </w:pPr>
            <w:r>
              <w:rPr>
                <w:color w:val="1C3A36"/>
                <w:sz w:val="14"/>
              </w:rPr>
              <w:t>22</w:t>
            </w:r>
          </w:p>
        </w:tc>
        <w:tc>
          <w:tcPr>
            <w:tcW w:type="dxa" w:w="2448"/>
          </w:tcPr>
          <w:p>
            <w:pPr>
              <w:spacing w:after="20"/>
            </w:pPr>
            <w:r>
              <w:rPr>
                <w:color w:val="1C3A36"/>
                <w:sz w:val="14"/>
              </w:rPr>
              <w:t>gross_fixed_fy25</w:t>
            </w:r>
          </w:p>
        </w:tc>
        <w:tc>
          <w:tcPr>
            <w:tcW w:type="dxa" w:w="1325"/>
          </w:tcPr>
          <w:p>
            <w:pPr>
              <w:spacing w:after="20"/>
            </w:pPr>
            <w:r>
              <w:rPr>
                <w:color w:val="1C3A36"/>
                <w:sz w:val="14"/>
              </w:rPr>
              <w:t>3,140.8552</w:t>
            </w:r>
          </w:p>
        </w:tc>
        <w:tc>
          <w:tcPr>
            <w:tcW w:type="dxa" w:w="1066"/>
          </w:tcPr>
          <w:p>
            <w:pPr>
              <w:spacing w:after="20"/>
            </w:pPr>
            <w:r>
              <w:rPr>
                <w:color w:val="1C3A36"/>
                <w:sz w:val="14"/>
              </w:rPr>
              <w:t>Company</w:t>
            </w:r>
          </w:p>
        </w:tc>
        <w:tc>
          <w:tcPr>
            <w:tcW w:type="dxa" w:w="7085"/>
          </w:tcPr>
          <w:p>
            <w:pPr>
              <w:spacing w:after="20"/>
            </w:pPr>
            <w:r>
              <w:rPr>
                <w:color w:val="1C3A36"/>
                <w:sz w:val="14"/>
              </w:rPr>
              <w:t>Note 4, gross cost of fixed assets at 31-Dec-2025, footing across five classes audited statements for the year ended 31 December 2025, read from the company's own website; committed with its footings in filings_extract.py</w:t>
            </w:r>
          </w:p>
        </w:tc>
        <w:tc>
          <w:tcPr>
            <w:tcW w:type="dxa" w:w="1210"/>
          </w:tcPr>
          <w:p>
            <w:pPr>
              <w:spacing w:after="20"/>
            </w:pPr>
            <w:r>
              <w:rPr>
                <w:color w:val="1C3A36"/>
                <w:sz w:val="14"/>
              </w:rPr>
              <w:t>2025-12-31</w:t>
            </w:r>
          </w:p>
        </w:tc>
      </w:tr>
      <w:tr>
        <w:tc>
          <w:tcPr>
            <w:tcW w:type="dxa" w:w="518"/>
          </w:tcPr>
          <w:p>
            <w:pPr>
              <w:spacing w:after="20"/>
            </w:pPr>
            <w:r>
              <w:rPr>
                <w:color w:val="1C3A36"/>
                <w:sz w:val="14"/>
              </w:rPr>
              <w:t>23</w:t>
            </w:r>
          </w:p>
        </w:tc>
        <w:tc>
          <w:tcPr>
            <w:tcW w:type="dxa" w:w="2448"/>
          </w:tcPr>
          <w:p>
            <w:pPr>
              <w:spacing w:after="20"/>
            </w:pPr>
            <w:r>
              <w:rPr>
                <w:color w:val="1C3A36"/>
                <w:sz w:val="14"/>
              </w:rPr>
              <w:t>mto_price</w:t>
            </w:r>
          </w:p>
        </w:tc>
        <w:tc>
          <w:tcPr>
            <w:tcW w:type="dxa" w:w="1325"/>
          </w:tcPr>
          <w:p>
            <w:pPr>
              <w:spacing w:after="20"/>
            </w:pPr>
            <w:r>
              <w:rPr>
                <w:color w:val="1C3A36"/>
                <w:sz w:val="14"/>
              </w:rPr>
              <w:t>41</w:t>
            </w:r>
          </w:p>
        </w:tc>
        <w:tc>
          <w:tcPr>
            <w:tcW w:type="dxa" w:w="1066"/>
          </w:tcPr>
          <w:p>
            <w:pPr>
              <w:spacing w:after="20"/>
            </w:pPr>
            <w:r>
              <w:rPr>
                <w:color w:val="1C3A36"/>
                <w:sz w:val="14"/>
              </w:rPr>
              <w:t>Company</w:t>
            </w:r>
          </w:p>
        </w:tc>
        <w:tc>
          <w:tcPr>
            <w:tcW w:type="dxa" w:w="7085"/>
          </w:tcPr>
          <w:p>
            <w:pPr>
              <w:spacing w:after="20"/>
            </w:pPr>
            <w:r>
              <w:rPr>
                <w:color w:val="1C3A36"/>
                <w:sz w:val="14"/>
              </w:rPr>
              <w:t>Vicat mandatory tender offer, July 2025. A disclosed reference point and an overhang, never a fair value</w:t>
            </w:r>
          </w:p>
        </w:tc>
        <w:tc>
          <w:tcPr>
            <w:tcW w:type="dxa" w:w="1210"/>
          </w:tcPr>
          <w:p>
            <w:pPr>
              <w:spacing w:after="20"/>
            </w:pPr>
            <w:r>
              <w:rPr>
                <w:color w:val="1C3A36"/>
                <w:sz w:val="14"/>
              </w:rPr>
              <w:t>2025-07-28</w:t>
            </w:r>
          </w:p>
        </w:tc>
      </w:tr>
      <w:tr>
        <w:tc>
          <w:tcPr>
            <w:tcW w:type="dxa" w:w="518"/>
          </w:tcPr>
          <w:p>
            <w:pPr>
              <w:spacing w:after="20"/>
            </w:pPr>
            <w:r>
              <w:rPr>
                <w:color w:val="1C3A36"/>
                <w:sz w:val="14"/>
              </w:rPr>
              <w:t>24</w:t>
            </w:r>
          </w:p>
        </w:tc>
        <w:tc>
          <w:tcPr>
            <w:tcW w:type="dxa" w:w="2448"/>
          </w:tcPr>
          <w:p>
            <w:pPr>
              <w:spacing w:after="20"/>
            </w:pPr>
            <w:r>
              <w:rPr>
                <w:color w:val="1C3A36"/>
                <w:sz w:val="14"/>
              </w:rPr>
              <w:t>pat_fy23</w:t>
            </w:r>
          </w:p>
        </w:tc>
        <w:tc>
          <w:tcPr>
            <w:tcW w:type="dxa" w:w="1325"/>
          </w:tcPr>
          <w:p>
            <w:pPr>
              <w:spacing w:after="20"/>
            </w:pPr>
            <w:r>
              <w:rPr>
                <w:color w:val="1C3A36"/>
                <w:sz w:val="14"/>
              </w:rPr>
              <w:t>-117.5816</w:t>
            </w:r>
          </w:p>
        </w:tc>
        <w:tc>
          <w:tcPr>
            <w:tcW w:type="dxa" w:w="1066"/>
          </w:tcPr>
          <w:p>
            <w:pPr>
              <w:spacing w:after="20"/>
            </w:pPr>
            <w:r>
              <w:rPr>
                <w:color w:val="1C3A36"/>
                <w:sz w:val="14"/>
              </w:rPr>
              <w:t>Company</w:t>
            </w:r>
          </w:p>
        </w:tc>
        <w:tc>
          <w:tcPr>
            <w:tcW w:type="dxa" w:w="7085"/>
          </w:tcPr>
          <w:p>
            <w:pPr>
              <w:spacing w:after="20"/>
            </w:pPr>
            <w:r>
              <w:rPr>
                <w:color w:val="1C3A36"/>
                <w:sz w:val="14"/>
              </w:rPr>
              <w:t>Audited statement of profit or loss for the year ended 31 December 2023 (the comparative column of the FY2024 filing), printed page 3, read from the company's own website and committed with its footings in filings_extract.py. Revision 2 used a trade-press figure relayed from an EGX filing it had not read</w:t>
            </w:r>
          </w:p>
        </w:tc>
        <w:tc>
          <w:tcPr>
            <w:tcW w:type="dxa" w:w="1210"/>
          </w:tcPr>
          <w:p>
            <w:pPr>
              <w:spacing w:after="20"/>
            </w:pPr>
            <w:r>
              <w:rPr>
                <w:color w:val="1C3A36"/>
                <w:sz w:val="14"/>
              </w:rPr>
              <w:t>2025-12-31</w:t>
            </w:r>
          </w:p>
        </w:tc>
      </w:tr>
      <w:tr>
        <w:tc>
          <w:tcPr>
            <w:tcW w:type="dxa" w:w="518"/>
          </w:tcPr>
          <w:p>
            <w:pPr>
              <w:spacing w:after="20"/>
            </w:pPr>
            <w:r>
              <w:rPr>
                <w:color w:val="1C3A36"/>
                <w:sz w:val="14"/>
              </w:rPr>
              <w:t>25</w:t>
            </w:r>
          </w:p>
        </w:tc>
        <w:tc>
          <w:tcPr>
            <w:tcW w:type="dxa" w:w="2448"/>
          </w:tcPr>
          <w:p>
            <w:pPr>
              <w:spacing w:after="20"/>
            </w:pPr>
            <w:r>
              <w:rPr>
                <w:color w:val="1C3A36"/>
                <w:sz w:val="14"/>
              </w:rPr>
              <w:t>pat_fy24</w:t>
            </w:r>
          </w:p>
        </w:tc>
        <w:tc>
          <w:tcPr>
            <w:tcW w:type="dxa" w:w="1325"/>
          </w:tcPr>
          <w:p>
            <w:pPr>
              <w:spacing w:after="20"/>
            </w:pPr>
            <w:r>
              <w:rPr>
                <w:color w:val="1C3A36"/>
                <w:sz w:val="14"/>
              </w:rPr>
              <w:t>3,072.3618</w:t>
            </w:r>
          </w:p>
        </w:tc>
        <w:tc>
          <w:tcPr>
            <w:tcW w:type="dxa" w:w="1066"/>
          </w:tcPr>
          <w:p>
            <w:pPr>
              <w:spacing w:after="20"/>
            </w:pPr>
            <w:r>
              <w:rPr>
                <w:color w:val="1C3A36"/>
                <w:sz w:val="14"/>
              </w:rPr>
              <w:t>Company</w:t>
            </w:r>
          </w:p>
        </w:tc>
        <w:tc>
          <w:tcPr>
            <w:tcW w:type="dxa" w:w="7085"/>
          </w:tcPr>
          <w:p>
            <w:pPr>
              <w:spacing w:after="20"/>
            </w:pPr>
            <w:r>
              <w:rPr>
                <w:color w:val="1C3A36"/>
                <w:sz w:val="14"/>
              </w:rPr>
              <w:t>Audited statement of profit or loss for the year ended 31 December 2024, printed page 3, read from the company's own website and committed with its footings in filings_extract.py. Revision 2 used a trade-press figure relayed from an EGX filing it had not read</w:t>
            </w:r>
          </w:p>
        </w:tc>
        <w:tc>
          <w:tcPr>
            <w:tcW w:type="dxa" w:w="1210"/>
          </w:tcPr>
          <w:p>
            <w:pPr>
              <w:spacing w:after="20"/>
            </w:pPr>
            <w:r>
              <w:rPr>
                <w:color w:val="1C3A36"/>
                <w:sz w:val="14"/>
              </w:rPr>
              <w:t>2025-12-31</w:t>
            </w:r>
          </w:p>
        </w:tc>
      </w:tr>
      <w:tr>
        <w:tc>
          <w:tcPr>
            <w:tcW w:type="dxa" w:w="518"/>
          </w:tcPr>
          <w:p>
            <w:pPr>
              <w:spacing w:after="20"/>
            </w:pPr>
            <w:r>
              <w:rPr>
                <w:color w:val="1C3A36"/>
                <w:sz w:val="14"/>
              </w:rPr>
              <w:t>26</w:t>
            </w:r>
          </w:p>
        </w:tc>
        <w:tc>
          <w:tcPr>
            <w:tcW w:type="dxa" w:w="2448"/>
          </w:tcPr>
          <w:p>
            <w:pPr>
              <w:spacing w:after="20"/>
            </w:pPr>
            <w:r>
              <w:rPr>
                <w:color w:val="1C3A36"/>
                <w:sz w:val="14"/>
              </w:rPr>
              <w:t>pat_fy25</w:t>
            </w:r>
          </w:p>
        </w:tc>
        <w:tc>
          <w:tcPr>
            <w:tcW w:type="dxa" w:w="1325"/>
          </w:tcPr>
          <w:p>
            <w:pPr>
              <w:spacing w:after="20"/>
            </w:pPr>
            <w:r>
              <w:rPr>
                <w:color w:val="1C3A36"/>
                <w:sz w:val="14"/>
              </w:rPr>
              <w:t>2,284.539</w:t>
            </w:r>
          </w:p>
        </w:tc>
        <w:tc>
          <w:tcPr>
            <w:tcW w:type="dxa" w:w="1066"/>
          </w:tcPr>
          <w:p>
            <w:pPr>
              <w:spacing w:after="20"/>
            </w:pPr>
            <w:r>
              <w:rPr>
                <w:color w:val="1C3A36"/>
                <w:sz w:val="14"/>
              </w:rPr>
              <w:t>Company</w:t>
            </w:r>
          </w:p>
        </w:tc>
        <w:tc>
          <w:tcPr>
            <w:tcW w:type="dxa" w:w="7085"/>
          </w:tcPr>
          <w:p>
            <w:pPr>
              <w:spacing w:after="20"/>
            </w:pPr>
            <w:r>
              <w:rPr>
                <w:color w:val="1C3A36"/>
                <w:sz w:val="14"/>
              </w:rPr>
              <w:t>Audited statement of profit or loss for the year ended 31 December 2025, printed page 3, read from the company's own website and committed with its footings in filings_extract.py. Revision 2 used a trade-press figure relayed from an EGX filing it had not read</w:t>
            </w:r>
          </w:p>
        </w:tc>
        <w:tc>
          <w:tcPr>
            <w:tcW w:type="dxa" w:w="1210"/>
          </w:tcPr>
          <w:p>
            <w:pPr>
              <w:spacing w:after="20"/>
            </w:pPr>
            <w:r>
              <w:rPr>
                <w:color w:val="1C3A36"/>
                <w:sz w:val="14"/>
              </w:rPr>
              <w:t>2025-12-31</w:t>
            </w:r>
          </w:p>
        </w:tc>
      </w:tr>
      <w:tr>
        <w:tc>
          <w:tcPr>
            <w:tcW w:type="dxa" w:w="518"/>
          </w:tcPr>
          <w:p>
            <w:pPr>
              <w:spacing w:after="20"/>
            </w:pPr>
            <w:r>
              <w:rPr>
                <w:color w:val="1C3A36"/>
                <w:sz w:val="14"/>
              </w:rPr>
              <w:t>27</w:t>
            </w:r>
          </w:p>
        </w:tc>
        <w:tc>
          <w:tcPr>
            <w:tcW w:type="dxa" w:w="2448"/>
          </w:tcPr>
          <w:p>
            <w:pPr>
              <w:spacing w:after="20"/>
            </w:pPr>
            <w:r>
              <w:rPr>
                <w:color w:val="1C3A36"/>
                <w:sz w:val="14"/>
              </w:rPr>
              <w:t>payout</w:t>
            </w:r>
          </w:p>
        </w:tc>
        <w:tc>
          <w:tcPr>
            <w:tcW w:type="dxa" w:w="1325"/>
          </w:tcPr>
          <w:p>
            <w:pPr>
              <w:spacing w:after="20"/>
            </w:pPr>
            <w:r>
              <w:rPr>
                <w:color w:val="1C3A36"/>
                <w:sz w:val="14"/>
              </w:rPr>
              <w:t>0</w:t>
            </w:r>
          </w:p>
        </w:tc>
        <w:tc>
          <w:tcPr>
            <w:tcW w:type="dxa" w:w="1066"/>
          </w:tcPr>
          <w:p>
            <w:pPr>
              <w:spacing w:after="20"/>
            </w:pPr>
            <w:r>
              <w:rPr>
                <w:color w:val="1C3A36"/>
                <w:sz w:val="14"/>
              </w:rPr>
              <w:t>Company</w:t>
            </w:r>
          </w:p>
        </w:tc>
        <w:tc>
          <w:tcPr>
            <w:tcW w:type="dxa" w:w="7085"/>
          </w:tcPr>
          <w:p>
            <w:pPr>
              <w:spacing w:after="20"/>
            </w:pPr>
            <w:r>
              <w:rPr>
                <w:color w:val="1C3A36"/>
                <w:sz w:val="14"/>
              </w:rPr>
              <w:t>Dividend payout from FY2026E. THE FILED EQUITY STATEMENTS SHOW NO DISTRIBUTION AT ALL, twice over and to the pound: equity of EGP 3,735.80mn at 31-Dec-2024 plus FY2025 profit of 2,284.54mn is exactly the filed 6,020.34mn, and that plus the reviewed quarter's 1,114.48mn is exactly the filed 7,134.82mn at 31-Mar-2026. A 60% payout was assumed against a company whose own statements reconcile with none, and an earlier edition called the implied distribution its 'largest single uncertainty' — it dissolves against the record. This changes no valuation number, because free cash flow to the firm is struck before financing; it changes the projected balance sheet a reader is shown</w:t>
            </w:r>
          </w:p>
        </w:tc>
        <w:tc>
          <w:tcPr>
            <w:tcW w:type="dxa" w:w="1210"/>
          </w:tcPr>
          <w:p>
            <w:pPr>
              <w:spacing w:after="20"/>
            </w:pPr>
            <w:r>
              <w:rPr>
                <w:color w:val="1C3A36"/>
                <w:sz w:val="14"/>
              </w:rPr>
              <w:t>2026-09-04</w:t>
            </w:r>
          </w:p>
        </w:tc>
      </w:tr>
      <w:tr>
        <w:tc>
          <w:tcPr>
            <w:tcW w:type="dxa" w:w="518"/>
          </w:tcPr>
          <w:p>
            <w:pPr>
              <w:spacing w:after="20"/>
            </w:pPr>
            <w:r>
              <w:rPr>
                <w:color w:val="1C3A36"/>
                <w:sz w:val="14"/>
              </w:rPr>
              <w:t>28</w:t>
            </w:r>
          </w:p>
        </w:tc>
        <w:tc>
          <w:tcPr>
            <w:tcW w:type="dxa" w:w="2448"/>
          </w:tcPr>
          <w:p>
            <w:pPr>
              <w:spacing w:after="20"/>
            </w:pPr>
            <w:r>
              <w:rPr>
                <w:color w:val="1C3A36"/>
                <w:sz w:val="14"/>
              </w:rPr>
              <w:t>rev_fy23</w:t>
            </w:r>
          </w:p>
        </w:tc>
        <w:tc>
          <w:tcPr>
            <w:tcW w:type="dxa" w:w="1325"/>
          </w:tcPr>
          <w:p>
            <w:pPr>
              <w:spacing w:after="20"/>
            </w:pPr>
            <w:r>
              <w:rPr>
                <w:color w:val="1C3A36"/>
                <w:sz w:val="14"/>
              </w:rPr>
              <w:t>4,285.4702</w:t>
            </w:r>
          </w:p>
        </w:tc>
        <w:tc>
          <w:tcPr>
            <w:tcW w:type="dxa" w:w="1066"/>
          </w:tcPr>
          <w:p>
            <w:pPr>
              <w:spacing w:after="20"/>
            </w:pPr>
            <w:r>
              <w:rPr>
                <w:color w:val="1C3A36"/>
                <w:sz w:val="14"/>
              </w:rPr>
              <w:t>Company</w:t>
            </w:r>
          </w:p>
        </w:tc>
        <w:tc>
          <w:tcPr>
            <w:tcW w:type="dxa" w:w="7085"/>
          </w:tcPr>
          <w:p>
            <w:pPr>
              <w:spacing w:after="20"/>
            </w:pPr>
            <w:r>
              <w:rPr>
                <w:color w:val="1C3A36"/>
                <w:sz w:val="14"/>
              </w:rPr>
              <w:t>Audited statement of profit or loss for the year ended 31 December 2023 (the comparative column of the FY2024 filing), printed page 3, read from the company's own website and committed with its footings in filings_extract.py. Revision 2 used a trade-press figure relayed from an EGX filing it had not read</w:t>
            </w:r>
          </w:p>
        </w:tc>
        <w:tc>
          <w:tcPr>
            <w:tcW w:type="dxa" w:w="1210"/>
          </w:tcPr>
          <w:p>
            <w:pPr>
              <w:spacing w:after="20"/>
            </w:pPr>
            <w:r>
              <w:rPr>
                <w:color w:val="1C3A36"/>
                <w:sz w:val="14"/>
              </w:rPr>
              <w:t>2025-12-31</w:t>
            </w:r>
          </w:p>
        </w:tc>
      </w:tr>
      <w:tr>
        <w:tc>
          <w:tcPr>
            <w:tcW w:type="dxa" w:w="518"/>
          </w:tcPr>
          <w:p>
            <w:pPr>
              <w:spacing w:after="20"/>
            </w:pPr>
            <w:r>
              <w:rPr>
                <w:color w:val="1C3A36"/>
                <w:sz w:val="14"/>
              </w:rPr>
              <w:t>29</w:t>
            </w:r>
          </w:p>
        </w:tc>
        <w:tc>
          <w:tcPr>
            <w:tcW w:type="dxa" w:w="2448"/>
          </w:tcPr>
          <w:p>
            <w:pPr>
              <w:spacing w:after="20"/>
            </w:pPr>
            <w:r>
              <w:rPr>
                <w:color w:val="1C3A36"/>
                <w:sz w:val="14"/>
              </w:rPr>
              <w:t>rev_fy24</w:t>
            </w:r>
          </w:p>
        </w:tc>
        <w:tc>
          <w:tcPr>
            <w:tcW w:type="dxa" w:w="1325"/>
          </w:tcPr>
          <w:p>
            <w:pPr>
              <w:spacing w:after="20"/>
            </w:pPr>
            <w:r>
              <w:rPr>
                <w:color w:val="1C3A36"/>
                <w:sz w:val="14"/>
              </w:rPr>
              <w:t>6,428.0119</w:t>
            </w:r>
          </w:p>
        </w:tc>
        <w:tc>
          <w:tcPr>
            <w:tcW w:type="dxa" w:w="1066"/>
          </w:tcPr>
          <w:p>
            <w:pPr>
              <w:spacing w:after="20"/>
            </w:pPr>
            <w:r>
              <w:rPr>
                <w:color w:val="1C3A36"/>
                <w:sz w:val="14"/>
              </w:rPr>
              <w:t>Company</w:t>
            </w:r>
          </w:p>
        </w:tc>
        <w:tc>
          <w:tcPr>
            <w:tcW w:type="dxa" w:w="7085"/>
          </w:tcPr>
          <w:p>
            <w:pPr>
              <w:spacing w:after="20"/>
            </w:pPr>
            <w:r>
              <w:rPr>
                <w:color w:val="1C3A36"/>
                <w:sz w:val="14"/>
              </w:rPr>
              <w:t>Audited statement of profit or loss for the year ended 31 December 2024, printed page 3, read from the company's own website and committed with its footings in filings_extract.py. Revision 2 used a trade-press figure relayed from an EGX filing it had not read</w:t>
            </w:r>
          </w:p>
        </w:tc>
        <w:tc>
          <w:tcPr>
            <w:tcW w:type="dxa" w:w="1210"/>
          </w:tcPr>
          <w:p>
            <w:pPr>
              <w:spacing w:after="20"/>
            </w:pPr>
            <w:r>
              <w:rPr>
                <w:color w:val="1C3A36"/>
                <w:sz w:val="14"/>
              </w:rPr>
              <w:t>2025-12-31</w:t>
            </w:r>
          </w:p>
        </w:tc>
      </w:tr>
      <w:tr>
        <w:tc>
          <w:tcPr>
            <w:tcW w:type="dxa" w:w="518"/>
          </w:tcPr>
          <w:p>
            <w:pPr>
              <w:spacing w:after="20"/>
            </w:pPr>
            <w:r>
              <w:rPr>
                <w:color w:val="1C3A36"/>
                <w:sz w:val="14"/>
              </w:rPr>
              <w:t>30</w:t>
            </w:r>
          </w:p>
        </w:tc>
        <w:tc>
          <w:tcPr>
            <w:tcW w:type="dxa" w:w="2448"/>
          </w:tcPr>
          <w:p>
            <w:pPr>
              <w:spacing w:after="20"/>
            </w:pPr>
            <w:r>
              <w:rPr>
                <w:color w:val="1C3A36"/>
                <w:sz w:val="14"/>
              </w:rPr>
              <w:t>rev_fy25</w:t>
            </w:r>
          </w:p>
        </w:tc>
        <w:tc>
          <w:tcPr>
            <w:tcW w:type="dxa" w:w="1325"/>
          </w:tcPr>
          <w:p>
            <w:pPr>
              <w:spacing w:after="20"/>
            </w:pPr>
            <w:r>
              <w:rPr>
                <w:color w:val="1C3A36"/>
                <w:sz w:val="14"/>
              </w:rPr>
              <w:t>9,089.1497</w:t>
            </w:r>
          </w:p>
        </w:tc>
        <w:tc>
          <w:tcPr>
            <w:tcW w:type="dxa" w:w="1066"/>
          </w:tcPr>
          <w:p>
            <w:pPr>
              <w:spacing w:after="20"/>
            </w:pPr>
            <w:r>
              <w:rPr>
                <w:color w:val="1C3A36"/>
                <w:sz w:val="14"/>
              </w:rPr>
              <w:t>Company</w:t>
            </w:r>
          </w:p>
        </w:tc>
        <w:tc>
          <w:tcPr>
            <w:tcW w:type="dxa" w:w="7085"/>
          </w:tcPr>
          <w:p>
            <w:pPr>
              <w:spacing w:after="20"/>
            </w:pPr>
            <w:r>
              <w:rPr>
                <w:color w:val="1C3A36"/>
                <w:sz w:val="14"/>
              </w:rPr>
              <w:t>Audited statement of profit or loss for the year ended 31 December 2025, printed page 3, read from the company's own website and committed with its footings in filings_extract.py. Revision 2 used a trade-press figure relayed from an EGX filing it had not read</w:t>
            </w:r>
          </w:p>
        </w:tc>
        <w:tc>
          <w:tcPr>
            <w:tcW w:type="dxa" w:w="1210"/>
          </w:tcPr>
          <w:p>
            <w:pPr>
              <w:spacing w:after="20"/>
            </w:pPr>
            <w:r>
              <w:rPr>
                <w:color w:val="1C3A36"/>
                <w:sz w:val="14"/>
              </w:rPr>
              <w:t>2025-12-31</w:t>
            </w:r>
          </w:p>
        </w:tc>
      </w:tr>
      <w:tr>
        <w:tc>
          <w:tcPr>
            <w:tcW w:type="dxa" w:w="518"/>
          </w:tcPr>
          <w:p>
            <w:pPr>
              <w:spacing w:after="20"/>
            </w:pPr>
            <w:r>
              <w:rPr>
                <w:color w:val="1C3A36"/>
                <w:sz w:val="14"/>
              </w:rPr>
              <w:t>31</w:t>
            </w:r>
          </w:p>
        </w:tc>
        <w:tc>
          <w:tcPr>
            <w:tcW w:type="dxa" w:w="2448"/>
          </w:tcPr>
          <w:p>
            <w:pPr>
              <w:spacing w:after="20"/>
            </w:pPr>
            <w:r>
              <w:rPr>
                <w:color w:val="1C3A36"/>
                <w:sz w:val="14"/>
              </w:rPr>
              <w:t>shares_fy23</w:t>
            </w:r>
          </w:p>
        </w:tc>
        <w:tc>
          <w:tcPr>
            <w:tcW w:type="dxa" w:w="1325"/>
          </w:tcPr>
          <w:p>
            <w:pPr>
              <w:spacing w:after="20"/>
            </w:pPr>
            <w:r>
              <w:rPr>
                <w:color w:val="1C3A36"/>
                <w:sz w:val="14"/>
              </w:rPr>
              <w:t>133.07</w:t>
            </w:r>
          </w:p>
        </w:tc>
        <w:tc>
          <w:tcPr>
            <w:tcW w:type="dxa" w:w="1066"/>
          </w:tcPr>
          <w:p>
            <w:pPr>
              <w:spacing w:after="20"/>
            </w:pPr>
            <w:r>
              <w:rPr>
                <w:color w:val="1C3A36"/>
                <w:sz w:val="14"/>
              </w:rPr>
              <w:t>Company</w:t>
            </w:r>
          </w:p>
        </w:tc>
        <w:tc>
          <w:tcPr>
            <w:tcW w:type="dxa" w:w="7085"/>
          </w:tcPr>
          <w:p>
            <w:pPr>
              <w:spacing w:after="20"/>
            </w:pPr>
            <w:r>
              <w:rPr>
                <w:color w:val="1C3A36"/>
                <w:sz w:val="14"/>
              </w:rPr>
              <w:t>Weighted-average shares FY2023, pre-rights-issue. Corroborated by the 2022 tender offer (56.063mn = 42.12%) and by disclosed EPS</w:t>
            </w:r>
          </w:p>
        </w:tc>
        <w:tc>
          <w:tcPr>
            <w:tcW w:type="dxa" w:w="1210"/>
          </w:tcPr>
          <w:p>
            <w:pPr>
              <w:spacing w:after="20"/>
            </w:pPr>
            <w:r>
              <w:rPr>
                <w:color w:val="1C3A36"/>
                <w:sz w:val="14"/>
              </w:rPr>
              <w:t>2025-03-16</w:t>
            </w:r>
          </w:p>
        </w:tc>
      </w:tr>
      <w:tr>
        <w:tc>
          <w:tcPr>
            <w:tcW w:type="dxa" w:w="518"/>
          </w:tcPr>
          <w:p>
            <w:pPr>
              <w:spacing w:after="20"/>
            </w:pPr>
            <w:r>
              <w:rPr>
                <w:color w:val="1C3A36"/>
                <w:sz w:val="14"/>
              </w:rPr>
              <w:t>32</w:t>
            </w:r>
          </w:p>
        </w:tc>
        <w:tc>
          <w:tcPr>
            <w:tcW w:type="dxa" w:w="2448"/>
          </w:tcPr>
          <w:p>
            <w:pPr>
              <w:spacing w:after="20"/>
            </w:pPr>
            <w:r>
              <w:rPr>
                <w:color w:val="1C3A36"/>
                <w:sz w:val="14"/>
              </w:rPr>
              <w:t>shares_fy24</w:t>
            </w:r>
          </w:p>
        </w:tc>
        <w:tc>
          <w:tcPr>
            <w:tcW w:type="dxa" w:w="1325"/>
          </w:tcPr>
          <w:p>
            <w:pPr>
              <w:spacing w:after="20"/>
            </w:pPr>
            <w:r>
              <w:rPr>
                <w:color w:val="1C3A36"/>
                <w:sz w:val="14"/>
              </w:rPr>
              <w:t>133.07</w:t>
            </w:r>
          </w:p>
        </w:tc>
        <w:tc>
          <w:tcPr>
            <w:tcW w:type="dxa" w:w="1066"/>
          </w:tcPr>
          <w:p>
            <w:pPr>
              <w:spacing w:after="20"/>
            </w:pPr>
            <w:r>
              <w:rPr>
                <w:color w:val="1C3A36"/>
                <w:sz w:val="14"/>
              </w:rPr>
              <w:t>Company</w:t>
            </w:r>
          </w:p>
        </w:tc>
        <w:tc>
          <w:tcPr>
            <w:tcW w:type="dxa" w:w="7085"/>
          </w:tcPr>
          <w:p>
            <w:pPr>
              <w:spacing w:after="20"/>
            </w:pPr>
            <w:r>
              <w:rPr>
                <w:color w:val="1C3A36"/>
                <w:sz w:val="14"/>
              </w:rPr>
              <w:t>Weighted-average shares FY2024. Disclosed EPS of EGP 23.13 on attributable profit implies 132.7mn</w:t>
            </w:r>
          </w:p>
        </w:tc>
        <w:tc>
          <w:tcPr>
            <w:tcW w:type="dxa" w:w="1210"/>
          </w:tcPr>
          <w:p>
            <w:pPr>
              <w:spacing w:after="20"/>
            </w:pPr>
            <w:r>
              <w:rPr>
                <w:color w:val="1C3A36"/>
                <w:sz w:val="14"/>
              </w:rPr>
              <w:t>2025-03-16</w:t>
            </w:r>
          </w:p>
        </w:tc>
      </w:tr>
      <w:tr>
        <w:tc>
          <w:tcPr>
            <w:tcW w:type="dxa" w:w="518"/>
          </w:tcPr>
          <w:p>
            <w:pPr>
              <w:spacing w:after="20"/>
            </w:pPr>
            <w:r>
              <w:rPr>
                <w:color w:val="1C3A36"/>
                <w:sz w:val="14"/>
              </w:rPr>
              <w:t>33</w:t>
            </w:r>
          </w:p>
        </w:tc>
        <w:tc>
          <w:tcPr>
            <w:tcW w:type="dxa" w:w="2448"/>
          </w:tcPr>
          <w:p>
            <w:pPr>
              <w:spacing w:after="20"/>
            </w:pPr>
            <w:r>
              <w:rPr>
                <w:color w:val="1C3A36"/>
                <w:sz w:val="14"/>
              </w:rPr>
              <w:t>shares_fy25</w:t>
            </w:r>
          </w:p>
        </w:tc>
        <w:tc>
          <w:tcPr>
            <w:tcW w:type="dxa" w:w="1325"/>
          </w:tcPr>
          <w:p>
            <w:pPr>
              <w:spacing w:after="20"/>
            </w:pPr>
            <w:r>
              <w:rPr>
                <w:color w:val="1C3A36"/>
                <w:sz w:val="14"/>
              </w:rPr>
              <w:t>222</w:t>
            </w:r>
          </w:p>
        </w:tc>
        <w:tc>
          <w:tcPr>
            <w:tcW w:type="dxa" w:w="1066"/>
          </w:tcPr>
          <w:p>
            <w:pPr>
              <w:spacing w:after="20"/>
            </w:pPr>
            <w:r>
              <w:rPr>
                <w:color w:val="1C3A36"/>
                <w:sz w:val="14"/>
              </w:rPr>
              <w:t>Company</w:t>
            </w:r>
          </w:p>
        </w:tc>
        <w:tc>
          <w:tcPr>
            <w:tcW w:type="dxa" w:w="7085"/>
          </w:tcPr>
          <w:p>
            <w:pPr>
              <w:spacing w:after="20"/>
            </w:pPr>
            <w:r>
              <w:rPr>
                <w:color w:val="1C3A36"/>
                <w:sz w:val="14"/>
              </w:rPr>
              <w:t>Weighted-average shares FY2025, the rights issue having completed during the year</w:t>
            </w:r>
          </w:p>
        </w:tc>
        <w:tc>
          <w:tcPr>
            <w:tcW w:type="dxa" w:w="1210"/>
          </w:tcPr>
          <w:p>
            <w:pPr>
              <w:spacing w:after="20"/>
            </w:pPr>
            <w:r>
              <w:rPr>
                <w:color w:val="1C3A36"/>
                <w:sz w:val="14"/>
              </w:rPr>
              <w:t>2026-03-10</w:t>
            </w:r>
          </w:p>
        </w:tc>
      </w:tr>
      <w:tr>
        <w:tc>
          <w:tcPr>
            <w:tcW w:type="dxa" w:w="518"/>
          </w:tcPr>
          <w:p>
            <w:pPr>
              <w:spacing w:after="20"/>
            </w:pPr>
            <w:r>
              <w:rPr>
                <w:color w:val="1C3A36"/>
                <w:sz w:val="14"/>
              </w:rPr>
              <w:t>34</w:t>
            </w:r>
          </w:p>
        </w:tc>
        <w:tc>
          <w:tcPr>
            <w:tcW w:type="dxa" w:w="2448"/>
          </w:tcPr>
          <w:p>
            <w:pPr>
              <w:spacing w:after="20"/>
            </w:pPr>
            <w:r>
              <w:rPr>
                <w:color w:val="1C3A36"/>
                <w:sz w:val="14"/>
              </w:rPr>
              <w:t>shares_mn</w:t>
            </w:r>
          </w:p>
        </w:tc>
        <w:tc>
          <w:tcPr>
            <w:tcW w:type="dxa" w:w="1325"/>
          </w:tcPr>
          <w:p>
            <w:pPr>
              <w:spacing w:after="20"/>
            </w:pPr>
            <w:r>
              <w:rPr>
                <w:color w:val="1C3A36"/>
                <w:sz w:val="14"/>
              </w:rPr>
              <w:t>260.8125</w:t>
            </w:r>
          </w:p>
        </w:tc>
        <w:tc>
          <w:tcPr>
            <w:tcW w:type="dxa" w:w="1066"/>
          </w:tcPr>
          <w:p>
            <w:pPr>
              <w:spacing w:after="20"/>
            </w:pPr>
            <w:r>
              <w:rPr>
                <w:color w:val="1C3A36"/>
                <w:sz w:val="14"/>
              </w:rPr>
              <w:t>Company</w:t>
            </w:r>
          </w:p>
        </w:tc>
        <w:tc>
          <w:tcPr>
            <w:tcW w:type="dxa" w:w="7085"/>
          </w:tcPr>
          <w:p>
            <w:pPr>
              <w:spacing w:after="20"/>
            </w:pPr>
            <w:r>
              <w:rPr>
                <w:color w:val="1C3A36"/>
                <w:sz w:val="14"/>
              </w:rPr>
              <w:t>260,812,477 shares, corroborated FIVE ways: issued capital EGP 2,608,124,770 at EGP 10 par; the Jul-2025 tender offer of 58,416,664 shares at 22.4%; quoted market capitalisation over price; and the reconstruction 133.07mn pre-issue + 127.74mn subscribed. Revision 1 wrongly described the pre-issue count as 92.61mn by subtracting shares OFFERED (168.20mn) instead of shares SUBSCRIBED (127.74mn, a 75.95% take-up)</w:t>
            </w:r>
          </w:p>
        </w:tc>
        <w:tc>
          <w:tcPr>
            <w:tcW w:type="dxa" w:w="1210"/>
          </w:tcPr>
          <w:p>
            <w:pPr>
              <w:spacing w:after="20"/>
            </w:pPr>
            <w:r>
              <w:rPr>
                <w:color w:val="1C3A36"/>
                <w:sz w:val="14"/>
              </w:rPr>
              <w:t>2025-07-28</w:t>
            </w:r>
          </w:p>
        </w:tc>
      </w:tr>
      <w:tr>
        <w:tc>
          <w:tcPr>
            <w:tcW w:type="dxa" w:w="518"/>
          </w:tcPr>
          <w:p>
            <w:pPr>
              <w:spacing w:after="20"/>
            </w:pPr>
            <w:r>
              <w:rPr>
                <w:color w:val="1C3A36"/>
                <w:sz w:val="14"/>
              </w:rPr>
              <w:t>35</w:t>
            </w:r>
          </w:p>
        </w:tc>
        <w:tc>
          <w:tcPr>
            <w:tcW w:type="dxa" w:w="2448"/>
          </w:tcPr>
          <w:p>
            <w:pPr>
              <w:spacing w:after="20"/>
            </w:pPr>
            <w:r>
              <w:rPr>
                <w:color w:val="1C3A36"/>
                <w:sz w:val="14"/>
              </w:rPr>
              <w:t>swcc_eur</w:t>
            </w:r>
          </w:p>
        </w:tc>
        <w:tc>
          <w:tcPr>
            <w:tcW w:type="dxa" w:w="1325"/>
          </w:tcPr>
          <w:p>
            <w:pPr>
              <w:spacing w:after="20"/>
            </w:pPr>
            <w:r>
              <w:rPr>
                <w:color w:val="1C3A36"/>
                <w:sz w:val="14"/>
              </w:rPr>
              <w:t>30</w:t>
            </w:r>
          </w:p>
        </w:tc>
        <w:tc>
          <w:tcPr>
            <w:tcW w:type="dxa" w:w="1066"/>
          </w:tcPr>
          <w:p>
            <w:pPr>
              <w:spacing w:after="20"/>
            </w:pPr>
            <w:r>
              <w:rPr>
                <w:color w:val="1C3A36"/>
                <w:sz w:val="14"/>
              </w:rPr>
              <w:t>Company</w:t>
            </w:r>
          </w:p>
        </w:tc>
        <w:tc>
          <w:tcPr>
            <w:tcW w:type="dxa" w:w="7085"/>
          </w:tcPr>
          <w:p>
            <w:pPr>
              <w:spacing w:after="20"/>
            </w:pPr>
            <w:r>
              <w:rPr>
                <w:color w:val="1C3A36"/>
                <w:sz w:val="14"/>
              </w:rPr>
              <w:t>EUR 30mn for the 25.40% Sinai White stake, completed 13-Aug-2024</w:t>
            </w:r>
          </w:p>
        </w:tc>
        <w:tc>
          <w:tcPr>
            <w:tcW w:type="dxa" w:w="1210"/>
          </w:tcPr>
          <w:p>
            <w:pPr>
              <w:spacing w:after="20"/>
            </w:pPr>
            <w:r>
              <w:rPr>
                <w:color w:val="1C3A36"/>
                <w:sz w:val="14"/>
              </w:rPr>
              <w:t>2024-08-13</w:t>
            </w:r>
          </w:p>
        </w:tc>
      </w:tr>
      <w:tr>
        <w:tc>
          <w:tcPr>
            <w:tcW w:type="dxa" w:w="518"/>
          </w:tcPr>
          <w:p>
            <w:pPr>
              <w:spacing w:after="20"/>
            </w:pPr>
            <w:r>
              <w:rPr>
                <w:color w:val="1C3A36"/>
                <w:sz w:val="14"/>
              </w:rPr>
              <w:t>36</w:t>
            </w:r>
          </w:p>
        </w:tc>
        <w:tc>
          <w:tcPr>
            <w:tcW w:type="dxa" w:w="2448"/>
          </w:tcPr>
          <w:p>
            <w:pPr>
              <w:spacing w:after="20"/>
            </w:pPr>
            <w:r>
              <w:rPr>
                <w:color w:val="1C3A36"/>
                <w:sz w:val="14"/>
              </w:rPr>
              <w:t>ta_fy24</w:t>
            </w:r>
          </w:p>
        </w:tc>
        <w:tc>
          <w:tcPr>
            <w:tcW w:type="dxa" w:w="1325"/>
          </w:tcPr>
          <w:p>
            <w:pPr>
              <w:spacing w:after="20"/>
            </w:pPr>
            <w:r>
              <w:rPr>
                <w:color w:val="1C3A36"/>
                <w:sz w:val="14"/>
              </w:rPr>
              <w:t>5,695.6082</w:t>
            </w:r>
          </w:p>
        </w:tc>
        <w:tc>
          <w:tcPr>
            <w:tcW w:type="dxa" w:w="1066"/>
          </w:tcPr>
          <w:p>
            <w:pPr>
              <w:spacing w:after="20"/>
            </w:pPr>
            <w:r>
              <w:rPr>
                <w:color w:val="1C3A36"/>
                <w:sz w:val="14"/>
              </w:rPr>
              <w:t>Company</w:t>
            </w:r>
          </w:p>
        </w:tc>
        <w:tc>
          <w:tcPr>
            <w:tcW w:type="dxa" w:w="7085"/>
          </w:tcPr>
          <w:p>
            <w:pPr>
              <w:spacing w:after="20"/>
            </w:pPr>
            <w:r>
              <w:rPr>
                <w:color w:val="1C3A36"/>
                <w:sz w:val="14"/>
              </w:rPr>
              <w:t>Audited independent balance sheet as of 31 December 2024, printed page 5 of the FY2024 audited statements (SCC-AFS-E-1224.pdf), read from the company's own website. ROUTE: OCR off the rendered pixels — that filing carries no text layer at all (zero bytes across its 36 pages), so no extraction confidence exists to trust and ARITHMETIC IS THE ARBITER: the page's own total liabilities of EGP 1,959,808,479 plus its own total equity of EGP 3,735,799,731 foot to its printed total assets of EGP 5,695,608,210 exactly, and its non-current total of 1,703,837,097 plus current total of 3,991,771,113 foot to the same figure. Cross-checked against the FY2025 filing's own comparative column at printed page 2, committed in filings_extract.py, which agrees to the pound on liabilities and prints total assets one pound higher at 5,695,608,211 — the filings' own additive rounding, disclosed rather than reconciled away — total assets</w:t>
            </w:r>
          </w:p>
        </w:tc>
        <w:tc>
          <w:tcPr>
            <w:tcW w:type="dxa" w:w="1210"/>
          </w:tcPr>
          <w:p>
            <w:pPr>
              <w:spacing w:after="20"/>
            </w:pPr>
            <w:r>
              <w:rPr>
                <w:color w:val="1C3A36"/>
                <w:sz w:val="14"/>
              </w:rPr>
              <w:t>2024-12-31</w:t>
            </w:r>
          </w:p>
        </w:tc>
      </w:tr>
      <w:tr>
        <w:tc>
          <w:tcPr>
            <w:tcW w:type="dxa" w:w="518"/>
          </w:tcPr>
          <w:p>
            <w:pPr>
              <w:spacing w:after="20"/>
            </w:pPr>
            <w:r>
              <w:rPr>
                <w:color w:val="1C3A36"/>
                <w:sz w:val="14"/>
              </w:rPr>
              <w:t>37</w:t>
            </w:r>
          </w:p>
        </w:tc>
        <w:tc>
          <w:tcPr>
            <w:tcW w:type="dxa" w:w="2448"/>
          </w:tcPr>
          <w:p>
            <w:pPr>
              <w:spacing w:after="20"/>
            </w:pPr>
            <w:r>
              <w:rPr>
                <w:color w:val="1C3A36"/>
                <w:sz w:val="14"/>
              </w:rPr>
              <w:t>tax_eff</w:t>
            </w:r>
          </w:p>
        </w:tc>
        <w:tc>
          <w:tcPr>
            <w:tcW w:type="dxa" w:w="1325"/>
          </w:tcPr>
          <w:p>
            <w:pPr>
              <w:spacing w:after="20"/>
            </w:pPr>
            <w:r>
              <w:rPr>
                <w:color w:val="1C3A36"/>
                <w:sz w:val="14"/>
              </w:rPr>
              <w:t>0.32</w:t>
            </w:r>
          </w:p>
        </w:tc>
        <w:tc>
          <w:tcPr>
            <w:tcW w:type="dxa" w:w="1066"/>
          </w:tcPr>
          <w:p>
            <w:pPr>
              <w:spacing w:after="20"/>
            </w:pPr>
            <w:r>
              <w:rPr>
                <w:color w:val="1C3A36"/>
                <w:sz w:val="14"/>
              </w:rPr>
              <w:t>Company</w:t>
            </w:r>
          </w:p>
        </w:tc>
        <w:tc>
          <w:tcPr>
            <w:tcW w:type="dxa" w:w="7085"/>
          </w:tcPr>
          <w:p>
            <w:pPr>
              <w:spacing w:after="20"/>
            </w:pPr>
            <w:r>
              <w:rPr>
                <w:color w:val="1C3A36"/>
                <w:sz w:val="14"/>
              </w:rPr>
              <w:t>EFFECTIVE tax rate on the FY2025 closure. Disclosed pre-tax profit of 3,378.7 against profit after tax of 2,298.2 gives 32.0%. Revision 1 used the statutory 22.5% here, which understated every derived operating line</w:t>
            </w:r>
          </w:p>
        </w:tc>
        <w:tc>
          <w:tcPr>
            <w:tcW w:type="dxa" w:w="1210"/>
          </w:tcPr>
          <w:p>
            <w:pPr>
              <w:spacing w:after="20"/>
            </w:pPr>
            <w:r>
              <w:rPr>
                <w:color w:val="1C3A36"/>
                <w:sz w:val="14"/>
              </w:rPr>
              <w:t>2026-03-10</w:t>
            </w:r>
          </w:p>
        </w:tc>
      </w:tr>
      <w:tr>
        <w:tc>
          <w:tcPr>
            <w:tcW w:type="dxa" w:w="518"/>
          </w:tcPr>
          <w:p>
            <w:pPr>
              <w:spacing w:after="20"/>
            </w:pPr>
            <w:r>
              <w:rPr>
                <w:color w:val="1C3A36"/>
                <w:sz w:val="14"/>
              </w:rPr>
              <w:t>38</w:t>
            </w:r>
          </w:p>
        </w:tc>
        <w:tc>
          <w:tcPr>
            <w:tcW w:type="dxa" w:w="2448"/>
          </w:tcPr>
          <w:p>
            <w:pPr>
              <w:spacing w:after="20"/>
            </w:pPr>
            <w:r>
              <w:rPr>
                <w:color w:val="1C3A36"/>
                <w:sz w:val="14"/>
              </w:rPr>
              <w:t>tl_fy24</w:t>
            </w:r>
          </w:p>
        </w:tc>
        <w:tc>
          <w:tcPr>
            <w:tcW w:type="dxa" w:w="1325"/>
          </w:tcPr>
          <w:p>
            <w:pPr>
              <w:spacing w:after="20"/>
            </w:pPr>
            <w:r>
              <w:rPr>
                <w:color w:val="1C3A36"/>
                <w:sz w:val="14"/>
              </w:rPr>
              <w:t>1,959.8085</w:t>
            </w:r>
          </w:p>
        </w:tc>
        <w:tc>
          <w:tcPr>
            <w:tcW w:type="dxa" w:w="1066"/>
          </w:tcPr>
          <w:p>
            <w:pPr>
              <w:spacing w:after="20"/>
            </w:pPr>
            <w:r>
              <w:rPr>
                <w:color w:val="1C3A36"/>
                <w:sz w:val="14"/>
              </w:rPr>
              <w:t>Company</w:t>
            </w:r>
          </w:p>
        </w:tc>
        <w:tc>
          <w:tcPr>
            <w:tcW w:type="dxa" w:w="7085"/>
          </w:tcPr>
          <w:p>
            <w:pPr>
              <w:spacing w:after="20"/>
            </w:pPr>
            <w:r>
              <w:rPr>
                <w:color w:val="1C3A36"/>
                <w:sz w:val="14"/>
              </w:rPr>
              <w:t>Audited independent balance sheet as of 31 December 2024, printed page 5 of the FY2024 audited statements (SCC-AFS-E-1224.pdf), read from the company's own website. ROUTE: OCR off the rendered pixels — that filing carries no text layer at all (zero bytes across its 36 pages), so no extraction confidence exists to trust and ARITHMETIC IS THE ARBITER: the page's own total liabilities of EGP 1,959,808,479 plus its own total equity of EGP 3,735,799,731 foot to its printed total assets of EGP 5,695,608,210 exactly, and its non-current total of 1,703,837,097 plus current total of 3,991,771,113 foot to the same figure. Cross-checked against the FY2025 filing's own comparative column at printed page 2, committed in filings_extract.py, which agrees to the pound on liabilities and prints total assets one pound higher at 5,695,608,211 — the filings' own additive rounding, disclosed rather than reconciled away — total liabilities</w:t>
            </w:r>
          </w:p>
        </w:tc>
        <w:tc>
          <w:tcPr>
            <w:tcW w:type="dxa" w:w="1210"/>
          </w:tcPr>
          <w:p>
            <w:pPr>
              <w:spacing w:after="20"/>
            </w:pPr>
            <w:r>
              <w:rPr>
                <w:color w:val="1C3A36"/>
                <w:sz w:val="14"/>
              </w:rPr>
              <w:t>2024-12-31</w:t>
            </w:r>
          </w:p>
        </w:tc>
      </w:tr>
      <w:tr>
        <w:tc>
          <w:tcPr>
            <w:tcW w:type="dxa" w:w="518"/>
          </w:tcPr>
          <w:p>
            <w:pPr>
              <w:spacing w:after="20"/>
            </w:pPr>
            <w:r>
              <w:rPr>
                <w:color w:val="1C3A36"/>
                <w:sz w:val="14"/>
              </w:rPr>
              <w:t>39</w:t>
            </w:r>
          </w:p>
        </w:tc>
        <w:tc>
          <w:tcPr>
            <w:tcW w:type="dxa" w:w="2448"/>
          </w:tcPr>
          <w:p>
            <w:pPr>
              <w:spacing w:after="20"/>
            </w:pPr>
            <w:r>
              <w:rPr>
                <w:color w:val="1C3A36"/>
                <w:sz w:val="14"/>
              </w:rPr>
              <w:t>useful_life_disclosed</w:t>
            </w:r>
          </w:p>
        </w:tc>
        <w:tc>
          <w:tcPr>
            <w:tcW w:type="dxa" w:w="1325"/>
          </w:tcPr>
          <w:p>
            <w:pPr>
              <w:spacing w:after="20"/>
            </w:pPr>
            <w:r>
              <w:rPr>
                <w:color w:val="1C3A36"/>
                <w:sz w:val="14"/>
              </w:rPr>
              <w:t>20</w:t>
            </w:r>
          </w:p>
        </w:tc>
        <w:tc>
          <w:tcPr>
            <w:tcW w:type="dxa" w:w="1066"/>
          </w:tcPr>
          <w:p>
            <w:pPr>
              <w:spacing w:after="20"/>
            </w:pPr>
            <w:r>
              <w:rPr>
                <w:color w:val="1C3A36"/>
                <w:sz w:val="14"/>
              </w:rPr>
              <w:t>Company</w:t>
            </w:r>
          </w:p>
        </w:tc>
        <w:tc>
          <w:tcPr>
            <w:tcW w:type="dxa" w:w="7085"/>
          </w:tcPr>
          <w:p>
            <w:pPr>
              <w:spacing w:after="20"/>
            </w:pPr>
            <w:r>
              <w:rPr>
                <w:color w:val="1C3A36"/>
                <w:sz w:val="14"/>
              </w:rPr>
              <w:t>THE DISCLOSED USEFUL LIFE behind the terminal maintenance charge, route one: note 3/2, printed page 8 of the audited statements for the year ended 31 December 2025, states MACHINERY at a SCALAR 5% - a 20-year life - and note 4 shows machinery is EGP 2,182.6mn of a EGP 3,140.9mn gross cost, 69.5%, the class that dominates the capacity-based replacement cost this study capitalises. No average across the two disclosed RANGES is required, which matters because the two ordinary ways of blending disagree by a quarter (25.9 years on a cost-weighted mean of lives, 20.7 on the charge-reproducing harmonic mean). The FY2022, FY2023 and FY2024 filings carry the identical table. Read by the fundamental walk-forward of 07-09-2026 into useful_lives.json, route and cross-check recorded there</w:t>
            </w:r>
          </w:p>
        </w:tc>
        <w:tc>
          <w:tcPr>
            <w:tcW w:type="dxa" w:w="1210"/>
          </w:tcPr>
          <w:p>
            <w:pPr>
              <w:spacing w:after="20"/>
            </w:pPr>
            <w:r>
              <w:rPr>
                <w:color w:val="1C3A36"/>
                <w:sz w:val="14"/>
              </w:rPr>
              <w:t>2025-12-31</w:t>
            </w:r>
          </w:p>
        </w:tc>
      </w:tr>
      <w:tr>
        <w:tc>
          <w:tcPr>
            <w:tcW w:type="dxa" w:w="518"/>
          </w:tcPr>
          <w:p>
            <w:pPr>
              <w:spacing w:after="20"/>
            </w:pPr>
            <w:r>
              <w:rPr>
                <w:color w:val="1C3A36"/>
                <w:sz w:val="14"/>
              </w:rPr>
              <w:t>40</w:t>
            </w:r>
          </w:p>
        </w:tc>
        <w:tc>
          <w:tcPr>
            <w:tcW w:type="dxa" w:w="2448"/>
          </w:tcPr>
          <w:p>
            <w:pPr>
              <w:spacing w:after="20"/>
            </w:pPr>
            <w:r>
              <w:rPr>
                <w:color w:val="1C3A36"/>
                <w:sz w:val="14"/>
              </w:rPr>
              <w:t>vicat_stake</w:t>
            </w:r>
          </w:p>
        </w:tc>
        <w:tc>
          <w:tcPr>
            <w:tcW w:type="dxa" w:w="1325"/>
          </w:tcPr>
          <w:p>
            <w:pPr>
              <w:spacing w:after="20"/>
            </w:pPr>
            <w:r>
              <w:rPr>
                <w:color w:val="1C3A36"/>
                <w:sz w:val="14"/>
              </w:rPr>
              <w:t>0.776</w:t>
            </w:r>
          </w:p>
        </w:tc>
        <w:tc>
          <w:tcPr>
            <w:tcW w:type="dxa" w:w="1066"/>
          </w:tcPr>
          <w:p>
            <w:pPr>
              <w:spacing w:after="20"/>
            </w:pPr>
            <w:r>
              <w:rPr>
                <w:color w:val="1C3A36"/>
                <w:sz w:val="14"/>
              </w:rPr>
              <w:t>Company</w:t>
            </w:r>
          </w:p>
        </w:tc>
        <w:tc>
          <w:tcPr>
            <w:tcW w:type="dxa" w:w="7085"/>
          </w:tcPr>
          <w:p>
            <w:pPr>
              <w:spacing w:after="20"/>
            </w:pPr>
            <w:r>
              <w:rPr>
                <w:color w:val="1C3A36"/>
                <w:sz w:val="14"/>
              </w:rPr>
              <w:t>Vicat's holding through Vicat Egypt Cement Industries, from the Financial Regulatory Authority filing of the July 2025 mandatory tender offer for the remaining 58,416,664 shares (22.4%) at EGP 41.00 a share. REGISTERED rather than typed: it is quoted in nine places across the two delivered documents and a figure a reader sees must be computed, not typed, even when its source is an external filing rather than this model</w:t>
            </w:r>
          </w:p>
        </w:tc>
        <w:tc>
          <w:tcPr>
            <w:tcW w:type="dxa" w:w="1210"/>
          </w:tcPr>
          <w:p>
            <w:pPr>
              <w:spacing w:after="20"/>
            </w:pPr>
            <w:r>
              <w:rPr>
                <w:color w:val="1C3A36"/>
                <w:sz w:val="14"/>
              </w:rPr>
              <w:t>2025-07-28</w:t>
            </w:r>
          </w:p>
        </w:tc>
      </w:tr>
      <w:tr>
        <w:tc>
          <w:tcPr>
            <w:tcW w:type="dxa" w:w="518"/>
          </w:tcPr>
          <w:p>
            <w:pPr>
              <w:spacing w:after="20"/>
            </w:pPr>
            <w:r>
              <w:rPr>
                <w:color w:val="1C3A36"/>
                <w:sz w:val="14"/>
              </w:rPr>
              <w:t>41</w:t>
            </w:r>
          </w:p>
        </w:tc>
        <w:tc>
          <w:tcPr>
            <w:tcW w:type="dxa" w:w="2448"/>
          </w:tcPr>
          <w:p>
            <w:pPr>
              <w:spacing w:after="20"/>
            </w:pPr>
            <w:r>
              <w:rPr>
                <w:color w:val="1C3A36"/>
                <w:sz w:val="14"/>
              </w:rPr>
              <w:t>bagged_share</w:t>
            </w:r>
          </w:p>
        </w:tc>
        <w:tc>
          <w:tcPr>
            <w:tcW w:type="dxa" w:w="1325"/>
          </w:tcPr>
          <w:p>
            <w:pPr>
              <w:spacing w:after="20"/>
            </w:pPr>
            <w:r>
              <w:rPr>
                <w:color w:val="1C3A36"/>
                <w:sz w:val="14"/>
              </w:rPr>
              <w:t>0.7</w:t>
            </w:r>
          </w:p>
        </w:tc>
        <w:tc>
          <w:tcPr>
            <w:tcW w:type="dxa" w:w="1066"/>
          </w:tcPr>
          <w:p>
            <w:pPr>
              <w:spacing w:after="20"/>
            </w:pPr>
            <w:r>
              <w:rPr>
                <w:color w:val="1C3A36"/>
                <w:sz w:val="14"/>
              </w:rPr>
              <w:t>Industry</w:t>
            </w:r>
          </w:p>
        </w:tc>
        <w:tc>
          <w:tcPr>
            <w:tcW w:type="dxa" w:w="7085"/>
          </w:tcPr>
          <w:p>
            <w:pPr>
              <w:spacing w:after="20"/>
            </w:pPr>
            <w:r>
              <w:rPr>
                <w:color w:val="1C3A36"/>
                <w:sz w:val="14"/>
              </w:rPr>
              <w:t>Bagged share of Egyptian despatches</w:t>
            </w:r>
          </w:p>
        </w:tc>
        <w:tc>
          <w:tcPr>
            <w:tcW w:type="dxa" w:w="1210"/>
          </w:tcPr>
          <w:p>
            <w:pPr>
              <w:spacing w:after="20"/>
            </w:pPr>
            <w:r>
              <w:rPr>
                <w:color w:val="1C3A36"/>
                <w:sz w:val="14"/>
              </w:rPr>
              <w:t>2026-08-06</w:t>
            </w:r>
          </w:p>
        </w:tc>
      </w:tr>
      <w:tr>
        <w:tc>
          <w:tcPr>
            <w:tcW w:type="dxa" w:w="518"/>
          </w:tcPr>
          <w:p>
            <w:pPr>
              <w:spacing w:after="20"/>
            </w:pPr>
            <w:r>
              <w:rPr>
                <w:color w:val="1C3A36"/>
                <w:sz w:val="14"/>
              </w:rPr>
              <w:t>42</w:t>
            </w:r>
          </w:p>
        </w:tc>
        <w:tc>
          <w:tcPr>
            <w:tcW w:type="dxa" w:w="2448"/>
          </w:tcPr>
          <w:p>
            <w:pPr>
              <w:spacing w:after="20"/>
            </w:pPr>
            <w:r>
              <w:rPr>
                <w:color w:val="1C3A36"/>
                <w:sz w:val="14"/>
              </w:rPr>
              <w:t>domestic_share</w:t>
            </w:r>
          </w:p>
        </w:tc>
        <w:tc>
          <w:tcPr>
            <w:tcW w:type="dxa" w:w="1325"/>
          </w:tcPr>
          <w:p>
            <w:pPr>
              <w:spacing w:after="20"/>
            </w:pPr>
            <w:r>
              <w:rPr>
                <w:color w:val="1C3A36"/>
                <w:sz w:val="14"/>
              </w:rPr>
              <w:t>0.88, 0.87, 0.86, 0.85, 0.84, 0.83</w:t>
            </w:r>
          </w:p>
        </w:tc>
        <w:tc>
          <w:tcPr>
            <w:tcW w:type="dxa" w:w="1066"/>
          </w:tcPr>
          <w:p>
            <w:pPr>
              <w:spacing w:after="20"/>
            </w:pPr>
            <w:r>
              <w:rPr>
                <w:color w:val="1C3A36"/>
                <w:sz w:val="14"/>
              </w:rPr>
              <w:t>Industry</w:t>
            </w:r>
          </w:p>
        </w:tc>
        <w:tc>
          <w:tcPr>
            <w:tcW w:type="dxa" w:w="7085"/>
          </w:tcPr>
          <w:p>
            <w:pPr>
              <w:spacing w:after="20"/>
            </w:pPr>
            <w:r>
              <w:rPr>
                <w:color w:val="1C3A36"/>
                <w:sz w:val="14"/>
              </w:rPr>
              <w:t>Domestic share of despatches</w:t>
            </w:r>
          </w:p>
        </w:tc>
        <w:tc>
          <w:tcPr>
            <w:tcW w:type="dxa" w:w="1210"/>
          </w:tcPr>
          <w:p>
            <w:pPr>
              <w:spacing w:after="20"/>
            </w:pPr>
            <w:r>
              <w:rPr>
                <w:color w:val="1C3A36"/>
                <w:sz w:val="14"/>
              </w:rPr>
              <w:t>2026-01-01</w:t>
            </w:r>
          </w:p>
        </w:tc>
      </w:tr>
      <w:tr>
        <w:tc>
          <w:tcPr>
            <w:tcW w:type="dxa" w:w="518"/>
          </w:tcPr>
          <w:p>
            <w:pPr>
              <w:spacing w:after="20"/>
            </w:pPr>
            <w:r>
              <w:rPr>
                <w:color w:val="1C3A36"/>
                <w:sz w:val="14"/>
              </w:rPr>
              <w:t>43</w:t>
            </w:r>
          </w:p>
        </w:tc>
        <w:tc>
          <w:tcPr>
            <w:tcW w:type="dxa" w:w="2448"/>
          </w:tcPr>
          <w:p>
            <w:pPr>
              <w:spacing w:after="20"/>
            </w:pPr>
            <w:r>
              <w:rPr>
                <w:color w:val="1C3A36"/>
                <w:sz w:val="14"/>
              </w:rPr>
              <w:t>egy_capacity_mt</w:t>
            </w:r>
          </w:p>
        </w:tc>
        <w:tc>
          <w:tcPr>
            <w:tcW w:type="dxa" w:w="1325"/>
          </w:tcPr>
          <w:p>
            <w:pPr>
              <w:spacing w:after="20"/>
            </w:pPr>
            <w:r>
              <w:rPr>
                <w:color w:val="1C3A36"/>
                <w:sz w:val="14"/>
              </w:rPr>
              <w:t>76</w:t>
            </w:r>
          </w:p>
        </w:tc>
        <w:tc>
          <w:tcPr>
            <w:tcW w:type="dxa" w:w="1066"/>
          </w:tcPr>
          <w:p>
            <w:pPr>
              <w:spacing w:after="20"/>
            </w:pPr>
            <w:r>
              <w:rPr>
                <w:color w:val="1C3A36"/>
                <w:sz w:val="14"/>
              </w:rPr>
              <w:t>Industry</w:t>
            </w:r>
          </w:p>
        </w:tc>
        <w:tc>
          <w:tcPr>
            <w:tcW w:type="dxa" w:w="7085"/>
          </w:tcPr>
          <w:p>
            <w:pPr>
              <w:spacing w:after="20"/>
            </w:pPr>
            <w:r>
              <w:rPr>
                <w:color w:val="1C3A36"/>
                <w:sz w:val="14"/>
              </w:rPr>
              <w:t>Egyptian nameplate capacity</w:t>
            </w:r>
          </w:p>
        </w:tc>
        <w:tc>
          <w:tcPr>
            <w:tcW w:type="dxa" w:w="1210"/>
          </w:tcPr>
          <w:p>
            <w:pPr>
              <w:spacing w:after="20"/>
            </w:pPr>
            <w:r>
              <w:rPr>
                <w:color w:val="1C3A36"/>
                <w:sz w:val="14"/>
              </w:rPr>
              <w:t>2025-10-01</w:t>
            </w:r>
          </w:p>
        </w:tc>
      </w:tr>
      <w:tr>
        <w:tc>
          <w:tcPr>
            <w:tcW w:type="dxa" w:w="518"/>
          </w:tcPr>
          <w:p>
            <w:pPr>
              <w:spacing w:after="20"/>
            </w:pPr>
            <w:r>
              <w:rPr>
                <w:color w:val="1C3A36"/>
                <w:sz w:val="14"/>
              </w:rPr>
              <w:t>44</w:t>
            </w:r>
          </w:p>
        </w:tc>
        <w:tc>
          <w:tcPr>
            <w:tcW w:type="dxa" w:w="2448"/>
          </w:tcPr>
          <w:p>
            <w:pPr>
              <w:spacing w:after="20"/>
            </w:pPr>
            <w:r>
              <w:rPr>
                <w:color w:val="1C3A36"/>
                <w:sz w:val="14"/>
              </w:rPr>
              <w:t>egy_cons_mt</w:t>
            </w:r>
          </w:p>
        </w:tc>
        <w:tc>
          <w:tcPr>
            <w:tcW w:type="dxa" w:w="1325"/>
          </w:tcPr>
          <w:p>
            <w:pPr>
              <w:spacing w:after="20"/>
            </w:pPr>
            <w:r>
              <w:rPr>
                <w:color w:val="1C3A36"/>
                <w:sz w:val="14"/>
              </w:rPr>
              <w:t>54</w:t>
            </w:r>
          </w:p>
        </w:tc>
        <w:tc>
          <w:tcPr>
            <w:tcW w:type="dxa" w:w="1066"/>
          </w:tcPr>
          <w:p>
            <w:pPr>
              <w:spacing w:after="20"/>
            </w:pPr>
            <w:r>
              <w:rPr>
                <w:color w:val="1C3A36"/>
                <w:sz w:val="14"/>
              </w:rPr>
              <w:t>Industry</w:t>
            </w:r>
          </w:p>
        </w:tc>
        <w:tc>
          <w:tcPr>
            <w:tcW w:type="dxa" w:w="7085"/>
          </w:tcPr>
          <w:p>
            <w:pPr>
              <w:spacing w:after="20"/>
            </w:pPr>
            <w:r>
              <w:rPr>
                <w:color w:val="1C3A36"/>
                <w:sz w:val="14"/>
              </w:rPr>
              <w:t>Egyptian domestic consumption 2025</w:t>
            </w:r>
          </w:p>
        </w:tc>
        <w:tc>
          <w:tcPr>
            <w:tcW w:type="dxa" w:w="1210"/>
          </w:tcPr>
          <w:p>
            <w:pPr>
              <w:spacing w:after="20"/>
            </w:pPr>
            <w:r>
              <w:rPr>
                <w:color w:val="1C3A36"/>
                <w:sz w:val="14"/>
              </w:rPr>
              <w:t>2025-10-01</w:t>
            </w:r>
          </w:p>
        </w:tc>
      </w:tr>
      <w:tr>
        <w:tc>
          <w:tcPr>
            <w:tcW w:type="dxa" w:w="518"/>
          </w:tcPr>
          <w:p>
            <w:pPr>
              <w:spacing w:after="20"/>
            </w:pPr>
            <w:r>
              <w:rPr>
                <w:color w:val="1C3A36"/>
                <w:sz w:val="14"/>
              </w:rPr>
              <w:t>45</w:t>
            </w:r>
          </w:p>
        </w:tc>
        <w:tc>
          <w:tcPr>
            <w:tcW w:type="dxa" w:w="2448"/>
          </w:tcPr>
          <w:p>
            <w:pPr>
              <w:spacing w:after="20"/>
            </w:pPr>
            <w:r>
              <w:rPr>
                <w:color w:val="1C3A36"/>
                <w:sz w:val="14"/>
              </w:rPr>
              <w:t>egy_exports_mt</w:t>
            </w:r>
          </w:p>
        </w:tc>
        <w:tc>
          <w:tcPr>
            <w:tcW w:type="dxa" w:w="1325"/>
          </w:tcPr>
          <w:p>
            <w:pPr>
              <w:spacing w:after="20"/>
            </w:pPr>
            <w:r>
              <w:rPr>
                <w:color w:val="1C3A36"/>
                <w:sz w:val="14"/>
              </w:rPr>
              <w:t>18.5</w:t>
            </w:r>
          </w:p>
        </w:tc>
        <w:tc>
          <w:tcPr>
            <w:tcW w:type="dxa" w:w="1066"/>
          </w:tcPr>
          <w:p>
            <w:pPr>
              <w:spacing w:after="20"/>
            </w:pPr>
            <w:r>
              <w:rPr>
                <w:color w:val="1C3A36"/>
                <w:sz w:val="14"/>
              </w:rPr>
              <w:t>Industry</w:t>
            </w:r>
          </w:p>
        </w:tc>
        <w:tc>
          <w:tcPr>
            <w:tcW w:type="dxa" w:w="7085"/>
          </w:tcPr>
          <w:p>
            <w:pPr>
              <w:spacing w:after="20"/>
            </w:pPr>
            <w:r>
              <w:rPr>
                <w:color w:val="1C3A36"/>
                <w:sz w:val="14"/>
              </w:rPr>
              <w:t>Egyptian cement and clinker exports 2025</w:t>
            </w:r>
          </w:p>
        </w:tc>
        <w:tc>
          <w:tcPr>
            <w:tcW w:type="dxa" w:w="1210"/>
          </w:tcPr>
          <w:p>
            <w:pPr>
              <w:spacing w:after="20"/>
            </w:pPr>
            <w:r>
              <w:rPr>
                <w:color w:val="1C3A36"/>
                <w:sz w:val="14"/>
              </w:rPr>
              <w:t>2026-01-01</w:t>
            </w:r>
          </w:p>
        </w:tc>
      </w:tr>
      <w:tr>
        <w:tc>
          <w:tcPr>
            <w:tcW w:type="dxa" w:w="518"/>
          </w:tcPr>
          <w:p>
            <w:pPr>
              <w:spacing w:after="20"/>
            </w:pPr>
            <w:r>
              <w:rPr>
                <w:color w:val="1C3A36"/>
                <w:sz w:val="14"/>
              </w:rPr>
              <w:t>46</w:t>
            </w:r>
          </w:p>
        </w:tc>
        <w:tc>
          <w:tcPr>
            <w:tcW w:type="dxa" w:w="2448"/>
          </w:tcPr>
          <w:p>
            <w:pPr>
              <w:spacing w:after="20"/>
            </w:pPr>
            <w:r>
              <w:rPr>
                <w:color w:val="1C3A36"/>
                <w:sz w:val="14"/>
              </w:rPr>
              <w:t>egy_prod_mt</w:t>
            </w:r>
          </w:p>
        </w:tc>
        <w:tc>
          <w:tcPr>
            <w:tcW w:type="dxa" w:w="1325"/>
          </w:tcPr>
          <w:p>
            <w:pPr>
              <w:spacing w:after="20"/>
            </w:pPr>
            <w:r>
              <w:rPr>
                <w:color w:val="1C3A36"/>
                <w:sz w:val="14"/>
              </w:rPr>
              <w:t>65</w:t>
            </w:r>
          </w:p>
        </w:tc>
        <w:tc>
          <w:tcPr>
            <w:tcW w:type="dxa" w:w="1066"/>
          </w:tcPr>
          <w:p>
            <w:pPr>
              <w:spacing w:after="20"/>
            </w:pPr>
            <w:r>
              <w:rPr>
                <w:color w:val="1C3A36"/>
                <w:sz w:val="14"/>
              </w:rPr>
              <w:t>Industry</w:t>
            </w:r>
          </w:p>
        </w:tc>
        <w:tc>
          <w:tcPr>
            <w:tcW w:type="dxa" w:w="7085"/>
          </w:tcPr>
          <w:p>
            <w:pPr>
              <w:spacing w:after="20"/>
            </w:pPr>
            <w:r>
              <w:rPr>
                <w:color w:val="1C3A36"/>
                <w:sz w:val="14"/>
              </w:rPr>
              <w:t>Egyptian cement production 2025</w:t>
            </w:r>
          </w:p>
        </w:tc>
        <w:tc>
          <w:tcPr>
            <w:tcW w:type="dxa" w:w="1210"/>
          </w:tcPr>
          <w:p>
            <w:pPr>
              <w:spacing w:after="20"/>
            </w:pPr>
            <w:r>
              <w:rPr>
                <w:color w:val="1C3A36"/>
                <w:sz w:val="14"/>
              </w:rPr>
              <w:t>2026-01-01</w:t>
            </w:r>
          </w:p>
        </w:tc>
      </w:tr>
      <w:tr>
        <w:tc>
          <w:tcPr>
            <w:tcW w:type="dxa" w:w="518"/>
          </w:tcPr>
          <w:p>
            <w:pPr>
              <w:spacing w:after="20"/>
            </w:pPr>
            <w:r>
              <w:rPr>
                <w:color w:val="1C3A36"/>
                <w:sz w:val="14"/>
              </w:rPr>
              <w:t>47</w:t>
            </w:r>
          </w:p>
        </w:tc>
        <w:tc>
          <w:tcPr>
            <w:tcW w:type="dxa" w:w="2448"/>
          </w:tcPr>
          <w:p>
            <w:pPr>
              <w:spacing w:after="20"/>
            </w:pPr>
            <w:r>
              <w:rPr>
                <w:color w:val="1C3A36"/>
                <w:sz w:val="14"/>
              </w:rPr>
              <w:t>egy_revival_mt</w:t>
            </w:r>
          </w:p>
        </w:tc>
        <w:tc>
          <w:tcPr>
            <w:tcW w:type="dxa" w:w="1325"/>
          </w:tcPr>
          <w:p>
            <w:pPr>
              <w:spacing w:after="20"/>
            </w:pPr>
            <w:r>
              <w:rPr>
                <w:color w:val="1C3A36"/>
                <w:sz w:val="14"/>
              </w:rPr>
              <w:t>12.6</w:t>
            </w:r>
          </w:p>
        </w:tc>
        <w:tc>
          <w:tcPr>
            <w:tcW w:type="dxa" w:w="1066"/>
          </w:tcPr>
          <w:p>
            <w:pPr>
              <w:spacing w:after="20"/>
            </w:pPr>
            <w:r>
              <w:rPr>
                <w:color w:val="1C3A36"/>
                <w:sz w:val="14"/>
              </w:rPr>
              <w:t>Industry</w:t>
            </w:r>
          </w:p>
        </w:tc>
        <w:tc>
          <w:tcPr>
            <w:tcW w:type="dxa" w:w="7085"/>
          </w:tcPr>
          <w:p>
            <w:pPr>
              <w:spacing w:after="20"/>
            </w:pPr>
            <w:r>
              <w:rPr>
                <w:color w:val="1C3A36"/>
                <w:sz w:val="14"/>
              </w:rPr>
              <w:t>Dormant capacity under revival from 2H-2026</w:t>
            </w:r>
          </w:p>
        </w:tc>
        <w:tc>
          <w:tcPr>
            <w:tcW w:type="dxa" w:w="1210"/>
          </w:tcPr>
          <w:p>
            <w:pPr>
              <w:spacing w:after="20"/>
            </w:pPr>
            <w:r>
              <w:rPr>
                <w:color w:val="1C3A36"/>
                <w:sz w:val="14"/>
              </w:rPr>
              <w:t>2025-10-01</w:t>
            </w:r>
          </w:p>
        </w:tc>
      </w:tr>
      <w:tr>
        <w:tc>
          <w:tcPr>
            <w:tcW w:type="dxa" w:w="518"/>
          </w:tcPr>
          <w:p>
            <w:pPr>
              <w:spacing w:after="20"/>
            </w:pPr>
            <w:r>
              <w:rPr>
                <w:color w:val="1C3A36"/>
                <w:sz w:val="14"/>
              </w:rPr>
              <w:t>48</w:t>
            </w:r>
          </w:p>
        </w:tc>
        <w:tc>
          <w:tcPr>
            <w:tcW w:type="dxa" w:w="2448"/>
          </w:tcPr>
          <w:p>
            <w:pPr>
              <w:spacing w:after="20"/>
            </w:pPr>
            <w:r>
              <w:rPr>
                <w:color w:val="1C3A36"/>
                <w:sz w:val="14"/>
              </w:rPr>
              <w:t>fuel_usd_gj</w:t>
            </w:r>
          </w:p>
        </w:tc>
        <w:tc>
          <w:tcPr>
            <w:tcW w:type="dxa" w:w="1325"/>
          </w:tcPr>
          <w:p>
            <w:pPr>
              <w:spacing w:after="20"/>
            </w:pPr>
            <w:r>
              <w:rPr>
                <w:color w:val="1C3A36"/>
                <w:sz w:val="14"/>
              </w:rPr>
              <w:t>4</w:t>
            </w:r>
          </w:p>
        </w:tc>
        <w:tc>
          <w:tcPr>
            <w:tcW w:type="dxa" w:w="1066"/>
          </w:tcPr>
          <w:p>
            <w:pPr>
              <w:spacing w:after="20"/>
            </w:pPr>
            <w:r>
              <w:rPr>
                <w:color w:val="1C3A36"/>
                <w:sz w:val="14"/>
              </w:rPr>
              <w:t>Industry</w:t>
            </w:r>
          </w:p>
        </w:tc>
        <w:tc>
          <w:tcPr>
            <w:tcW w:type="dxa" w:w="7085"/>
          </w:tcPr>
          <w:p>
            <w:pPr>
              <w:spacing w:after="20"/>
            </w:pPr>
            <w:r>
              <w:rPr>
                <w:color w:val="1C3A36"/>
                <w:sz w:val="14"/>
              </w:rPr>
              <w:t>Delivered solid fuel, petcoke/coal ~USD 128/t at ~32 GJ/t</w:t>
            </w:r>
          </w:p>
        </w:tc>
        <w:tc>
          <w:tcPr>
            <w:tcW w:type="dxa" w:w="1210"/>
          </w:tcPr>
          <w:p>
            <w:pPr>
              <w:spacing w:after="20"/>
            </w:pPr>
            <w:r>
              <w:rPr>
                <w:color w:val="1C3A36"/>
                <w:sz w:val="14"/>
              </w:rPr>
              <w:t>2026-08-06</w:t>
            </w:r>
          </w:p>
        </w:tc>
      </w:tr>
      <w:tr>
        <w:tc>
          <w:tcPr>
            <w:tcW w:type="dxa" w:w="518"/>
          </w:tcPr>
          <w:p>
            <w:pPr>
              <w:spacing w:after="20"/>
            </w:pPr>
            <w:r>
              <w:rPr>
                <w:color w:val="1C3A36"/>
                <w:sz w:val="14"/>
              </w:rPr>
              <w:t>49</w:t>
            </w:r>
          </w:p>
        </w:tc>
        <w:tc>
          <w:tcPr>
            <w:tcW w:type="dxa" w:w="2448"/>
          </w:tcPr>
          <w:p>
            <w:pPr>
              <w:spacing w:after="20"/>
            </w:pPr>
            <w:r>
              <w:rPr>
                <w:color w:val="1C3A36"/>
                <w:sz w:val="14"/>
              </w:rPr>
              <w:t>packaging_egp_t</w:t>
            </w:r>
          </w:p>
        </w:tc>
        <w:tc>
          <w:tcPr>
            <w:tcW w:type="dxa" w:w="1325"/>
          </w:tcPr>
          <w:p>
            <w:pPr>
              <w:spacing w:after="20"/>
            </w:pPr>
            <w:r>
              <w:rPr>
                <w:color w:val="1C3A36"/>
                <w:sz w:val="14"/>
              </w:rPr>
              <w:t>55</w:t>
            </w:r>
          </w:p>
        </w:tc>
        <w:tc>
          <w:tcPr>
            <w:tcW w:type="dxa" w:w="1066"/>
          </w:tcPr>
          <w:p>
            <w:pPr>
              <w:spacing w:after="20"/>
            </w:pPr>
            <w:r>
              <w:rPr>
                <w:color w:val="1C3A36"/>
                <w:sz w:val="14"/>
              </w:rPr>
              <w:t>Industry</w:t>
            </w:r>
          </w:p>
        </w:tc>
        <w:tc>
          <w:tcPr>
            <w:tcW w:type="dxa" w:w="7085"/>
          </w:tcPr>
          <w:p>
            <w:pPr>
              <w:spacing w:after="20"/>
            </w:pPr>
            <w:r>
              <w:rPr>
                <w:color w:val="1C3A36"/>
                <w:sz w:val="14"/>
              </w:rPr>
              <w:t>Bag cost per tonne of bagged cement</w:t>
            </w:r>
          </w:p>
        </w:tc>
        <w:tc>
          <w:tcPr>
            <w:tcW w:type="dxa" w:w="1210"/>
          </w:tcPr>
          <w:p>
            <w:pPr>
              <w:spacing w:after="20"/>
            </w:pPr>
            <w:r>
              <w:rPr>
                <w:color w:val="1C3A36"/>
                <w:sz w:val="14"/>
              </w:rPr>
              <w:t>2026-08-06</w:t>
            </w:r>
          </w:p>
        </w:tc>
      </w:tr>
      <w:tr>
        <w:tc>
          <w:tcPr>
            <w:tcW w:type="dxa" w:w="518"/>
          </w:tcPr>
          <w:p>
            <w:pPr>
              <w:spacing w:after="20"/>
            </w:pPr>
            <w:r>
              <w:rPr>
                <w:color w:val="1C3A36"/>
                <w:sz w:val="14"/>
              </w:rPr>
              <w:t>50</w:t>
            </w:r>
          </w:p>
        </w:tc>
        <w:tc>
          <w:tcPr>
            <w:tcW w:type="dxa" w:w="2448"/>
          </w:tcPr>
          <w:p>
            <w:pPr>
              <w:spacing w:after="20"/>
            </w:pPr>
            <w:r>
              <w:rPr>
                <w:color w:val="1C3A36"/>
                <w:sz w:val="14"/>
              </w:rPr>
              <w:t>peer_arcc_pat</w:t>
            </w:r>
          </w:p>
        </w:tc>
        <w:tc>
          <w:tcPr>
            <w:tcW w:type="dxa" w:w="1325"/>
          </w:tcPr>
          <w:p>
            <w:pPr>
              <w:spacing w:after="20"/>
            </w:pPr>
            <w:r>
              <w:rPr>
                <w:color w:val="1C3A36"/>
                <w:sz w:val="14"/>
              </w:rPr>
              <w:t>3,600</w:t>
            </w:r>
          </w:p>
        </w:tc>
        <w:tc>
          <w:tcPr>
            <w:tcW w:type="dxa" w:w="1066"/>
          </w:tcPr>
          <w:p>
            <w:pPr>
              <w:spacing w:after="20"/>
            </w:pPr>
            <w:r>
              <w:rPr>
                <w:color w:val="1C3A36"/>
                <w:sz w:val="14"/>
              </w:rPr>
              <w:t>Industry</w:t>
            </w:r>
          </w:p>
        </w:tc>
        <w:tc>
          <w:tcPr>
            <w:tcW w:type="dxa" w:w="7085"/>
          </w:tcPr>
          <w:p>
            <w:pPr>
              <w:spacing w:after="20"/>
            </w:pPr>
            <w:r>
              <w:rPr>
                <w:color w:val="1C3A36"/>
                <w:sz w:val="14"/>
              </w:rPr>
              <w:t>Arabian Cement FY2025 consolidated profit</w:t>
            </w:r>
          </w:p>
        </w:tc>
        <w:tc>
          <w:tcPr>
            <w:tcW w:type="dxa" w:w="1210"/>
          </w:tcPr>
          <w:p>
            <w:pPr>
              <w:spacing w:after="20"/>
            </w:pPr>
            <w:r>
              <w:rPr>
                <w:color w:val="1C3A36"/>
                <w:sz w:val="14"/>
              </w:rPr>
              <w:t>2026-03-01</w:t>
            </w:r>
          </w:p>
        </w:tc>
      </w:tr>
      <w:tr>
        <w:tc>
          <w:tcPr>
            <w:tcW w:type="dxa" w:w="518"/>
          </w:tcPr>
          <w:p>
            <w:pPr>
              <w:spacing w:after="20"/>
            </w:pPr>
            <w:r>
              <w:rPr>
                <w:color w:val="1C3A36"/>
                <w:sz w:val="14"/>
              </w:rPr>
              <w:t>51</w:t>
            </w:r>
          </w:p>
        </w:tc>
        <w:tc>
          <w:tcPr>
            <w:tcW w:type="dxa" w:w="2448"/>
          </w:tcPr>
          <w:p>
            <w:pPr>
              <w:spacing w:after="20"/>
            </w:pPr>
            <w:r>
              <w:rPr>
                <w:color w:val="1C3A36"/>
                <w:sz w:val="14"/>
              </w:rPr>
              <w:t>peer_mbsc_eps</w:t>
            </w:r>
          </w:p>
        </w:tc>
        <w:tc>
          <w:tcPr>
            <w:tcW w:type="dxa" w:w="1325"/>
          </w:tcPr>
          <w:p>
            <w:pPr>
              <w:spacing w:after="20"/>
            </w:pPr>
            <w:r>
              <w:rPr>
                <w:color w:val="1C3A36"/>
                <w:sz w:val="14"/>
              </w:rPr>
              <w:t>61.25</w:t>
            </w:r>
          </w:p>
        </w:tc>
        <w:tc>
          <w:tcPr>
            <w:tcW w:type="dxa" w:w="1066"/>
          </w:tcPr>
          <w:p>
            <w:pPr>
              <w:spacing w:after="20"/>
            </w:pPr>
            <w:r>
              <w:rPr>
                <w:color w:val="1C3A36"/>
                <w:sz w:val="14"/>
              </w:rPr>
              <w:t>Industry</w:t>
            </w:r>
          </w:p>
        </w:tc>
        <w:tc>
          <w:tcPr>
            <w:tcW w:type="dxa" w:w="7085"/>
          </w:tcPr>
          <w:p>
            <w:pPr>
              <w:spacing w:after="20"/>
            </w:pPr>
            <w:r>
              <w:rPr>
                <w:color w:val="1C3A36"/>
                <w:sz w:val="14"/>
              </w:rPr>
              <w:t>Misr Beni Suef FY2025 EPS</w:t>
            </w:r>
          </w:p>
        </w:tc>
        <w:tc>
          <w:tcPr>
            <w:tcW w:type="dxa" w:w="1210"/>
          </w:tcPr>
          <w:p>
            <w:pPr>
              <w:spacing w:after="20"/>
            </w:pPr>
            <w:r>
              <w:rPr>
                <w:color w:val="1C3A36"/>
                <w:sz w:val="14"/>
              </w:rPr>
              <w:t>2026-03-01</w:t>
            </w:r>
          </w:p>
        </w:tc>
      </w:tr>
      <w:tr>
        <w:tc>
          <w:tcPr>
            <w:tcW w:type="dxa" w:w="518"/>
          </w:tcPr>
          <w:p>
            <w:pPr>
              <w:spacing w:after="20"/>
            </w:pPr>
            <w:r>
              <w:rPr>
                <w:color w:val="1C3A36"/>
                <w:sz w:val="14"/>
              </w:rPr>
              <w:t>52</w:t>
            </w:r>
          </w:p>
        </w:tc>
        <w:tc>
          <w:tcPr>
            <w:tcW w:type="dxa" w:w="2448"/>
          </w:tcPr>
          <w:p>
            <w:pPr>
              <w:spacing w:after="20"/>
            </w:pPr>
            <w:r>
              <w:rPr>
                <w:color w:val="1C3A36"/>
                <w:sz w:val="14"/>
              </w:rPr>
              <w:t>peer_mbsc_evebitda</w:t>
            </w:r>
          </w:p>
        </w:tc>
        <w:tc>
          <w:tcPr>
            <w:tcW w:type="dxa" w:w="1325"/>
          </w:tcPr>
          <w:p>
            <w:pPr>
              <w:spacing w:after="20"/>
            </w:pPr>
            <w:r>
              <w:rPr>
                <w:color w:val="1C3A36"/>
                <w:sz w:val="14"/>
              </w:rPr>
              <w:t>5.03</w:t>
            </w:r>
          </w:p>
        </w:tc>
        <w:tc>
          <w:tcPr>
            <w:tcW w:type="dxa" w:w="1066"/>
          </w:tcPr>
          <w:p>
            <w:pPr>
              <w:spacing w:after="20"/>
            </w:pPr>
            <w:r>
              <w:rPr>
                <w:color w:val="1C3A36"/>
                <w:sz w:val="14"/>
              </w:rPr>
              <w:t>Industry</w:t>
            </w:r>
          </w:p>
        </w:tc>
        <w:tc>
          <w:tcPr>
            <w:tcW w:type="dxa" w:w="7085"/>
          </w:tcPr>
          <w:p>
            <w:pPr>
              <w:spacing w:after="20"/>
            </w:pPr>
            <w:r>
              <w:rPr>
                <w:color w:val="1C3A36"/>
                <w:sz w:val="14"/>
              </w:rPr>
              <w:t>Misr Beni Suef EV/EBITDA as quoted. Carried with a caution: no enterprise value, EBITDA or net-cash figure is published for it, and pairing it with the stated profit implies a 68% EBITDA margin, which no cement company earns</w:t>
            </w:r>
          </w:p>
        </w:tc>
        <w:tc>
          <w:tcPr>
            <w:tcW w:type="dxa" w:w="1210"/>
          </w:tcPr>
          <w:p>
            <w:pPr>
              <w:spacing w:after="20"/>
            </w:pPr>
            <w:r>
              <w:rPr>
                <w:color w:val="1C3A36"/>
                <w:sz w:val="14"/>
              </w:rPr>
              <w:t>2026-08-06</w:t>
            </w:r>
          </w:p>
        </w:tc>
      </w:tr>
      <w:tr>
        <w:tc>
          <w:tcPr>
            <w:tcW w:type="dxa" w:w="518"/>
          </w:tcPr>
          <w:p>
            <w:pPr>
              <w:spacing w:after="20"/>
            </w:pPr>
            <w:r>
              <w:rPr>
                <w:color w:val="1C3A36"/>
                <w:sz w:val="14"/>
              </w:rPr>
              <w:t>53</w:t>
            </w:r>
          </w:p>
        </w:tc>
        <w:tc>
          <w:tcPr>
            <w:tcW w:type="dxa" w:w="2448"/>
          </w:tcPr>
          <w:p>
            <w:pPr>
              <w:spacing w:after="20"/>
            </w:pPr>
            <w:r>
              <w:rPr>
                <w:color w:val="1C3A36"/>
                <w:sz w:val="14"/>
              </w:rPr>
              <w:t>peer_mbsc_mcap</w:t>
            </w:r>
          </w:p>
        </w:tc>
        <w:tc>
          <w:tcPr>
            <w:tcW w:type="dxa" w:w="1325"/>
          </w:tcPr>
          <w:p>
            <w:pPr>
              <w:spacing w:after="20"/>
            </w:pPr>
            <w:r>
              <w:rPr>
                <w:color w:val="1C3A36"/>
                <w:sz w:val="14"/>
              </w:rPr>
              <w:t>13,730</w:t>
            </w:r>
          </w:p>
        </w:tc>
        <w:tc>
          <w:tcPr>
            <w:tcW w:type="dxa" w:w="1066"/>
          </w:tcPr>
          <w:p>
            <w:pPr>
              <w:spacing w:after="20"/>
            </w:pPr>
            <w:r>
              <w:rPr>
                <w:color w:val="1C3A36"/>
                <w:sz w:val="14"/>
              </w:rPr>
              <w:t>Industry</w:t>
            </w:r>
          </w:p>
        </w:tc>
        <w:tc>
          <w:tcPr>
            <w:tcW w:type="dxa" w:w="7085"/>
          </w:tcPr>
          <w:p>
            <w:pPr>
              <w:spacing w:after="20"/>
            </w:pPr>
            <w:r>
              <w:rPr>
                <w:color w:val="1C3A36"/>
                <w:sz w:val="14"/>
              </w:rPr>
              <w:t>Misr Beni Suef market capitalisation</w:t>
            </w:r>
          </w:p>
        </w:tc>
        <w:tc>
          <w:tcPr>
            <w:tcW w:type="dxa" w:w="1210"/>
          </w:tcPr>
          <w:p>
            <w:pPr>
              <w:spacing w:after="20"/>
            </w:pPr>
            <w:r>
              <w:rPr>
                <w:color w:val="1C3A36"/>
                <w:sz w:val="14"/>
              </w:rPr>
              <w:t>2026-08-06</w:t>
            </w:r>
          </w:p>
        </w:tc>
      </w:tr>
      <w:tr>
        <w:tc>
          <w:tcPr>
            <w:tcW w:type="dxa" w:w="518"/>
          </w:tcPr>
          <w:p>
            <w:pPr>
              <w:spacing w:after="20"/>
            </w:pPr>
            <w:r>
              <w:rPr>
                <w:color w:val="1C3A36"/>
                <w:sz w:val="14"/>
              </w:rPr>
              <w:t>54</w:t>
            </w:r>
          </w:p>
        </w:tc>
        <w:tc>
          <w:tcPr>
            <w:tcW w:type="dxa" w:w="2448"/>
          </w:tcPr>
          <w:p>
            <w:pPr>
              <w:spacing w:after="20"/>
            </w:pPr>
            <w:r>
              <w:rPr>
                <w:color w:val="1C3A36"/>
                <w:sz w:val="14"/>
              </w:rPr>
              <w:t>peer_mbsc_pat</w:t>
            </w:r>
          </w:p>
        </w:tc>
        <w:tc>
          <w:tcPr>
            <w:tcW w:type="dxa" w:w="1325"/>
          </w:tcPr>
          <w:p>
            <w:pPr>
              <w:spacing w:after="20"/>
            </w:pPr>
            <w:r>
              <w:rPr>
                <w:color w:val="1C3A36"/>
                <w:sz w:val="14"/>
              </w:rPr>
              <w:t>3,946</w:t>
            </w:r>
          </w:p>
        </w:tc>
        <w:tc>
          <w:tcPr>
            <w:tcW w:type="dxa" w:w="1066"/>
          </w:tcPr>
          <w:p>
            <w:pPr>
              <w:spacing w:after="20"/>
            </w:pPr>
            <w:r>
              <w:rPr>
                <w:color w:val="1C3A36"/>
                <w:sz w:val="14"/>
              </w:rPr>
              <w:t>Industry</w:t>
            </w:r>
          </w:p>
        </w:tc>
        <w:tc>
          <w:tcPr>
            <w:tcW w:type="dxa" w:w="7085"/>
          </w:tcPr>
          <w:p>
            <w:pPr>
              <w:spacing w:after="20"/>
            </w:pPr>
            <w:r>
              <w:rPr>
                <w:color w:val="1C3A36"/>
                <w:sz w:val="14"/>
              </w:rPr>
              <w:t>Misr Beni Suef FY2025 attributable profit</w:t>
            </w:r>
          </w:p>
        </w:tc>
        <w:tc>
          <w:tcPr>
            <w:tcW w:type="dxa" w:w="1210"/>
          </w:tcPr>
          <w:p>
            <w:pPr>
              <w:spacing w:after="20"/>
            </w:pPr>
            <w:r>
              <w:rPr>
                <w:color w:val="1C3A36"/>
                <w:sz w:val="14"/>
              </w:rPr>
              <w:t>2026-03-01</w:t>
            </w:r>
          </w:p>
        </w:tc>
      </w:tr>
      <w:tr>
        <w:tc>
          <w:tcPr>
            <w:tcW w:type="dxa" w:w="518"/>
          </w:tcPr>
          <w:p>
            <w:pPr>
              <w:spacing w:after="20"/>
            </w:pPr>
            <w:r>
              <w:rPr>
                <w:color w:val="1C3A36"/>
                <w:sz w:val="14"/>
              </w:rPr>
              <w:t>55</w:t>
            </w:r>
          </w:p>
        </w:tc>
        <w:tc>
          <w:tcPr>
            <w:tcW w:type="dxa" w:w="2448"/>
          </w:tcPr>
          <w:p>
            <w:pPr>
              <w:spacing w:after="20"/>
            </w:pPr>
            <w:r>
              <w:rPr>
                <w:color w:val="1C3A36"/>
                <w:sz w:val="14"/>
              </w:rPr>
              <w:t>peer_mbsc_pe</w:t>
            </w:r>
          </w:p>
        </w:tc>
        <w:tc>
          <w:tcPr>
            <w:tcW w:type="dxa" w:w="1325"/>
          </w:tcPr>
          <w:p>
            <w:pPr>
              <w:spacing w:after="20"/>
            </w:pPr>
            <w:r>
              <w:rPr>
                <w:color w:val="1C3A36"/>
                <w:sz w:val="14"/>
              </w:rPr>
              <w:t>3.48</w:t>
            </w:r>
          </w:p>
        </w:tc>
        <w:tc>
          <w:tcPr>
            <w:tcW w:type="dxa" w:w="1066"/>
          </w:tcPr>
          <w:p>
            <w:pPr>
              <w:spacing w:after="20"/>
            </w:pPr>
            <w:r>
              <w:rPr>
                <w:color w:val="1C3A36"/>
                <w:sz w:val="14"/>
              </w:rPr>
              <w:t>Industry</w:t>
            </w:r>
          </w:p>
        </w:tc>
        <w:tc>
          <w:tcPr>
            <w:tcW w:type="dxa" w:w="7085"/>
          </w:tcPr>
          <w:p>
            <w:pPr>
              <w:spacing w:after="20"/>
            </w:pPr>
            <w:r>
              <w:rPr>
                <w:color w:val="1C3A36"/>
                <w:sz w:val="14"/>
              </w:rPr>
              <w:t>Misr Beni Suef trailing price/earnings RECOMPUTED as market capitalisation over attributable profit. The 6.44x printed by data providers cannot be reconciled with the market capitalisation printed beside it — 6.44 x 3,946 = 25,412 against a stated 13,730</w:t>
            </w:r>
          </w:p>
        </w:tc>
        <w:tc>
          <w:tcPr>
            <w:tcW w:type="dxa" w:w="1210"/>
          </w:tcPr>
          <w:p>
            <w:pPr>
              <w:spacing w:after="20"/>
            </w:pPr>
            <w:r>
              <w:rPr>
                <w:color w:val="1C3A36"/>
                <w:sz w:val="14"/>
              </w:rPr>
              <w:t>2026-08-06</w:t>
            </w:r>
          </w:p>
        </w:tc>
      </w:tr>
      <w:tr>
        <w:tc>
          <w:tcPr>
            <w:tcW w:type="dxa" w:w="518"/>
          </w:tcPr>
          <w:p>
            <w:pPr>
              <w:spacing w:after="20"/>
            </w:pPr>
            <w:r>
              <w:rPr>
                <w:color w:val="1C3A36"/>
                <w:sz w:val="14"/>
              </w:rPr>
              <w:t>56</w:t>
            </w:r>
          </w:p>
        </w:tc>
        <w:tc>
          <w:tcPr>
            <w:tcW w:type="dxa" w:w="2448"/>
          </w:tcPr>
          <w:p>
            <w:pPr>
              <w:spacing w:after="20"/>
            </w:pPr>
            <w:r>
              <w:rPr>
                <w:color w:val="1C3A36"/>
                <w:sz w:val="14"/>
              </w:rPr>
              <w:t>peer_mbsc_rev</w:t>
            </w:r>
          </w:p>
        </w:tc>
        <w:tc>
          <w:tcPr>
            <w:tcW w:type="dxa" w:w="1325"/>
          </w:tcPr>
          <w:p>
            <w:pPr>
              <w:spacing w:after="20"/>
            </w:pPr>
            <w:r>
              <w:rPr>
                <w:color w:val="1C3A36"/>
                <w:sz w:val="14"/>
              </w:rPr>
              <w:t>5,700</w:t>
            </w:r>
          </w:p>
        </w:tc>
        <w:tc>
          <w:tcPr>
            <w:tcW w:type="dxa" w:w="1066"/>
          </w:tcPr>
          <w:p>
            <w:pPr>
              <w:spacing w:after="20"/>
            </w:pPr>
            <w:r>
              <w:rPr>
                <w:color w:val="1C3A36"/>
                <w:sz w:val="14"/>
              </w:rPr>
              <w:t>Industry</w:t>
            </w:r>
          </w:p>
        </w:tc>
        <w:tc>
          <w:tcPr>
            <w:tcW w:type="dxa" w:w="7085"/>
          </w:tcPr>
          <w:p>
            <w:pPr>
              <w:spacing w:after="20"/>
            </w:pPr>
            <w:r>
              <w:rPr>
                <w:color w:val="1C3A36"/>
                <w:sz w:val="14"/>
              </w:rPr>
              <w:t>Misr Beni Suef FY2025 net sales</w:t>
            </w:r>
          </w:p>
        </w:tc>
        <w:tc>
          <w:tcPr>
            <w:tcW w:type="dxa" w:w="1210"/>
          </w:tcPr>
          <w:p>
            <w:pPr>
              <w:spacing w:after="20"/>
            </w:pPr>
            <w:r>
              <w:rPr>
                <w:color w:val="1C3A36"/>
                <w:sz w:val="14"/>
              </w:rPr>
              <w:t>2026-03-01</w:t>
            </w:r>
          </w:p>
        </w:tc>
      </w:tr>
      <w:tr>
        <w:tc>
          <w:tcPr>
            <w:tcW w:type="dxa" w:w="518"/>
          </w:tcPr>
          <w:p>
            <w:pPr>
              <w:spacing w:after="20"/>
            </w:pPr>
            <w:r>
              <w:rPr>
                <w:color w:val="1C3A36"/>
                <w:sz w:val="14"/>
              </w:rPr>
              <w:t>57</w:t>
            </w:r>
          </w:p>
        </w:tc>
        <w:tc>
          <w:tcPr>
            <w:tcW w:type="dxa" w:w="2448"/>
          </w:tcPr>
          <w:p>
            <w:pPr>
              <w:spacing w:after="20"/>
            </w:pPr>
            <w:r>
              <w:rPr>
                <w:color w:val="1C3A36"/>
                <w:sz w:val="14"/>
              </w:rPr>
              <w:t>power_kwh_t_cement</w:t>
            </w:r>
          </w:p>
        </w:tc>
        <w:tc>
          <w:tcPr>
            <w:tcW w:type="dxa" w:w="1325"/>
          </w:tcPr>
          <w:p>
            <w:pPr>
              <w:spacing w:after="20"/>
            </w:pPr>
            <w:r>
              <w:rPr>
                <w:color w:val="1C3A36"/>
                <w:sz w:val="14"/>
              </w:rPr>
              <w:t>100</w:t>
            </w:r>
          </w:p>
        </w:tc>
        <w:tc>
          <w:tcPr>
            <w:tcW w:type="dxa" w:w="1066"/>
          </w:tcPr>
          <w:p>
            <w:pPr>
              <w:spacing w:after="20"/>
            </w:pPr>
            <w:r>
              <w:rPr>
                <w:color w:val="1C3A36"/>
                <w:sz w:val="14"/>
              </w:rPr>
              <w:t>Industry</w:t>
            </w:r>
          </w:p>
        </w:tc>
        <w:tc>
          <w:tcPr>
            <w:tcW w:type="dxa" w:w="7085"/>
          </w:tcPr>
          <w:p>
            <w:pPr>
              <w:spacing w:after="20"/>
            </w:pPr>
            <w:r>
              <w:rPr>
                <w:color w:val="1C3A36"/>
                <w:sz w:val="14"/>
              </w:rPr>
              <w:t>Specific electrical energy, 90-110 kWh/t cement</w:t>
            </w:r>
          </w:p>
        </w:tc>
        <w:tc>
          <w:tcPr>
            <w:tcW w:type="dxa" w:w="1210"/>
          </w:tcPr>
          <w:p>
            <w:pPr>
              <w:spacing w:after="20"/>
            </w:pPr>
            <w:r>
              <w:rPr>
                <w:color w:val="1C3A36"/>
                <w:sz w:val="14"/>
              </w:rPr>
              <w:t>2026-08-06</w:t>
            </w:r>
          </w:p>
        </w:tc>
      </w:tr>
      <w:tr>
        <w:tc>
          <w:tcPr>
            <w:tcW w:type="dxa" w:w="518"/>
          </w:tcPr>
          <w:p>
            <w:pPr>
              <w:spacing w:after="20"/>
            </w:pPr>
            <w:r>
              <w:rPr>
                <w:color w:val="1C3A36"/>
                <w:sz w:val="14"/>
              </w:rPr>
              <w:t>58</w:t>
            </w:r>
          </w:p>
        </w:tc>
        <w:tc>
          <w:tcPr>
            <w:tcW w:type="dxa" w:w="2448"/>
          </w:tcPr>
          <w:p>
            <w:pPr>
              <w:spacing w:after="20"/>
            </w:pPr>
            <w:r>
              <w:rPr>
                <w:color w:val="1C3A36"/>
                <w:sz w:val="14"/>
              </w:rPr>
              <w:t>price_exp_usd_t</w:t>
            </w:r>
          </w:p>
        </w:tc>
        <w:tc>
          <w:tcPr>
            <w:tcW w:type="dxa" w:w="1325"/>
          </w:tcPr>
          <w:p>
            <w:pPr>
              <w:spacing w:after="20"/>
            </w:pPr>
            <w:r>
              <w:rPr>
                <w:color w:val="1C3A36"/>
                <w:sz w:val="14"/>
              </w:rPr>
              <w:t>48, 47, 46, 45.5, 45, 45</w:t>
            </w:r>
          </w:p>
        </w:tc>
        <w:tc>
          <w:tcPr>
            <w:tcW w:type="dxa" w:w="1066"/>
          </w:tcPr>
          <w:p>
            <w:pPr>
              <w:spacing w:after="20"/>
            </w:pPr>
            <w:r>
              <w:rPr>
                <w:color w:val="1C3A36"/>
                <w:sz w:val="14"/>
              </w:rPr>
              <w:t>Industry</w:t>
            </w:r>
          </w:p>
        </w:tc>
        <w:tc>
          <w:tcPr>
            <w:tcW w:type="dxa" w:w="7085"/>
          </w:tcPr>
          <w:p>
            <w:pPr>
              <w:spacing w:after="20"/>
            </w:pPr>
            <w:r>
              <w:rPr>
                <w:color w:val="1C3A36"/>
                <w:sz w:val="14"/>
              </w:rPr>
              <w:t>Export FOB per tonne, declining because the EU carbon border mechanism raises the landed cost of Egyptian cement into Europe from 2026</w:t>
            </w:r>
          </w:p>
        </w:tc>
        <w:tc>
          <w:tcPr>
            <w:tcW w:type="dxa" w:w="1210"/>
          </w:tcPr>
          <w:p>
            <w:pPr>
              <w:spacing w:after="20"/>
            </w:pPr>
            <w:r>
              <w:rPr>
                <w:color w:val="1C3A36"/>
                <w:sz w:val="14"/>
              </w:rPr>
              <w:t>2026-01-01</w:t>
            </w:r>
          </w:p>
        </w:tc>
      </w:tr>
      <w:tr>
        <w:tc>
          <w:tcPr>
            <w:tcW w:type="dxa" w:w="518"/>
          </w:tcPr>
          <w:p>
            <w:pPr>
              <w:spacing w:after="20"/>
            </w:pPr>
            <w:r>
              <w:rPr>
                <w:color w:val="1C3A36"/>
                <w:sz w:val="14"/>
              </w:rPr>
              <w:t>59</w:t>
            </w:r>
          </w:p>
        </w:tc>
        <w:tc>
          <w:tcPr>
            <w:tcW w:type="dxa" w:w="2448"/>
          </w:tcPr>
          <w:p>
            <w:pPr>
              <w:spacing w:after="20"/>
            </w:pPr>
            <w:r>
              <w:rPr>
                <w:color w:val="1C3A36"/>
                <w:sz w:val="14"/>
              </w:rPr>
              <w:t>rawmat_egp_t</w:t>
            </w:r>
          </w:p>
        </w:tc>
        <w:tc>
          <w:tcPr>
            <w:tcW w:type="dxa" w:w="1325"/>
          </w:tcPr>
          <w:p>
            <w:pPr>
              <w:spacing w:after="20"/>
            </w:pPr>
            <w:r>
              <w:rPr>
                <w:color w:val="1C3A36"/>
                <w:sz w:val="14"/>
              </w:rPr>
              <w:t>190</w:t>
            </w:r>
          </w:p>
        </w:tc>
        <w:tc>
          <w:tcPr>
            <w:tcW w:type="dxa" w:w="1066"/>
          </w:tcPr>
          <w:p>
            <w:pPr>
              <w:spacing w:after="20"/>
            </w:pPr>
            <w:r>
              <w:rPr>
                <w:color w:val="1C3A36"/>
                <w:sz w:val="14"/>
              </w:rPr>
              <w:t>Industry</w:t>
            </w:r>
          </w:p>
        </w:tc>
        <w:tc>
          <w:tcPr>
            <w:tcW w:type="dxa" w:w="7085"/>
          </w:tcPr>
          <w:p>
            <w:pPr>
              <w:spacing w:after="20"/>
            </w:pPr>
            <w:r>
              <w:rPr>
                <w:color w:val="1C3A36"/>
                <w:sz w:val="14"/>
              </w:rPr>
              <w:t>Quarrying, raw meal and additives per tonne of cement</w:t>
            </w:r>
          </w:p>
        </w:tc>
        <w:tc>
          <w:tcPr>
            <w:tcW w:type="dxa" w:w="1210"/>
          </w:tcPr>
          <w:p>
            <w:pPr>
              <w:spacing w:after="20"/>
            </w:pPr>
            <w:r>
              <w:rPr>
                <w:color w:val="1C3A36"/>
                <w:sz w:val="14"/>
              </w:rPr>
              <w:t>2026-08-06</w:t>
            </w:r>
          </w:p>
        </w:tc>
      </w:tr>
      <w:tr>
        <w:tc>
          <w:tcPr>
            <w:tcW w:type="dxa" w:w="518"/>
          </w:tcPr>
          <w:p>
            <w:pPr>
              <w:spacing w:after="20"/>
            </w:pPr>
            <w:r>
              <w:rPr>
                <w:color w:val="1C3A36"/>
                <w:sz w:val="14"/>
              </w:rPr>
              <w:t>60</w:t>
            </w:r>
          </w:p>
        </w:tc>
        <w:tc>
          <w:tcPr>
            <w:tcW w:type="dxa" w:w="2448"/>
          </w:tcPr>
          <w:p>
            <w:pPr>
              <w:spacing w:after="20"/>
            </w:pPr>
            <w:r>
              <w:rPr>
                <w:color w:val="1C3A36"/>
                <w:sz w:val="14"/>
              </w:rPr>
              <w:t>repl_usd_t</w:t>
            </w:r>
          </w:p>
        </w:tc>
        <w:tc>
          <w:tcPr>
            <w:tcW w:type="dxa" w:w="1325"/>
          </w:tcPr>
          <w:p>
            <w:pPr>
              <w:spacing w:after="20"/>
            </w:pPr>
            <w:r>
              <w:rPr>
                <w:color w:val="1C3A36"/>
                <w:sz w:val="14"/>
              </w:rPr>
              <w:t>130</w:t>
            </w:r>
          </w:p>
        </w:tc>
        <w:tc>
          <w:tcPr>
            <w:tcW w:type="dxa" w:w="1066"/>
          </w:tcPr>
          <w:p>
            <w:pPr>
              <w:spacing w:after="20"/>
            </w:pPr>
            <w:r>
              <w:rPr>
                <w:color w:val="1C3A36"/>
                <w:sz w:val="14"/>
              </w:rPr>
              <w:t>Industry</w:t>
            </w:r>
          </w:p>
        </w:tc>
        <w:tc>
          <w:tcPr>
            <w:tcW w:type="dxa" w:w="7085"/>
          </w:tcPr>
          <w:p>
            <w:pPr>
              <w:spacing w:after="20"/>
            </w:pPr>
            <w:r>
              <w:rPr>
                <w:color w:val="1C3A36"/>
                <w:sz w:val="14"/>
              </w:rPr>
              <w:t>Replacement cost per annual tonne of CEMENT capacity, USD 120-150 band</w:t>
            </w:r>
          </w:p>
        </w:tc>
        <w:tc>
          <w:tcPr>
            <w:tcW w:type="dxa" w:w="1210"/>
          </w:tcPr>
          <w:p>
            <w:pPr>
              <w:spacing w:after="20"/>
            </w:pPr>
            <w:r>
              <w:rPr>
                <w:color w:val="1C3A36"/>
                <w:sz w:val="14"/>
              </w:rPr>
              <w:t>2026-08-06</w:t>
            </w:r>
          </w:p>
        </w:tc>
      </w:tr>
      <w:tr>
        <w:tc>
          <w:tcPr>
            <w:tcW w:type="dxa" w:w="518"/>
          </w:tcPr>
          <w:p>
            <w:pPr>
              <w:spacing w:after="20"/>
            </w:pPr>
            <w:r>
              <w:rPr>
                <w:color w:val="1C3A36"/>
                <w:sz w:val="14"/>
              </w:rPr>
              <w:t>61</w:t>
            </w:r>
          </w:p>
        </w:tc>
        <w:tc>
          <w:tcPr>
            <w:tcW w:type="dxa" w:w="2448"/>
          </w:tcPr>
          <w:p>
            <w:pPr>
              <w:spacing w:after="20"/>
            </w:pPr>
            <w:r>
              <w:rPr>
                <w:color w:val="1C3A36"/>
                <w:sz w:val="14"/>
              </w:rPr>
              <w:t>thermal_gj_t_clinker</w:t>
            </w:r>
          </w:p>
        </w:tc>
        <w:tc>
          <w:tcPr>
            <w:tcW w:type="dxa" w:w="1325"/>
          </w:tcPr>
          <w:p>
            <w:pPr>
              <w:spacing w:after="20"/>
            </w:pPr>
            <w:r>
              <w:rPr>
                <w:color w:val="1C3A36"/>
                <w:sz w:val="14"/>
              </w:rPr>
              <w:t>3.4</w:t>
            </w:r>
          </w:p>
        </w:tc>
        <w:tc>
          <w:tcPr>
            <w:tcW w:type="dxa" w:w="1066"/>
          </w:tcPr>
          <w:p>
            <w:pPr>
              <w:spacing w:after="20"/>
            </w:pPr>
            <w:r>
              <w:rPr>
                <w:color w:val="1C3A36"/>
                <w:sz w:val="14"/>
              </w:rPr>
              <w:t>Industry</w:t>
            </w:r>
          </w:p>
        </w:tc>
        <w:tc>
          <w:tcPr>
            <w:tcW w:type="dxa" w:w="7085"/>
          </w:tcPr>
          <w:p>
            <w:pPr>
              <w:spacing w:after="20"/>
            </w:pPr>
            <w:r>
              <w:rPr>
                <w:color w:val="1C3A36"/>
                <w:sz w:val="14"/>
              </w:rPr>
              <w:t>Specific thermal energy, 3.2-3.6 GJ/t clinker for a dry preheater/precalciner kiln</w:t>
            </w:r>
          </w:p>
        </w:tc>
        <w:tc>
          <w:tcPr>
            <w:tcW w:type="dxa" w:w="1210"/>
          </w:tcPr>
          <w:p>
            <w:pPr>
              <w:spacing w:after="20"/>
            </w:pPr>
            <w:r>
              <w:rPr>
                <w:color w:val="1C3A36"/>
                <w:sz w:val="14"/>
              </w:rPr>
              <w:t>2026-08-06</w:t>
            </w:r>
          </w:p>
        </w:tc>
      </w:tr>
      <w:tr>
        <w:tc>
          <w:tcPr>
            <w:tcW w:type="dxa" w:w="518"/>
          </w:tcPr>
          <w:p>
            <w:pPr>
              <w:spacing w:after="20"/>
            </w:pPr>
            <w:r>
              <w:rPr>
                <w:color w:val="1C3A36"/>
                <w:sz w:val="14"/>
              </w:rPr>
              <w:t>62</w:t>
            </w:r>
          </w:p>
        </w:tc>
        <w:tc>
          <w:tcPr>
            <w:tcW w:type="dxa" w:w="2448"/>
          </w:tcPr>
          <w:p>
            <w:pPr>
              <w:spacing w:after="20"/>
            </w:pPr>
            <w:r>
              <w:rPr>
                <w:color w:val="1C3A36"/>
                <w:sz w:val="14"/>
              </w:rPr>
              <w:t>cost_infl</w:t>
            </w:r>
          </w:p>
        </w:tc>
        <w:tc>
          <w:tcPr>
            <w:tcW w:type="dxa" w:w="1325"/>
          </w:tcPr>
          <w:p>
            <w:pPr>
              <w:spacing w:after="20"/>
            </w:pPr>
            <w:r>
              <w:rPr>
                <w:color w:val="1C3A36"/>
                <w:sz w:val="14"/>
              </w:rPr>
              <w:t>1, 1.16, 1.299, 1.416, 1.522, 1.629</w:t>
            </w:r>
          </w:p>
        </w:tc>
        <w:tc>
          <w:tcPr>
            <w:tcW w:type="dxa" w:w="1066"/>
          </w:tcPr>
          <w:p>
            <w:pPr>
              <w:spacing w:after="20"/>
            </w:pPr>
            <w:r>
              <w:rPr>
                <w:color w:val="1C3A36"/>
                <w:sz w:val="14"/>
              </w:rPr>
              <w:t>Country</w:t>
            </w:r>
          </w:p>
        </w:tc>
        <w:tc>
          <w:tcPr>
            <w:tcW w:type="dxa" w:w="7085"/>
          </w:tcPr>
          <w:p>
            <w:pPr>
              <w:spacing w:after="20"/>
            </w:pPr>
            <w:r>
              <w:rPr>
                <w:color w:val="1C3A36"/>
                <w:sz w:val="14"/>
              </w:rPr>
              <w:t>Cumulative local cost inflation index on the EGP cost lines, compounded from the HOUSE calendar ladder — 16.0/12.0/9.0/7.5/7.0 per cent for 2026-2030, sourced to the Central Bank of Egypt's own baseline and its published glide to the target band. Revision 3 typed 14.0/11.0/7.9/6.2/5.5, roughly two points a year below the house path, and no source in this study supported the gap</w:t>
            </w:r>
          </w:p>
        </w:tc>
        <w:tc>
          <w:tcPr>
            <w:tcW w:type="dxa" w:w="1210"/>
          </w:tcPr>
          <w:p>
            <w:pPr>
              <w:spacing w:after="20"/>
            </w:pPr>
            <w:r>
              <w:rPr>
                <w:color w:val="1C3A36"/>
                <w:sz w:val="14"/>
              </w:rPr>
              <w:t>2026-09-02</w:t>
            </w:r>
          </w:p>
        </w:tc>
      </w:tr>
      <w:tr>
        <w:tc>
          <w:tcPr>
            <w:tcW w:type="dxa" w:w="518"/>
          </w:tcPr>
          <w:p>
            <w:pPr>
              <w:spacing w:after="20"/>
            </w:pPr>
            <w:r>
              <w:rPr>
                <w:color w:val="1C3A36"/>
                <w:sz w:val="14"/>
              </w:rPr>
              <w:t>63</w:t>
            </w:r>
          </w:p>
        </w:tc>
        <w:tc>
          <w:tcPr>
            <w:tcW w:type="dxa" w:w="2448"/>
          </w:tcPr>
          <w:p>
            <w:pPr>
              <w:spacing w:after="20"/>
            </w:pPr>
            <w:r>
              <w:rPr>
                <w:color w:val="1C3A36"/>
                <w:sz w:val="14"/>
              </w:rPr>
              <w:t>egp_per_eur_aug24</w:t>
            </w:r>
          </w:p>
        </w:tc>
        <w:tc>
          <w:tcPr>
            <w:tcW w:type="dxa" w:w="1325"/>
          </w:tcPr>
          <w:p>
            <w:pPr>
              <w:spacing w:after="20"/>
            </w:pPr>
            <w:r>
              <w:rPr>
                <w:color w:val="1C3A36"/>
                <w:sz w:val="14"/>
              </w:rPr>
              <w:t>53.4</w:t>
            </w:r>
          </w:p>
        </w:tc>
        <w:tc>
          <w:tcPr>
            <w:tcW w:type="dxa" w:w="1066"/>
          </w:tcPr>
          <w:p>
            <w:pPr>
              <w:spacing w:after="20"/>
            </w:pPr>
            <w:r>
              <w:rPr>
                <w:color w:val="1C3A36"/>
                <w:sz w:val="14"/>
              </w:rPr>
              <w:t>Country</w:t>
            </w:r>
          </w:p>
        </w:tc>
        <w:tc>
          <w:tcPr>
            <w:tcW w:type="dxa" w:w="7085"/>
          </w:tcPr>
          <w:p>
            <w:pPr>
              <w:spacing w:after="20"/>
            </w:pPr>
            <w:r>
              <w:rPr>
                <w:color w:val="1C3A36"/>
                <w:sz w:val="14"/>
              </w:rPr>
              <w:t>EGP per EUR at completion</w:t>
            </w:r>
          </w:p>
        </w:tc>
        <w:tc>
          <w:tcPr>
            <w:tcW w:type="dxa" w:w="1210"/>
          </w:tcPr>
          <w:p>
            <w:pPr>
              <w:spacing w:after="20"/>
            </w:pPr>
            <w:r>
              <w:rPr>
                <w:color w:val="1C3A36"/>
                <w:sz w:val="14"/>
              </w:rPr>
              <w:t>2024-08-13</w:t>
            </w:r>
          </w:p>
        </w:tc>
      </w:tr>
      <w:tr>
        <w:tc>
          <w:tcPr>
            <w:tcW w:type="dxa" w:w="518"/>
          </w:tcPr>
          <w:p>
            <w:pPr>
              <w:spacing w:after="20"/>
            </w:pPr>
            <w:r>
              <w:rPr>
                <w:color w:val="1C3A36"/>
                <w:sz w:val="14"/>
              </w:rPr>
              <w:t>64</w:t>
            </w:r>
          </w:p>
        </w:tc>
        <w:tc>
          <w:tcPr>
            <w:tcW w:type="dxa" w:w="2448"/>
          </w:tcPr>
          <w:p>
            <w:pPr>
              <w:spacing w:after="20"/>
            </w:pPr>
            <w:r>
              <w:rPr>
                <w:color w:val="1C3A36"/>
                <w:sz w:val="14"/>
              </w:rPr>
              <w:t>erp_cds</w:t>
            </w:r>
          </w:p>
        </w:tc>
        <w:tc>
          <w:tcPr>
            <w:tcW w:type="dxa" w:w="1325"/>
          </w:tcPr>
          <w:p>
            <w:pPr>
              <w:spacing w:after="20"/>
            </w:pPr>
            <w:r>
              <w:rPr>
                <w:color w:val="1C3A36"/>
                <w:sz w:val="14"/>
              </w:rPr>
              <w:t>0.0941</w:t>
            </w:r>
          </w:p>
        </w:tc>
        <w:tc>
          <w:tcPr>
            <w:tcW w:type="dxa" w:w="1066"/>
          </w:tcPr>
          <w:p>
            <w:pPr>
              <w:spacing w:after="20"/>
            </w:pPr>
            <w:r>
              <w:rPr>
                <w:color w:val="1C3A36"/>
                <w:sz w:val="14"/>
              </w:rPr>
              <w:t>Country</w:t>
            </w:r>
          </w:p>
        </w:tc>
        <w:tc>
          <w:tcPr>
            <w:tcW w:type="dxa" w:w="7085"/>
          </w:tcPr>
          <w:p>
            <w:pPr>
              <w:spacing w:after="20"/>
            </w:pPr>
            <w:r>
              <w:rPr>
                <w:color w:val="1C3A36"/>
                <w:sz w:val="14"/>
              </w:rPr>
              <w:t>Damodaran Egypt, CDS-BASED, January-2026: mature-market 4.23% + 3.40% x (9.71/6.37) = 9.4127%. Revision 1 cited 'Damodaran, Egypt row' without naming the variant; a checker following that citation lands on the rating-based 13.94%</w:t>
            </w:r>
          </w:p>
        </w:tc>
        <w:tc>
          <w:tcPr>
            <w:tcW w:type="dxa" w:w="1210"/>
          </w:tcPr>
          <w:p>
            <w:pPr>
              <w:spacing w:after="20"/>
            </w:pPr>
            <w:r>
              <w:rPr>
                <w:color w:val="1C3A36"/>
                <w:sz w:val="14"/>
              </w:rPr>
              <w:t>2026-01-05</w:t>
            </w:r>
          </w:p>
        </w:tc>
      </w:tr>
      <w:tr>
        <w:tc>
          <w:tcPr>
            <w:tcW w:type="dxa" w:w="518"/>
          </w:tcPr>
          <w:p>
            <w:pPr>
              <w:spacing w:after="20"/>
            </w:pPr>
            <w:r>
              <w:rPr>
                <w:color w:val="1C3A36"/>
                <w:sz w:val="14"/>
              </w:rPr>
              <w:t>65</w:t>
            </w:r>
          </w:p>
        </w:tc>
        <w:tc>
          <w:tcPr>
            <w:tcW w:type="dxa" w:w="2448"/>
          </w:tcPr>
          <w:p>
            <w:pPr>
              <w:spacing w:after="20"/>
            </w:pPr>
            <w:r>
              <w:rPr>
                <w:color w:val="1C3A36"/>
                <w:sz w:val="14"/>
              </w:rPr>
              <w:t>erp_rating</w:t>
            </w:r>
          </w:p>
        </w:tc>
        <w:tc>
          <w:tcPr>
            <w:tcW w:type="dxa" w:w="1325"/>
          </w:tcPr>
          <w:p>
            <w:pPr>
              <w:spacing w:after="20"/>
            </w:pPr>
            <w:r>
              <w:rPr>
                <w:color w:val="1C3A36"/>
                <w:sz w:val="14"/>
              </w:rPr>
              <w:t>0.1394</w:t>
            </w:r>
          </w:p>
        </w:tc>
        <w:tc>
          <w:tcPr>
            <w:tcW w:type="dxa" w:w="1066"/>
          </w:tcPr>
          <w:p>
            <w:pPr>
              <w:spacing w:after="20"/>
            </w:pPr>
            <w:r>
              <w:rPr>
                <w:color w:val="1C3A36"/>
                <w:sz w:val="14"/>
              </w:rPr>
              <w:t>Country</w:t>
            </w:r>
          </w:p>
        </w:tc>
        <w:tc>
          <w:tcPr>
            <w:tcW w:type="dxa" w:w="7085"/>
          </w:tcPr>
          <w:p>
            <w:pPr>
              <w:spacing w:after="20"/>
            </w:pPr>
            <w:r>
              <w:rPr>
                <w:color w:val="1C3A36"/>
                <w:sz w:val="14"/>
              </w:rPr>
              <w:t>Damodaran Egypt, RATING-BASED, January-2026. The alternative premium basis, published beside the adopted CDS one under. Revision 1 cited 'Damodaran, Egypt row' without naming the variant, and a checker following that citation lands here rather than on the 9.41% actually used</w:t>
            </w:r>
          </w:p>
        </w:tc>
        <w:tc>
          <w:tcPr>
            <w:tcW w:type="dxa" w:w="1210"/>
          </w:tcPr>
          <w:p>
            <w:pPr>
              <w:spacing w:after="20"/>
            </w:pPr>
            <w:r>
              <w:rPr>
                <w:color w:val="1C3A36"/>
                <w:sz w:val="14"/>
              </w:rPr>
              <w:t>2026-01-05</w:t>
            </w:r>
          </w:p>
        </w:tc>
      </w:tr>
      <w:tr>
        <w:tc>
          <w:tcPr>
            <w:tcW w:type="dxa" w:w="518"/>
          </w:tcPr>
          <w:p>
            <w:pPr>
              <w:spacing w:after="20"/>
            </w:pPr>
            <w:r>
              <w:rPr>
                <w:color w:val="1C3A36"/>
                <w:sz w:val="14"/>
              </w:rPr>
              <w:t>66</w:t>
            </w:r>
          </w:p>
        </w:tc>
        <w:tc>
          <w:tcPr>
            <w:tcW w:type="dxa" w:w="2448"/>
          </w:tcPr>
          <w:p>
            <w:pPr>
              <w:spacing w:after="20"/>
            </w:pPr>
            <w:r>
              <w:rPr>
                <w:color w:val="1C3A36"/>
                <w:sz w:val="14"/>
              </w:rPr>
              <w:t>fx</w:t>
            </w:r>
          </w:p>
        </w:tc>
        <w:tc>
          <w:tcPr>
            <w:tcW w:type="dxa" w:w="1325"/>
          </w:tcPr>
          <w:p>
            <w:pPr>
              <w:spacing w:after="20"/>
            </w:pPr>
            <w:r>
              <w:rPr>
                <w:color w:val="1C3A36"/>
                <w:sz w:val="14"/>
              </w:rPr>
              <w:t>50.25</w:t>
            </w:r>
          </w:p>
        </w:tc>
        <w:tc>
          <w:tcPr>
            <w:tcW w:type="dxa" w:w="1066"/>
          </w:tcPr>
          <w:p>
            <w:pPr>
              <w:spacing w:after="20"/>
            </w:pPr>
            <w:r>
              <w:rPr>
                <w:color w:val="1C3A36"/>
                <w:sz w:val="14"/>
              </w:rPr>
              <w:t>Country</w:t>
            </w:r>
          </w:p>
        </w:tc>
        <w:tc>
          <w:tcPr>
            <w:tcW w:type="dxa" w:w="7085"/>
          </w:tcPr>
          <w:p>
            <w:pPr>
              <w:spacing w:after="20"/>
            </w:pPr>
            <w:r>
              <w:rPr>
                <w:color w:val="1C3A36"/>
                <w:sz w:val="14"/>
              </w:rPr>
              <w:t>USD/EGP spot, from the house macro path and not from this study. Revision 3 carried 49.80 for the 6-August-2026 quote and the house path carries 50.25 for the SAME quote on the same date — two numbers for one fact, which is the defect that rule was adopted on. The house figure governs</w:t>
            </w:r>
          </w:p>
        </w:tc>
        <w:tc>
          <w:tcPr>
            <w:tcW w:type="dxa" w:w="1210"/>
          </w:tcPr>
          <w:p>
            <w:pPr>
              <w:spacing w:after="20"/>
            </w:pPr>
            <w:r>
              <w:rPr>
                <w:color w:val="1C3A36"/>
                <w:sz w:val="14"/>
              </w:rPr>
              <w:t>2026-08-06</w:t>
            </w:r>
          </w:p>
        </w:tc>
      </w:tr>
      <w:tr>
        <w:tc>
          <w:tcPr>
            <w:tcW w:type="dxa" w:w="518"/>
          </w:tcPr>
          <w:p>
            <w:pPr>
              <w:spacing w:after="20"/>
            </w:pPr>
            <w:r>
              <w:rPr>
                <w:color w:val="1C3A36"/>
                <w:sz w:val="14"/>
              </w:rPr>
              <w:t>67</w:t>
            </w:r>
          </w:p>
        </w:tc>
        <w:tc>
          <w:tcPr>
            <w:tcW w:type="dxa" w:w="2448"/>
          </w:tcPr>
          <w:p>
            <w:pPr>
              <w:spacing w:after="20"/>
            </w:pPr>
            <w:r>
              <w:rPr>
                <w:color w:val="1C3A36"/>
                <w:sz w:val="14"/>
              </w:rPr>
              <w:t>fx_path</w:t>
            </w:r>
          </w:p>
        </w:tc>
        <w:tc>
          <w:tcPr>
            <w:tcW w:type="dxa" w:w="1325"/>
          </w:tcPr>
          <w:p>
            <w:pPr>
              <w:spacing w:after="20"/>
            </w:pPr>
            <w:r>
              <w:rPr>
                <w:color w:val="1C3A36"/>
                <w:sz w:val="14"/>
              </w:rPr>
              <w:t>50.25, 55.11, 60.22, 64.04, 67.17, 70.11</w:t>
            </w:r>
          </w:p>
        </w:tc>
        <w:tc>
          <w:tcPr>
            <w:tcW w:type="dxa" w:w="1066"/>
          </w:tcPr>
          <w:p>
            <w:pPr>
              <w:spacing w:after="20"/>
            </w:pPr>
            <w:r>
              <w:rPr>
                <w:color w:val="1C3A36"/>
                <w:sz w:val="14"/>
              </w:rPr>
              <w:t>Country</w:t>
            </w:r>
          </w:p>
        </w:tc>
        <w:tc>
          <w:tcPr>
            <w:tcW w:type="dxa" w:w="7085"/>
          </w:tcPr>
          <w:p>
            <w:pPr>
              <w:spacing w:after="20"/>
            </w:pPr>
            <w:r>
              <w:rPr>
                <w:color w:val="1C3A36"/>
                <w:sz w:val="14"/>
              </w:rPr>
              <w:t>USD/EGP path, the HOUSE derived purchasing-power path — relative PPP on the house inflation ladder against long-run United States inflation, read from this house's own committed record and not computed here. Revision 3 derived the same identity from THIS STUDY's own ladder, which was two points a year below the house one, so the pound slid more slowly than the house path says it does: one economy cannot have two inflations, and the currency is where that shows. Raises the EGP cost of imported fuel AND the EGP value of export revenue</w:t>
            </w:r>
          </w:p>
        </w:tc>
        <w:tc>
          <w:tcPr>
            <w:tcW w:type="dxa" w:w="1210"/>
          </w:tcPr>
          <w:p>
            <w:pPr>
              <w:spacing w:after="20"/>
            </w:pPr>
            <w:r>
              <w:rPr>
                <w:color w:val="1C3A36"/>
                <w:sz w:val="14"/>
              </w:rPr>
              <w:t>2026-09-02</w:t>
            </w:r>
          </w:p>
        </w:tc>
      </w:tr>
      <w:tr>
        <w:tc>
          <w:tcPr>
            <w:tcW w:type="dxa" w:w="518"/>
          </w:tcPr>
          <w:p>
            <w:pPr>
              <w:spacing w:after="20"/>
            </w:pPr>
            <w:r>
              <w:rPr>
                <w:color w:val="1C3A36"/>
                <w:sz w:val="14"/>
              </w:rPr>
              <w:t>68</w:t>
            </w:r>
          </w:p>
        </w:tc>
        <w:tc>
          <w:tcPr>
            <w:tcW w:type="dxa" w:w="2448"/>
          </w:tcPr>
          <w:p>
            <w:pPr>
              <w:spacing w:after="20"/>
            </w:pPr>
            <w:r>
              <w:rPr>
                <w:color w:val="1C3A36"/>
                <w:sz w:val="14"/>
              </w:rPr>
              <w:t>g_term</w:t>
            </w:r>
          </w:p>
        </w:tc>
        <w:tc>
          <w:tcPr>
            <w:tcW w:type="dxa" w:w="1325"/>
          </w:tcPr>
          <w:p>
            <w:pPr>
              <w:spacing w:after="20"/>
            </w:pPr>
            <w:r>
              <w:rPr>
                <w:color w:val="1C3A36"/>
                <w:sz w:val="14"/>
              </w:rPr>
              <w:t>0.07</w:t>
            </w:r>
          </w:p>
        </w:tc>
        <w:tc>
          <w:tcPr>
            <w:tcW w:type="dxa" w:w="1066"/>
          </w:tcPr>
          <w:p>
            <w:pPr>
              <w:spacing w:after="20"/>
            </w:pPr>
            <w:r>
              <w:rPr>
                <w:color w:val="1C3A36"/>
                <w:sz w:val="14"/>
              </w:rPr>
              <w:t>Country</w:t>
            </w:r>
          </w:p>
        </w:tc>
        <w:tc>
          <w:tcPr>
            <w:tcW w:type="dxa" w:w="7085"/>
          </w:tcPr>
          <w:p>
            <w:pPr>
              <w:spacing w:after="20"/>
            </w:pPr>
            <w:r>
              <w:rPr>
                <w:color w:val="1C3A36"/>
                <w:sz w:val="14"/>
              </w:rPr>
              <w:t>Terminal growth, DERIVED as the house terminal inflation of 7.0% plus a STATED real growth of ZERO. Revision 3 held 5% against a terminal risk-free rate of 12.5% built on that same 7% inflation — a perpetual REAL DECLINE of about two points a year that nothing in the study disclosed and nothing supports. Real decline in perpetuity stays permitted and must be written down as the real number it is; this study assumes none</w:t>
            </w:r>
          </w:p>
        </w:tc>
        <w:tc>
          <w:tcPr>
            <w:tcW w:type="dxa" w:w="1210"/>
          </w:tcPr>
          <w:p>
            <w:pPr>
              <w:spacing w:after="20"/>
            </w:pPr>
            <w:r>
              <w:rPr>
                <w:color w:val="1C3A36"/>
                <w:sz w:val="14"/>
              </w:rPr>
              <w:t>2026-09-02</w:t>
            </w:r>
          </w:p>
        </w:tc>
      </w:tr>
      <w:tr>
        <w:tc>
          <w:tcPr>
            <w:tcW w:type="dxa" w:w="518"/>
          </w:tcPr>
          <w:p>
            <w:pPr>
              <w:spacing w:after="20"/>
            </w:pPr>
            <w:r>
              <w:rPr>
                <w:color w:val="1C3A36"/>
                <w:sz w:val="14"/>
              </w:rPr>
              <w:t>69</w:t>
            </w:r>
          </w:p>
        </w:tc>
        <w:tc>
          <w:tcPr>
            <w:tcW w:type="dxa" w:w="2448"/>
          </w:tcPr>
          <w:p>
            <w:pPr>
              <w:spacing w:after="20"/>
            </w:pPr>
            <w:r>
              <w:rPr>
                <w:color w:val="1C3A36"/>
                <w:sz w:val="14"/>
              </w:rPr>
              <w:t>power_tariff</w:t>
            </w:r>
          </w:p>
        </w:tc>
        <w:tc>
          <w:tcPr>
            <w:tcW w:type="dxa" w:w="1325"/>
          </w:tcPr>
          <w:p>
            <w:pPr>
              <w:spacing w:after="20"/>
            </w:pPr>
            <w:r>
              <w:rPr>
                <w:color w:val="1C3A36"/>
                <w:sz w:val="14"/>
              </w:rPr>
              <w:t>2.6</w:t>
            </w:r>
          </w:p>
        </w:tc>
        <w:tc>
          <w:tcPr>
            <w:tcW w:type="dxa" w:w="1066"/>
          </w:tcPr>
          <w:p>
            <w:pPr>
              <w:spacing w:after="20"/>
            </w:pPr>
            <w:r>
              <w:rPr>
                <w:color w:val="1C3A36"/>
                <w:sz w:val="14"/>
              </w:rPr>
              <w:t>Country</w:t>
            </w:r>
          </w:p>
        </w:tc>
        <w:tc>
          <w:tcPr>
            <w:tcW w:type="dxa" w:w="7085"/>
          </w:tcPr>
          <w:p>
            <w:pPr>
              <w:spacing w:after="20"/>
            </w:pPr>
            <w:r>
              <w:rPr>
                <w:color w:val="1C3A36"/>
                <w:sz w:val="14"/>
              </w:rPr>
              <w:t>Egyptian industrial electricity tariff after subsidy reform</w:t>
            </w:r>
          </w:p>
        </w:tc>
        <w:tc>
          <w:tcPr>
            <w:tcW w:type="dxa" w:w="1210"/>
          </w:tcPr>
          <w:p>
            <w:pPr>
              <w:spacing w:after="20"/>
            </w:pPr>
            <w:r>
              <w:rPr>
                <w:color w:val="1C3A36"/>
                <w:sz w:val="14"/>
              </w:rPr>
              <w:t>2026-08-06</w:t>
            </w:r>
          </w:p>
        </w:tc>
      </w:tr>
      <w:tr>
        <w:tc>
          <w:tcPr>
            <w:tcW w:type="dxa" w:w="518"/>
          </w:tcPr>
          <w:p>
            <w:pPr>
              <w:spacing w:after="20"/>
            </w:pPr>
            <w:r>
              <w:rPr>
                <w:color w:val="1C3A36"/>
                <w:sz w:val="14"/>
              </w:rPr>
              <w:t>70</w:t>
            </w:r>
          </w:p>
        </w:tc>
        <w:tc>
          <w:tcPr>
            <w:tcW w:type="dxa" w:w="2448"/>
          </w:tcPr>
          <w:p>
            <w:pPr>
              <w:spacing w:after="20"/>
            </w:pPr>
            <w:r>
              <w:rPr>
                <w:color w:val="1C3A36"/>
                <w:sz w:val="14"/>
              </w:rPr>
              <w:t>rf</w:t>
            </w:r>
          </w:p>
        </w:tc>
        <w:tc>
          <w:tcPr>
            <w:tcW w:type="dxa" w:w="1325"/>
          </w:tcPr>
          <w:p>
            <w:pPr>
              <w:spacing w:after="20"/>
            </w:pPr>
            <w:r>
              <w:rPr>
                <w:color w:val="1C3A36"/>
                <w:sz w:val="14"/>
              </w:rPr>
              <w:t>0.23</w:t>
            </w:r>
          </w:p>
        </w:tc>
        <w:tc>
          <w:tcPr>
            <w:tcW w:type="dxa" w:w="1066"/>
          </w:tcPr>
          <w:p>
            <w:pPr>
              <w:spacing w:after="20"/>
            </w:pPr>
            <w:r>
              <w:rPr>
                <w:color w:val="1C3A36"/>
                <w:sz w:val="14"/>
              </w:rPr>
              <w:t>Country</w:t>
            </w:r>
          </w:p>
        </w:tc>
        <w:tc>
          <w:tcPr>
            <w:tcW w:type="dxa" w:w="7085"/>
          </w:tcPr>
          <w:p>
            <w:pPr>
              <w:spacing w:after="20"/>
            </w:pPr>
            <w:r>
              <w:rPr>
                <w:color w:val="1C3A36"/>
                <w:sz w:val="14"/>
              </w:rPr>
              <w:t>Egypt 10-year local-currency government yield, from the HOUSE macro path and not from this study. Revision 3 carried 22.31% at a 21-July quote while the house path carries 23.00% at 6-August: one sovereign, one yield, and the later quote is the right one for a study struck in September. THE QUOTE IS OLDER THAN THE 14-DAY BOUND and is accepted deliberately with its age disclosed in the cost-of-capital record, rather than used quietly</w:t>
            </w:r>
          </w:p>
        </w:tc>
        <w:tc>
          <w:tcPr>
            <w:tcW w:type="dxa" w:w="1210"/>
          </w:tcPr>
          <w:p>
            <w:pPr>
              <w:spacing w:after="20"/>
            </w:pPr>
            <w:r>
              <w:rPr>
                <w:color w:val="1C3A36"/>
                <w:sz w:val="14"/>
              </w:rPr>
              <w:t>2026-08-06</w:t>
            </w:r>
          </w:p>
        </w:tc>
      </w:tr>
      <w:tr>
        <w:tc>
          <w:tcPr>
            <w:tcW w:type="dxa" w:w="518"/>
          </w:tcPr>
          <w:p>
            <w:pPr>
              <w:spacing w:after="20"/>
            </w:pPr>
            <w:r>
              <w:rPr>
                <w:color w:val="1C3A36"/>
                <w:sz w:val="14"/>
              </w:rPr>
              <w:t>71</w:t>
            </w:r>
          </w:p>
        </w:tc>
        <w:tc>
          <w:tcPr>
            <w:tcW w:type="dxa" w:w="2448"/>
          </w:tcPr>
          <w:p>
            <w:pPr>
              <w:spacing w:after="20"/>
            </w:pPr>
            <w:r>
              <w:rPr>
                <w:color w:val="1C3A36"/>
                <w:sz w:val="14"/>
              </w:rPr>
              <w:t>sov_spread_cds</w:t>
            </w:r>
          </w:p>
        </w:tc>
        <w:tc>
          <w:tcPr>
            <w:tcW w:type="dxa" w:w="1325"/>
          </w:tcPr>
          <w:p>
            <w:pPr>
              <w:spacing w:after="20"/>
            </w:pPr>
            <w:r>
              <w:rPr>
                <w:color w:val="1C3A36"/>
                <w:sz w:val="14"/>
              </w:rPr>
              <w:t>0.034</w:t>
            </w:r>
          </w:p>
        </w:tc>
        <w:tc>
          <w:tcPr>
            <w:tcW w:type="dxa" w:w="1066"/>
          </w:tcPr>
          <w:p>
            <w:pPr>
              <w:spacing w:after="20"/>
            </w:pPr>
            <w:r>
              <w:rPr>
                <w:color w:val="1C3A36"/>
                <w:sz w:val="14"/>
              </w:rPr>
              <w:t>Country</w:t>
            </w:r>
          </w:p>
        </w:tc>
        <w:tc>
          <w:tcPr>
            <w:tcW w:type="dxa" w:w="7085"/>
          </w:tcPr>
          <w:p>
            <w:pPr>
              <w:spacing w:after="20"/>
            </w:pPr>
            <w:r>
              <w:rPr>
                <w:color w:val="1C3A36"/>
                <w:sz w:val="14"/>
              </w:rPr>
              <w:t>Egypt CDS-implied sovereign default spread, Damodaran January-2026, CDS column. NETTED OUT of the local risk-free rate so sovereign default risk is not charged twice. One reviewer called this a manipulation; two others cleared it explicitly, and it is Damodaran's own construction — the country premium in the ERP is DERIVED from this same spread</w:t>
            </w:r>
          </w:p>
        </w:tc>
        <w:tc>
          <w:tcPr>
            <w:tcW w:type="dxa" w:w="1210"/>
          </w:tcPr>
          <w:p>
            <w:pPr>
              <w:spacing w:after="20"/>
            </w:pPr>
            <w:r>
              <w:rPr>
                <w:color w:val="1C3A36"/>
                <w:sz w:val="14"/>
              </w:rPr>
              <w:t>2026-01-05</w:t>
            </w:r>
          </w:p>
        </w:tc>
      </w:tr>
      <w:tr>
        <w:tc>
          <w:tcPr>
            <w:tcW w:type="dxa" w:w="518"/>
          </w:tcPr>
          <w:p>
            <w:pPr>
              <w:spacing w:after="20"/>
            </w:pPr>
            <w:r>
              <w:rPr>
                <w:color w:val="1C3A36"/>
                <w:sz w:val="14"/>
              </w:rPr>
              <w:t>72</w:t>
            </w:r>
          </w:p>
        </w:tc>
        <w:tc>
          <w:tcPr>
            <w:tcW w:type="dxa" w:w="2448"/>
          </w:tcPr>
          <w:p>
            <w:pPr>
              <w:spacing w:after="20"/>
            </w:pPr>
            <w:r>
              <w:rPr>
                <w:color w:val="1C3A36"/>
                <w:sz w:val="14"/>
              </w:rPr>
              <w:t>sov_spread_rating</w:t>
            </w:r>
          </w:p>
        </w:tc>
        <w:tc>
          <w:tcPr>
            <w:tcW w:type="dxa" w:w="1325"/>
          </w:tcPr>
          <w:p>
            <w:pPr>
              <w:spacing w:after="20"/>
            </w:pPr>
            <w:r>
              <w:rPr>
                <w:color w:val="1C3A36"/>
                <w:sz w:val="14"/>
              </w:rPr>
              <w:t>0.0637</w:t>
            </w:r>
          </w:p>
        </w:tc>
        <w:tc>
          <w:tcPr>
            <w:tcW w:type="dxa" w:w="1066"/>
          </w:tcPr>
          <w:p>
            <w:pPr>
              <w:spacing w:after="20"/>
            </w:pPr>
            <w:r>
              <w:rPr>
                <w:color w:val="1C3A36"/>
                <w:sz w:val="14"/>
              </w:rPr>
              <w:t>Country</w:t>
            </w:r>
          </w:p>
        </w:tc>
        <w:tc>
          <w:tcPr>
            <w:tcW w:type="dxa" w:w="7085"/>
          </w:tcPr>
          <w:p>
            <w:pPr>
              <w:spacing w:after="20"/>
            </w:pPr>
            <w:r>
              <w:rPr>
                <w:color w:val="1C3A36"/>
                <w:sz w:val="14"/>
              </w:rPr>
              <w:t>Egypt RATING-implied sovereign default spread, Damodaran January-2026, rating column. Published as the alternative basis to the adopted CDS one, never mixed with it: the spread netted out of the risk-free rate and the spread added back through the premium must be the SAME basis or the sovereign is counted one and a half times</w:t>
            </w:r>
          </w:p>
        </w:tc>
        <w:tc>
          <w:tcPr>
            <w:tcW w:type="dxa" w:w="1210"/>
          </w:tcPr>
          <w:p>
            <w:pPr>
              <w:spacing w:after="20"/>
            </w:pPr>
            <w:r>
              <w:rPr>
                <w:color w:val="1C3A36"/>
                <w:sz w:val="14"/>
              </w:rPr>
              <w:t>2026-01-05</w:t>
            </w:r>
          </w:p>
        </w:tc>
      </w:tr>
      <w:tr>
        <w:tc>
          <w:tcPr>
            <w:tcW w:type="dxa" w:w="518"/>
          </w:tcPr>
          <w:p>
            <w:pPr>
              <w:spacing w:after="20"/>
            </w:pPr>
            <w:r>
              <w:rPr>
                <w:color w:val="1C3A36"/>
                <w:sz w:val="14"/>
              </w:rPr>
              <w:t>73</w:t>
            </w:r>
          </w:p>
        </w:tc>
        <w:tc>
          <w:tcPr>
            <w:tcW w:type="dxa" w:w="2448"/>
          </w:tcPr>
          <w:p>
            <w:pPr>
              <w:spacing w:after="20"/>
            </w:pPr>
            <w:r>
              <w:rPr>
                <w:color w:val="1C3A36"/>
                <w:sz w:val="14"/>
              </w:rPr>
              <w:t>tax_stat</w:t>
            </w:r>
          </w:p>
        </w:tc>
        <w:tc>
          <w:tcPr>
            <w:tcW w:type="dxa" w:w="1325"/>
          </w:tcPr>
          <w:p>
            <w:pPr>
              <w:spacing w:after="20"/>
            </w:pPr>
            <w:r>
              <w:rPr>
                <w:color w:val="1C3A36"/>
                <w:sz w:val="14"/>
              </w:rPr>
              <w:t>0.225</w:t>
            </w:r>
          </w:p>
        </w:tc>
        <w:tc>
          <w:tcPr>
            <w:tcW w:type="dxa" w:w="1066"/>
          </w:tcPr>
          <w:p>
            <w:pPr>
              <w:spacing w:after="20"/>
            </w:pPr>
            <w:r>
              <w:rPr>
                <w:color w:val="1C3A36"/>
                <w:sz w:val="14"/>
              </w:rPr>
              <w:t>Country</w:t>
            </w:r>
          </w:p>
        </w:tc>
        <w:tc>
          <w:tcPr>
            <w:tcW w:type="dxa" w:w="7085"/>
          </w:tcPr>
          <w:p>
            <w:pPr>
              <w:spacing w:after="20"/>
            </w:pPr>
            <w:r>
              <w:rPr>
                <w:color w:val="1C3A36"/>
                <w:sz w:val="14"/>
              </w:rPr>
              <w:t>Egypt statutory corporate income tax</w:t>
            </w:r>
          </w:p>
        </w:tc>
        <w:tc>
          <w:tcPr>
            <w:tcW w:type="dxa" w:w="1210"/>
          </w:tcPr>
          <w:p>
            <w:pPr>
              <w:spacing w:after="20"/>
            </w:pPr>
            <w:r>
              <w:rPr>
                <w:color w:val="1C3A36"/>
                <w:sz w:val="14"/>
              </w:rPr>
              <w:t>2026</w:t>
            </w:r>
          </w:p>
        </w:tc>
      </w:tr>
      <w:tr>
        <w:tc>
          <w:tcPr>
            <w:tcW w:type="dxa" w:w="518"/>
          </w:tcPr>
          <w:p>
            <w:pPr>
              <w:spacing w:after="20"/>
            </w:pPr>
            <w:r>
              <w:rPr>
                <w:color w:val="1C3A36"/>
                <w:sz w:val="14"/>
              </w:rPr>
              <w:t>74</w:t>
            </w:r>
          </w:p>
        </w:tc>
        <w:tc>
          <w:tcPr>
            <w:tcW w:type="dxa" w:w="2448"/>
          </w:tcPr>
          <w:p>
            <w:pPr>
              <w:spacing w:after="20"/>
            </w:pPr>
            <w:r>
              <w:rPr>
                <w:color w:val="1C3A36"/>
                <w:sz w:val="14"/>
              </w:rPr>
              <w:t>beta</w:t>
            </w:r>
          </w:p>
        </w:tc>
        <w:tc>
          <w:tcPr>
            <w:tcW w:type="dxa" w:w="1325"/>
          </w:tcPr>
          <w:p>
            <w:pPr>
              <w:spacing w:after="20"/>
            </w:pPr>
            <w:r>
              <w:rPr>
                <w:color w:val="1C3A36"/>
                <w:sz w:val="14"/>
              </w:rPr>
              <w:t>1</w:t>
            </w:r>
          </w:p>
        </w:tc>
        <w:tc>
          <w:tcPr>
            <w:tcW w:type="dxa" w:w="1066"/>
          </w:tcPr>
          <w:p>
            <w:pPr>
              <w:spacing w:after="20"/>
            </w:pPr>
            <w:r>
              <w:rPr>
                <w:color w:val="1C3A36"/>
                <w:sz w:val="14"/>
              </w:rPr>
              <w:t>House</w:t>
            </w:r>
          </w:p>
        </w:tc>
        <w:tc>
          <w:tcPr>
            <w:tcW w:type="dxa" w:w="7085"/>
          </w:tcPr>
          <w:p>
            <w:pPr>
              <w:spacing w:after="20"/>
            </w:pPr>
            <w:r>
              <w:rPr>
                <w:color w:val="1C3A36"/>
                <w:sz w:val="14"/>
              </w:rPr>
              <w:t>ADOPTED AT TIER 3. The own-stock regression against raw_indices/EG/EGX30.csv as at 2026-09-08 -- the published index of the exchange this stock is listed on, resolved by beta_regression.own_stock_beta -- gives 0.5910 with an R-squared of 0.024 over 255 weekly observations, and FAILS the usability gate: the index barely explains this stock's returns. TIER 1 UNAVAILABLE: R^2=0.024 &lt; minimum 0.05 — index barely explains the stock's returns. Tier 2 is a same-country peer beta, and the only other Egyptian cement issuer this repository holds a price library for is ARCC, whose own conforming regression fails the SAME gate (R-squared 0.047) — a peer beta built on an unusable regression is the same unusable number wearing another company's name, so tier 2 cannot be assembled from what is held rather than being skipped. TIER 3 is taken: beta = 1.00, which the conforming regression's own 90% interval [0.134, 1.048] contains. The point estimate of 0.5910 is published beside it and is NOT used. The point estimate is published beside the adopted figure and is not used, and the price of adopting 1.00 rather than the point estimate is computed in the beta sensitivity rather than asserted here. SUPERSEDED: the previous edition justified the same fallback on a 32-name equal-weight COMPOSITE of the covered library (R-squared 0.038) -- the right conclusion reached on a regression against something that is not a market.</w:t>
            </w:r>
          </w:p>
        </w:tc>
        <w:tc>
          <w:tcPr>
            <w:tcW w:type="dxa" w:w="1210"/>
          </w:tcPr>
          <w:p>
            <w:pPr>
              <w:spacing w:after="20"/>
            </w:pPr>
            <w:r>
              <w:rPr>
                <w:color w:val="1C3A36"/>
                <w:sz w:val="14"/>
              </w:rPr>
              <w:t>2026-09-08</w:t>
            </w:r>
          </w:p>
        </w:tc>
      </w:tr>
      <w:tr>
        <w:tc>
          <w:tcPr>
            <w:tcW w:type="dxa" w:w="518"/>
          </w:tcPr>
          <w:p>
            <w:pPr>
              <w:spacing w:after="20"/>
            </w:pPr>
            <w:r>
              <w:rPr>
                <w:color w:val="1C3A36"/>
                <w:sz w:val="14"/>
              </w:rPr>
              <w:t>75</w:t>
            </w:r>
          </w:p>
        </w:tc>
        <w:tc>
          <w:tcPr>
            <w:tcW w:type="dxa" w:w="2448"/>
          </w:tcPr>
          <w:p>
            <w:pPr>
              <w:spacing w:after="20"/>
            </w:pPr>
            <w:r>
              <w:rPr>
                <w:color w:val="1C3A36"/>
                <w:sz w:val="14"/>
              </w:rPr>
              <w:t>capex_pct</w:t>
            </w:r>
          </w:p>
        </w:tc>
        <w:tc>
          <w:tcPr>
            <w:tcW w:type="dxa" w:w="1325"/>
          </w:tcPr>
          <w:p>
            <w:pPr>
              <w:spacing w:after="20"/>
            </w:pPr>
            <w:r>
              <w:rPr>
                <w:color w:val="1C3A36"/>
                <w:sz w:val="14"/>
              </w:rPr>
              <w:t>0.05, 0.048, 0.047, 0.046, 0.045</w:t>
            </w:r>
          </w:p>
        </w:tc>
        <w:tc>
          <w:tcPr>
            <w:tcW w:type="dxa" w:w="1066"/>
          </w:tcPr>
          <w:p>
            <w:pPr>
              <w:spacing w:after="20"/>
            </w:pPr>
            <w:r>
              <w:rPr>
                <w:color w:val="1C3A36"/>
                <w:sz w:val="14"/>
              </w:rPr>
              <w:t>House</w:t>
            </w:r>
          </w:p>
        </w:tc>
        <w:tc>
          <w:tcPr>
            <w:tcW w:type="dxa" w:w="7085"/>
          </w:tcPr>
          <w:p>
            <w:pPr>
              <w:spacing w:after="20"/>
            </w:pPr>
            <w:r>
              <w:rPr>
                <w:color w:val="1C3A36"/>
                <w:sz w:val="14"/>
              </w:rPr>
              <w:t>Capex as a share of revenue. No capital-expenditure disclosure is obtainable</w:t>
            </w:r>
          </w:p>
        </w:tc>
        <w:tc>
          <w:tcPr>
            <w:tcW w:type="dxa" w:w="1210"/>
          </w:tcPr>
          <w:p>
            <w:pPr>
              <w:spacing w:after="20"/>
            </w:pPr>
            <w:r>
              <w:rPr>
                <w:color w:val="1C3A36"/>
                <w:sz w:val="14"/>
              </w:rPr>
              <w:t>2026-08-06</w:t>
            </w:r>
          </w:p>
        </w:tc>
      </w:tr>
      <w:tr>
        <w:tc>
          <w:tcPr>
            <w:tcW w:type="dxa" w:w="518"/>
          </w:tcPr>
          <w:p>
            <w:pPr>
              <w:spacing w:after="20"/>
            </w:pPr>
            <w:r>
              <w:rPr>
                <w:color w:val="1C3A36"/>
                <w:sz w:val="14"/>
              </w:rPr>
              <w:t>76</w:t>
            </w:r>
          </w:p>
        </w:tc>
        <w:tc>
          <w:tcPr>
            <w:tcW w:type="dxa" w:w="2448"/>
          </w:tcPr>
          <w:p>
            <w:pPr>
              <w:spacing w:after="20"/>
            </w:pPr>
            <w:r>
              <w:rPr>
                <w:color w:val="1C3A36"/>
                <w:sz w:val="14"/>
              </w:rPr>
              <w:t>cash_growth_fy25</w:t>
            </w:r>
          </w:p>
        </w:tc>
        <w:tc>
          <w:tcPr>
            <w:tcW w:type="dxa" w:w="1325"/>
          </w:tcPr>
          <w:p>
            <w:pPr>
              <w:spacing w:after="20"/>
            </w:pPr>
            <w:r>
              <w:rPr>
                <w:color w:val="1C3A36"/>
                <w:sz w:val="14"/>
              </w:rPr>
              <w:t>1</w:t>
            </w:r>
          </w:p>
        </w:tc>
        <w:tc>
          <w:tcPr>
            <w:tcW w:type="dxa" w:w="1066"/>
          </w:tcPr>
          <w:p>
            <w:pPr>
              <w:spacing w:after="20"/>
            </w:pPr>
            <w:r>
              <w:rPr>
                <w:color w:val="1C3A36"/>
                <w:sz w:val="14"/>
              </w:rPr>
              <w:t>House</w:t>
            </w:r>
          </w:p>
        </w:tc>
        <w:tc>
          <w:tcPr>
            <w:tcW w:type="dxa" w:w="7085"/>
          </w:tcPr>
          <w:p>
            <w:pPr>
              <w:spacing w:after="20"/>
            </w:pPr>
            <w:r>
              <w:rPr>
                <w:color w:val="1C3A36"/>
                <w:sz w:val="14"/>
              </w:rPr>
              <w:t>RETIRED in revision 2 — cash is now the reported balance, not a rolled derivation. Kept at 1.0 so nothing scales it</w:t>
            </w:r>
          </w:p>
        </w:tc>
        <w:tc>
          <w:tcPr>
            <w:tcW w:type="dxa" w:w="1210"/>
          </w:tcPr>
          <w:p>
            <w:pPr>
              <w:spacing w:after="20"/>
            </w:pPr>
            <w:r>
              <w:rPr>
                <w:color w:val="1C3A36"/>
                <w:sz w:val="14"/>
              </w:rPr>
              <w:t>2026-08-06</w:t>
            </w:r>
          </w:p>
        </w:tc>
      </w:tr>
      <w:tr>
        <w:tc>
          <w:tcPr>
            <w:tcW w:type="dxa" w:w="518"/>
          </w:tcPr>
          <w:p>
            <w:pPr>
              <w:spacing w:after="20"/>
            </w:pPr>
            <w:r>
              <w:rPr>
                <w:color w:val="1C3A36"/>
                <w:sz w:val="14"/>
              </w:rPr>
              <w:t>77</w:t>
            </w:r>
          </w:p>
        </w:tc>
        <w:tc>
          <w:tcPr>
            <w:tcW w:type="dxa" w:w="2448"/>
          </w:tcPr>
          <w:p>
            <w:pPr>
              <w:spacing w:after="20"/>
            </w:pPr>
            <w:r>
              <w:rPr>
                <w:color w:val="1C3A36"/>
                <w:sz w:val="14"/>
              </w:rPr>
              <w:t>cash_yield</w:t>
            </w:r>
          </w:p>
        </w:tc>
        <w:tc>
          <w:tcPr>
            <w:tcW w:type="dxa" w:w="1325"/>
          </w:tcPr>
          <w:p>
            <w:pPr>
              <w:spacing w:after="20"/>
            </w:pPr>
            <w:r>
              <w:rPr>
                <w:color w:val="1C3A36"/>
                <w:sz w:val="14"/>
              </w:rPr>
              <w:t>0.19, 0.17, 0.15, 0.135, 0.125</w:t>
            </w:r>
          </w:p>
        </w:tc>
        <w:tc>
          <w:tcPr>
            <w:tcW w:type="dxa" w:w="1066"/>
          </w:tcPr>
          <w:p>
            <w:pPr>
              <w:spacing w:after="20"/>
            </w:pPr>
            <w:r>
              <w:rPr>
                <w:color w:val="1C3A36"/>
                <w:sz w:val="14"/>
              </w:rPr>
              <w:t>House</w:t>
            </w:r>
          </w:p>
        </w:tc>
        <w:tc>
          <w:tcPr>
            <w:tcW w:type="dxa" w:w="7085"/>
          </w:tcPr>
          <w:p>
            <w:pPr>
              <w:spacing w:after="20"/>
            </w:pPr>
            <w:r>
              <w:rPr>
                <w:color w:val="1C3A36"/>
                <w:sz w:val="14"/>
              </w:rPr>
              <w:t>Yield earned on cash</w:t>
            </w:r>
          </w:p>
        </w:tc>
        <w:tc>
          <w:tcPr>
            <w:tcW w:type="dxa" w:w="1210"/>
          </w:tcPr>
          <w:p>
            <w:pPr>
              <w:spacing w:after="20"/>
            </w:pPr>
            <w:r>
              <w:rPr>
                <w:color w:val="1C3A36"/>
                <w:sz w:val="14"/>
              </w:rPr>
              <w:t>2026-08-06</w:t>
            </w:r>
          </w:p>
        </w:tc>
      </w:tr>
      <w:tr>
        <w:tc>
          <w:tcPr>
            <w:tcW w:type="dxa" w:w="518"/>
          </w:tcPr>
          <w:p>
            <w:pPr>
              <w:spacing w:after="20"/>
            </w:pPr>
            <w:r>
              <w:rPr>
                <w:color w:val="1C3A36"/>
                <w:sz w:val="14"/>
              </w:rPr>
              <w:t>78</w:t>
            </w:r>
          </w:p>
        </w:tc>
        <w:tc>
          <w:tcPr>
            <w:tcW w:type="dxa" w:w="2448"/>
          </w:tcPr>
          <w:p>
            <w:pPr>
              <w:spacing w:after="20"/>
            </w:pPr>
            <w:r>
              <w:rPr>
                <w:color w:val="1C3A36"/>
                <w:sz w:val="14"/>
              </w:rPr>
              <w:t>cash_yield_fy25</w:t>
            </w:r>
          </w:p>
        </w:tc>
        <w:tc>
          <w:tcPr>
            <w:tcW w:type="dxa" w:w="1325"/>
          </w:tcPr>
          <w:p>
            <w:pPr>
              <w:spacing w:after="20"/>
            </w:pPr>
            <w:r>
              <w:rPr>
                <w:color w:val="1C3A36"/>
                <w:sz w:val="14"/>
              </w:rPr>
              <w:t>0.21</w:t>
            </w:r>
          </w:p>
        </w:tc>
        <w:tc>
          <w:tcPr>
            <w:tcW w:type="dxa" w:w="1066"/>
          </w:tcPr>
          <w:p>
            <w:pPr>
              <w:spacing w:after="20"/>
            </w:pPr>
            <w:r>
              <w:rPr>
                <w:color w:val="1C3A36"/>
                <w:sz w:val="14"/>
              </w:rPr>
              <w:t>House</w:t>
            </w:r>
          </w:p>
        </w:tc>
        <w:tc>
          <w:tcPr>
            <w:tcW w:type="dxa" w:w="7085"/>
          </w:tcPr>
          <w:p>
            <w:pPr>
              <w:spacing w:after="20"/>
            </w:pPr>
            <w:r>
              <w:rPr>
                <w:color w:val="1C3A36"/>
                <w:sz w:val="14"/>
              </w:rPr>
              <w:t>Yield earned on cash through FY2025</w:t>
            </w:r>
          </w:p>
        </w:tc>
        <w:tc>
          <w:tcPr>
            <w:tcW w:type="dxa" w:w="1210"/>
          </w:tcPr>
          <w:p>
            <w:pPr>
              <w:spacing w:after="20"/>
            </w:pPr>
            <w:r>
              <w:rPr>
                <w:color w:val="1C3A36"/>
                <w:sz w:val="14"/>
              </w:rPr>
              <w:t>2026-08-06</w:t>
            </w:r>
          </w:p>
        </w:tc>
      </w:tr>
      <w:tr>
        <w:tc>
          <w:tcPr>
            <w:tcW w:type="dxa" w:w="518"/>
          </w:tcPr>
          <w:p>
            <w:pPr>
              <w:spacing w:after="20"/>
            </w:pPr>
            <w:r>
              <w:rPr>
                <w:color w:val="1C3A36"/>
                <w:sz w:val="14"/>
              </w:rPr>
              <w:t>79</w:t>
            </w:r>
          </w:p>
        </w:tc>
        <w:tc>
          <w:tcPr>
            <w:tcW w:type="dxa" w:w="2448"/>
          </w:tcPr>
          <w:p>
            <w:pPr>
              <w:spacing w:after="20"/>
            </w:pPr>
            <w:r>
              <w:rPr>
                <w:color w:val="1C3A36"/>
                <w:sz w:val="14"/>
              </w:rPr>
              <w:t>distribution_egp_t</w:t>
            </w:r>
          </w:p>
        </w:tc>
        <w:tc>
          <w:tcPr>
            <w:tcW w:type="dxa" w:w="1325"/>
          </w:tcPr>
          <w:p>
            <w:pPr>
              <w:spacing w:after="20"/>
            </w:pPr>
            <w:r>
              <w:rPr>
                <w:color w:val="1C3A36"/>
                <w:sz w:val="14"/>
              </w:rPr>
              <w:t>250</w:t>
            </w:r>
          </w:p>
        </w:tc>
        <w:tc>
          <w:tcPr>
            <w:tcW w:type="dxa" w:w="1066"/>
          </w:tcPr>
          <w:p>
            <w:pPr>
              <w:spacing w:after="20"/>
            </w:pPr>
            <w:r>
              <w:rPr>
                <w:color w:val="1C3A36"/>
                <w:sz w:val="14"/>
              </w:rPr>
              <w:t>House</w:t>
            </w:r>
          </w:p>
        </w:tc>
        <w:tc>
          <w:tcPr>
            <w:tcW w:type="dxa" w:w="7085"/>
          </w:tcPr>
          <w:p>
            <w:pPr>
              <w:spacing w:after="20"/>
            </w:pPr>
            <w:r>
              <w:rPr>
                <w:color w:val="1C3A36"/>
                <w:sz w:val="14"/>
              </w:rPr>
              <w:t>Outbound freight and selling per tonne, set above a typical Egyptian plant because El Hassana is distant from the Cairo and Delta demand centres</w:t>
            </w:r>
          </w:p>
        </w:tc>
        <w:tc>
          <w:tcPr>
            <w:tcW w:type="dxa" w:w="1210"/>
          </w:tcPr>
          <w:p>
            <w:pPr>
              <w:spacing w:after="20"/>
            </w:pPr>
            <w:r>
              <w:rPr>
                <w:color w:val="1C3A36"/>
                <w:sz w:val="14"/>
              </w:rPr>
              <w:t>2026-08-06</w:t>
            </w:r>
          </w:p>
        </w:tc>
      </w:tr>
      <w:tr>
        <w:tc>
          <w:tcPr>
            <w:tcW w:type="dxa" w:w="518"/>
          </w:tcPr>
          <w:p>
            <w:pPr>
              <w:spacing w:after="20"/>
            </w:pPr>
            <w:r>
              <w:rPr>
                <w:color w:val="1C3A36"/>
                <w:sz w:val="14"/>
              </w:rPr>
              <w:t>80</w:t>
            </w:r>
          </w:p>
        </w:tc>
        <w:tc>
          <w:tcPr>
            <w:tcW w:type="dxa" w:w="2448"/>
          </w:tcPr>
          <w:p>
            <w:pPr>
              <w:spacing w:after="20"/>
            </w:pPr>
            <w:r>
              <w:rPr>
                <w:color w:val="1C3A36"/>
                <w:sz w:val="14"/>
              </w:rPr>
              <w:t>dna_pct</w:t>
            </w:r>
          </w:p>
        </w:tc>
        <w:tc>
          <w:tcPr>
            <w:tcW w:type="dxa" w:w="1325"/>
          </w:tcPr>
          <w:p>
            <w:pPr>
              <w:spacing w:after="20"/>
            </w:pPr>
            <w:r>
              <w:rPr>
                <w:color w:val="1C3A36"/>
                <w:sz w:val="14"/>
              </w:rPr>
              <w:t>0.046, 0.045, 0.044, 0.043, 0.042</w:t>
            </w:r>
          </w:p>
        </w:tc>
        <w:tc>
          <w:tcPr>
            <w:tcW w:type="dxa" w:w="1066"/>
          </w:tcPr>
          <w:p>
            <w:pPr>
              <w:spacing w:after="20"/>
            </w:pPr>
            <w:r>
              <w:rPr>
                <w:color w:val="1C3A36"/>
                <w:sz w:val="14"/>
              </w:rPr>
              <w:t>House</w:t>
            </w:r>
          </w:p>
        </w:tc>
        <w:tc>
          <w:tcPr>
            <w:tcW w:type="dxa" w:w="7085"/>
          </w:tcPr>
          <w:p>
            <w:pPr>
              <w:spacing w:after="20"/>
            </w:pPr>
            <w:r>
              <w:rPr>
                <w:color w:val="1C3A36"/>
                <w:sz w:val="14"/>
              </w:rPr>
              <w:t>D&amp;A as a share of revenue</w:t>
            </w:r>
          </w:p>
        </w:tc>
        <w:tc>
          <w:tcPr>
            <w:tcW w:type="dxa" w:w="1210"/>
          </w:tcPr>
          <w:p>
            <w:pPr>
              <w:spacing w:after="20"/>
            </w:pPr>
            <w:r>
              <w:rPr>
                <w:color w:val="1C3A36"/>
                <w:sz w:val="14"/>
              </w:rPr>
              <w:t>2026-08-06</w:t>
            </w:r>
          </w:p>
        </w:tc>
      </w:tr>
      <w:tr>
        <w:tc>
          <w:tcPr>
            <w:tcW w:type="dxa" w:w="518"/>
          </w:tcPr>
          <w:p>
            <w:pPr>
              <w:spacing w:after="20"/>
            </w:pPr>
            <w:r>
              <w:rPr>
                <w:color w:val="1C3A36"/>
                <w:sz w:val="14"/>
              </w:rPr>
              <w:t>81</w:t>
            </w:r>
          </w:p>
        </w:tc>
        <w:tc>
          <w:tcPr>
            <w:tcW w:type="dxa" w:w="2448"/>
          </w:tcPr>
          <w:p>
            <w:pPr>
              <w:spacing w:after="20"/>
            </w:pPr>
            <w:r>
              <w:rPr>
                <w:color w:val="1C3A36"/>
                <w:sz w:val="14"/>
              </w:rPr>
              <w:t>erp_term</w:t>
            </w:r>
          </w:p>
        </w:tc>
        <w:tc>
          <w:tcPr>
            <w:tcW w:type="dxa" w:w="1325"/>
          </w:tcPr>
          <w:p>
            <w:pPr>
              <w:spacing w:after="20"/>
            </w:pPr>
            <w:r>
              <w:rPr>
                <w:color w:val="1C3A36"/>
                <w:sz w:val="14"/>
              </w:rPr>
              <w:t>0.07</w:t>
            </w:r>
          </w:p>
        </w:tc>
        <w:tc>
          <w:tcPr>
            <w:tcW w:type="dxa" w:w="1066"/>
          </w:tcPr>
          <w:p>
            <w:pPr>
              <w:spacing w:after="20"/>
            </w:pPr>
            <w:r>
              <w:rPr>
                <w:color w:val="1C3A36"/>
                <w:sz w:val="14"/>
              </w:rPr>
              <w:t>House</w:t>
            </w:r>
          </w:p>
        </w:tc>
        <w:tc>
          <w:tcPr>
            <w:tcW w:type="dxa" w:w="7085"/>
          </w:tcPr>
          <w:p>
            <w:pPr>
              <w:spacing w:after="20"/>
            </w:pPr>
            <w:r>
              <w:rPr>
                <w:color w:val="1C3A36"/>
                <w:sz w:val="14"/>
              </w:rPr>
              <w:t>Terminal equity risk premium, normalised below the crisis level</w:t>
            </w:r>
          </w:p>
        </w:tc>
        <w:tc>
          <w:tcPr>
            <w:tcW w:type="dxa" w:w="1210"/>
          </w:tcPr>
          <w:p>
            <w:pPr>
              <w:spacing w:after="20"/>
            </w:pPr>
            <w:r>
              <w:rPr>
                <w:color w:val="1C3A36"/>
                <w:sz w:val="14"/>
              </w:rPr>
              <w:t>2026-08-06</w:t>
            </w:r>
          </w:p>
        </w:tc>
      </w:tr>
      <w:tr>
        <w:tc>
          <w:tcPr>
            <w:tcW w:type="dxa" w:w="518"/>
          </w:tcPr>
          <w:p>
            <w:pPr>
              <w:spacing w:after="20"/>
            </w:pPr>
            <w:r>
              <w:rPr>
                <w:color w:val="1C3A36"/>
                <w:sz w:val="14"/>
              </w:rPr>
              <w:t>82</w:t>
            </w:r>
          </w:p>
        </w:tc>
        <w:tc>
          <w:tcPr>
            <w:tcW w:type="dxa" w:w="2448"/>
          </w:tcPr>
          <w:p>
            <w:pPr>
              <w:spacing w:after="20"/>
            </w:pPr>
            <w:r>
              <w:rPr>
                <w:color w:val="1C3A36"/>
                <w:sz w:val="14"/>
              </w:rPr>
              <w:t>ev_ebitda_just</w:t>
            </w:r>
          </w:p>
        </w:tc>
        <w:tc>
          <w:tcPr>
            <w:tcW w:type="dxa" w:w="1325"/>
          </w:tcPr>
          <w:p>
            <w:pPr>
              <w:spacing w:after="20"/>
            </w:pPr>
            <w:r>
              <w:rPr>
                <w:color w:val="1C3A36"/>
                <w:sz w:val="14"/>
              </w:rPr>
              <w:t>4.2</w:t>
            </w:r>
          </w:p>
        </w:tc>
        <w:tc>
          <w:tcPr>
            <w:tcW w:type="dxa" w:w="1066"/>
          </w:tcPr>
          <w:p>
            <w:pPr>
              <w:spacing w:after="20"/>
            </w:pPr>
            <w:r>
              <w:rPr>
                <w:color w:val="1C3A36"/>
                <w:sz w:val="14"/>
              </w:rPr>
              <w:t>House</w:t>
            </w:r>
          </w:p>
        </w:tc>
        <w:tc>
          <w:tcPr>
            <w:tcW w:type="dxa" w:w="7085"/>
          </w:tcPr>
          <w:p>
            <w:pPr>
              <w:spacing w:after="20"/>
            </w:pPr>
            <w:r>
              <w:rPr>
                <w:color w:val="1C3A36"/>
                <w:sz w:val="14"/>
              </w:rPr>
              <w:t>Justified EV/EBITDA. Revision 1 used 5.0x anchored on a peer quoted at 5.03x. That anchor does not reproduce: the peer's own market capitalisation over profit gives 3.48x, not the 6.44x printed beside it, and the implied EBITDA margin would be 68% for a cement company. 4.2x is struck between the reproducible peer earnings multiple and the asserted EBITDA multiple, and is disclosed as weakly anchored</w:t>
            </w:r>
          </w:p>
        </w:tc>
        <w:tc>
          <w:tcPr>
            <w:tcW w:type="dxa" w:w="1210"/>
          </w:tcPr>
          <w:p>
            <w:pPr>
              <w:spacing w:after="20"/>
            </w:pPr>
            <w:r>
              <w:rPr>
                <w:color w:val="1C3A36"/>
                <w:sz w:val="14"/>
              </w:rPr>
              <w:t>2026-08-06</w:t>
            </w:r>
          </w:p>
        </w:tc>
      </w:tr>
      <w:tr>
        <w:tc>
          <w:tcPr>
            <w:tcW w:type="dxa" w:w="518"/>
          </w:tcPr>
          <w:p>
            <w:pPr>
              <w:spacing w:after="20"/>
            </w:pPr>
            <w:r>
              <w:rPr>
                <w:color w:val="1C3A36"/>
                <w:sz w:val="14"/>
              </w:rPr>
              <w:t>83</w:t>
            </w:r>
          </w:p>
        </w:tc>
        <w:tc>
          <w:tcPr>
            <w:tcW w:type="dxa" w:w="2448"/>
          </w:tcPr>
          <w:p>
            <w:pPr>
              <w:spacing w:after="20"/>
            </w:pPr>
            <w:r>
              <w:rPr>
                <w:color w:val="1C3A36"/>
                <w:sz w:val="14"/>
              </w:rPr>
              <w:t>ev_t_just</w:t>
            </w:r>
          </w:p>
        </w:tc>
        <w:tc>
          <w:tcPr>
            <w:tcW w:type="dxa" w:w="1325"/>
          </w:tcPr>
          <w:p>
            <w:pPr>
              <w:spacing w:after="20"/>
            </w:pPr>
            <w:r>
              <w:rPr>
                <w:color w:val="1C3A36"/>
                <w:sz w:val="14"/>
              </w:rPr>
              <w:t>95</w:t>
            </w:r>
          </w:p>
        </w:tc>
        <w:tc>
          <w:tcPr>
            <w:tcW w:type="dxa" w:w="1066"/>
          </w:tcPr>
          <w:p>
            <w:pPr>
              <w:spacing w:after="20"/>
            </w:pPr>
            <w:r>
              <w:rPr>
                <w:color w:val="1C3A36"/>
                <w:sz w:val="14"/>
              </w:rPr>
              <w:t>House</w:t>
            </w:r>
          </w:p>
        </w:tc>
        <w:tc>
          <w:tcPr>
            <w:tcW w:type="dxa" w:w="7085"/>
          </w:tcPr>
          <w:p>
            <w:pPr>
              <w:spacing w:after="20"/>
            </w:pPr>
            <w:r>
              <w:rPr>
                <w:color w:val="1C3A36"/>
                <w:sz w:val="14"/>
              </w:rPr>
              <w:t>Justified enterprise value per annual tonne of cement capacity</w:t>
            </w:r>
          </w:p>
        </w:tc>
        <w:tc>
          <w:tcPr>
            <w:tcW w:type="dxa" w:w="1210"/>
          </w:tcPr>
          <w:p>
            <w:pPr>
              <w:spacing w:after="20"/>
            </w:pPr>
            <w:r>
              <w:rPr>
                <w:color w:val="1C3A36"/>
                <w:sz w:val="14"/>
              </w:rPr>
              <w:t>2026-08-06</w:t>
            </w:r>
          </w:p>
        </w:tc>
      </w:tr>
      <w:tr>
        <w:tc>
          <w:tcPr>
            <w:tcW w:type="dxa" w:w="518"/>
          </w:tcPr>
          <w:p>
            <w:pPr>
              <w:spacing w:after="20"/>
            </w:pPr>
            <w:r>
              <w:rPr>
                <w:color w:val="1C3A36"/>
                <w:sz w:val="14"/>
              </w:rPr>
              <w:t>84</w:t>
            </w:r>
          </w:p>
        </w:tc>
        <w:tc>
          <w:tcPr>
            <w:tcW w:type="dxa" w:w="2448"/>
          </w:tcPr>
          <w:p>
            <w:pPr>
              <w:spacing w:after="20"/>
            </w:pPr>
            <w:r>
              <w:rPr>
                <w:color w:val="1C3A36"/>
                <w:sz w:val="14"/>
              </w:rPr>
              <w:t>fixed_usd_t_capacity</w:t>
            </w:r>
          </w:p>
        </w:tc>
        <w:tc>
          <w:tcPr>
            <w:tcW w:type="dxa" w:w="1325"/>
          </w:tcPr>
          <w:p>
            <w:pPr>
              <w:spacing w:after="20"/>
            </w:pPr>
            <w:r>
              <w:rPr>
                <w:color w:val="1C3A36"/>
                <w:sz w:val="14"/>
              </w:rPr>
              <w:t>14.6</w:t>
            </w:r>
          </w:p>
        </w:tc>
        <w:tc>
          <w:tcPr>
            <w:tcW w:type="dxa" w:w="1066"/>
          </w:tcPr>
          <w:p>
            <w:pPr>
              <w:spacing w:after="20"/>
            </w:pPr>
            <w:r>
              <w:rPr>
                <w:color w:val="1C3A36"/>
                <w:sz w:val="14"/>
              </w:rPr>
              <w:t>House</w:t>
            </w:r>
          </w:p>
        </w:tc>
        <w:tc>
          <w:tcPr>
            <w:tcW w:type="dxa" w:w="7085"/>
          </w:tcPr>
          <w:p>
            <w:pPr>
              <w:spacing w:after="20"/>
            </w:pPr>
            <w:r>
              <w:rPr>
                <w:color w:val="1C3A36"/>
                <w:sz w:val="14"/>
              </w:rPr>
              <w:t>Fixed cash cost per tonne of INSTALLED capacity so it does not vanish when volume falls. Industry band USD 10-20/t. 14.60 is the level the FY2025 reconciliation implies against an independently built variable stack — reported, not solved away</w:t>
            </w:r>
          </w:p>
        </w:tc>
        <w:tc>
          <w:tcPr>
            <w:tcW w:type="dxa" w:w="1210"/>
          </w:tcPr>
          <w:p>
            <w:pPr>
              <w:spacing w:after="20"/>
            </w:pPr>
            <w:r>
              <w:rPr>
                <w:color w:val="1C3A36"/>
                <w:sz w:val="14"/>
              </w:rPr>
              <w:t>2026-08-06</w:t>
            </w:r>
          </w:p>
        </w:tc>
      </w:tr>
      <w:tr>
        <w:tc>
          <w:tcPr>
            <w:tcW w:type="dxa" w:w="518"/>
          </w:tcPr>
          <w:p>
            <w:pPr>
              <w:spacing w:after="20"/>
            </w:pPr>
            <w:r>
              <w:rPr>
                <w:color w:val="1C3A36"/>
                <w:sz w:val="14"/>
              </w:rPr>
              <w:t>85</w:t>
            </w:r>
          </w:p>
        </w:tc>
        <w:tc>
          <w:tcPr>
            <w:tcW w:type="dxa" w:w="2448"/>
          </w:tcPr>
          <w:p>
            <w:pPr>
              <w:spacing w:after="20"/>
            </w:pPr>
            <w:r>
              <w:rPr>
                <w:color w:val="1C3A36"/>
                <w:sz w:val="14"/>
              </w:rPr>
              <w:t>kd</w:t>
            </w:r>
          </w:p>
        </w:tc>
        <w:tc>
          <w:tcPr>
            <w:tcW w:type="dxa" w:w="1325"/>
          </w:tcPr>
          <w:p>
            <w:pPr>
              <w:spacing w:after="20"/>
            </w:pPr>
            <w:r>
              <w:rPr>
                <w:color w:val="1C3A36"/>
                <w:sz w:val="14"/>
              </w:rPr>
              <w:t>0.25</w:t>
            </w:r>
          </w:p>
        </w:tc>
        <w:tc>
          <w:tcPr>
            <w:tcW w:type="dxa" w:w="1066"/>
          </w:tcPr>
          <w:p>
            <w:pPr>
              <w:spacing w:after="20"/>
            </w:pPr>
            <w:r>
              <w:rPr>
                <w:color w:val="1C3A36"/>
                <w:sz w:val="14"/>
              </w:rPr>
              <w:t>House</w:t>
            </w:r>
          </w:p>
        </w:tc>
        <w:tc>
          <w:tcPr>
            <w:tcW w:type="dxa" w:w="7085"/>
          </w:tcPr>
          <w:p>
            <w:pPr>
              <w:spacing w:after="20"/>
            </w:pPr>
            <w:r>
              <w:rPr>
                <w:color w:val="1C3A36"/>
                <w:sz w:val="14"/>
              </w:rPr>
              <w:t>PLACEHOLDER — replaced below by the sovereign-plus-spread construction, because a marginal cost of debt is not a free-standing input once the sovereign it must sit above comes from the house path</w:t>
            </w:r>
          </w:p>
        </w:tc>
        <w:tc>
          <w:tcPr>
            <w:tcW w:type="dxa" w:w="1210"/>
          </w:tcPr>
          <w:p>
            <w:pPr>
              <w:spacing w:after="20"/>
            </w:pPr>
            <w:r>
              <w:rPr>
                <w:color w:val="1C3A36"/>
                <w:sz w:val="14"/>
              </w:rPr>
              <w:t>2026-09-04</w:t>
            </w:r>
          </w:p>
        </w:tc>
      </w:tr>
      <w:tr>
        <w:tc>
          <w:tcPr>
            <w:tcW w:type="dxa" w:w="518"/>
          </w:tcPr>
          <w:p>
            <w:pPr>
              <w:spacing w:after="20"/>
            </w:pPr>
            <w:r>
              <w:rPr>
                <w:color w:val="1C3A36"/>
                <w:sz w:val="14"/>
              </w:rPr>
              <w:t>86</w:t>
            </w:r>
          </w:p>
        </w:tc>
        <w:tc>
          <w:tcPr>
            <w:tcW w:type="dxa" w:w="2448"/>
          </w:tcPr>
          <w:p>
            <w:pPr>
              <w:spacing w:after="20"/>
            </w:pPr>
            <w:r>
              <w:rPr>
                <w:color w:val="1C3A36"/>
                <w:sz w:val="14"/>
              </w:rPr>
              <w:t>kd_path</w:t>
            </w:r>
          </w:p>
        </w:tc>
        <w:tc>
          <w:tcPr>
            <w:tcW w:type="dxa" w:w="1325"/>
          </w:tcPr>
          <w:p>
            <w:pPr>
              <w:spacing w:after="20"/>
            </w:pPr>
            <w:r>
              <w:rPr>
                <w:color w:val="1C3A36"/>
                <w:sz w:val="14"/>
              </w:rPr>
              <w:t>0.25, 0.2143, 0.1857, 0.1643, 0.15</w:t>
            </w:r>
          </w:p>
        </w:tc>
        <w:tc>
          <w:tcPr>
            <w:tcW w:type="dxa" w:w="1066"/>
          </w:tcPr>
          <w:p>
            <w:pPr>
              <w:spacing w:after="20"/>
            </w:pPr>
            <w:r>
              <w:rPr>
                <w:color w:val="1C3A36"/>
                <w:sz w:val="14"/>
              </w:rPr>
              <w:t>House</w:t>
            </w:r>
          </w:p>
        </w:tc>
        <w:tc>
          <w:tcPr>
            <w:tcW w:type="dxa" w:w="7085"/>
          </w:tcPr>
          <w:p>
            <w:pPr>
              <w:spacing w:after="20"/>
            </w:pPr>
            <w:r>
              <w:rPr>
                <w:color w:val="1C3A36"/>
                <w:sz w:val="14"/>
              </w:rPr>
              <w:t>Cost-of-debt path; the WACC glide inherits its SHAPE from this</w:t>
            </w:r>
          </w:p>
        </w:tc>
        <w:tc>
          <w:tcPr>
            <w:tcW w:type="dxa" w:w="1210"/>
          </w:tcPr>
          <w:p>
            <w:pPr>
              <w:spacing w:after="20"/>
            </w:pPr>
            <w:r>
              <w:rPr>
                <w:color w:val="1C3A36"/>
                <w:sz w:val="14"/>
              </w:rPr>
              <w:t>2026-08-06</w:t>
            </w:r>
          </w:p>
        </w:tc>
      </w:tr>
      <w:tr>
        <w:tc>
          <w:tcPr>
            <w:tcW w:type="dxa" w:w="518"/>
          </w:tcPr>
          <w:p>
            <w:pPr>
              <w:spacing w:after="20"/>
            </w:pPr>
            <w:r>
              <w:rPr>
                <w:color w:val="1C3A36"/>
                <w:sz w:val="14"/>
              </w:rPr>
              <w:t>87</w:t>
            </w:r>
          </w:p>
        </w:tc>
        <w:tc>
          <w:tcPr>
            <w:tcW w:type="dxa" w:w="2448"/>
          </w:tcPr>
          <w:p>
            <w:pPr>
              <w:spacing w:after="20"/>
            </w:pPr>
            <w:r>
              <w:rPr>
                <w:color w:val="1C3A36"/>
                <w:sz w:val="14"/>
              </w:rPr>
              <w:t>kd_spread</w:t>
            </w:r>
          </w:p>
        </w:tc>
        <w:tc>
          <w:tcPr>
            <w:tcW w:type="dxa" w:w="1325"/>
          </w:tcPr>
          <w:p>
            <w:pPr>
              <w:spacing w:after="20"/>
            </w:pPr>
            <w:r>
              <w:rPr>
                <w:color w:val="1C3A36"/>
                <w:sz w:val="14"/>
              </w:rPr>
              <w:t>0.02</w:t>
            </w:r>
          </w:p>
        </w:tc>
        <w:tc>
          <w:tcPr>
            <w:tcW w:type="dxa" w:w="1066"/>
          </w:tcPr>
          <w:p>
            <w:pPr>
              <w:spacing w:after="20"/>
            </w:pPr>
            <w:r>
              <w:rPr>
                <w:color w:val="1C3A36"/>
                <w:sz w:val="14"/>
              </w:rPr>
              <w:t>House</w:t>
            </w:r>
          </w:p>
        </w:tc>
        <w:tc>
          <w:tcPr>
            <w:tcW w:type="dxa" w:w="7085"/>
          </w:tcPr>
          <w:p>
            <w:pPr>
              <w:spacing w:after="20"/>
            </w:pPr>
            <w:r>
              <w:rPr>
                <w:color w:val="1C3A36"/>
                <w:sz w:val="14"/>
              </w:rPr>
              <w:t>Corporate credit spread over the local sovereign. THE ADOPTED COST OF DEBT IS THE SOVEREIGN PLUS THIS, and the sovereign comes from the house path, so the two cannot disagree. Revision 3 typed 21.50% against a sovereign of 22.31% IN THE SAME FILE — 81bp BELOW the government that taxes it, which this house's standing method refuses outright and which the gate found the hour this record was first committed. The audited statements disclose no rate on the EGP %s of borrowings, so the construction the protocol asks for is sovereign plus spread; 200bp is a STATED judgement and its price is 1 basis point of weighted cost of capital, because the book is 0.5%% of the capital structure</w:t>
            </w:r>
          </w:p>
        </w:tc>
        <w:tc>
          <w:tcPr>
            <w:tcW w:type="dxa" w:w="1210"/>
          </w:tcPr>
          <w:p>
            <w:pPr>
              <w:spacing w:after="20"/>
            </w:pPr>
            <w:r>
              <w:rPr>
                <w:color w:val="1C3A36"/>
                <w:sz w:val="14"/>
              </w:rPr>
              <w:t>2026-09-04</w:t>
            </w:r>
          </w:p>
        </w:tc>
      </w:tr>
      <w:tr>
        <w:tc>
          <w:tcPr>
            <w:tcW w:type="dxa" w:w="518"/>
          </w:tcPr>
          <w:p>
            <w:pPr>
              <w:spacing w:after="20"/>
            </w:pPr>
            <w:r>
              <w:rPr>
                <w:color w:val="1C3A36"/>
                <w:sz w:val="14"/>
              </w:rPr>
              <w:t>88</w:t>
            </w:r>
          </w:p>
        </w:tc>
        <w:tc>
          <w:tcPr>
            <w:tcW w:type="dxa" w:w="2448"/>
          </w:tcPr>
          <w:p>
            <w:pPr>
              <w:spacing w:after="20"/>
            </w:pPr>
            <w:r>
              <w:rPr>
                <w:color w:val="1C3A36"/>
                <w:sz w:val="14"/>
              </w:rPr>
              <w:t>kd_term</w:t>
            </w:r>
          </w:p>
        </w:tc>
        <w:tc>
          <w:tcPr>
            <w:tcW w:type="dxa" w:w="1325"/>
          </w:tcPr>
          <w:p>
            <w:pPr>
              <w:spacing w:after="20"/>
            </w:pPr>
            <w:r>
              <w:rPr>
                <w:color w:val="1C3A36"/>
                <w:sz w:val="14"/>
              </w:rPr>
              <w:t>0.15</w:t>
            </w:r>
          </w:p>
        </w:tc>
        <w:tc>
          <w:tcPr>
            <w:tcW w:type="dxa" w:w="1066"/>
          </w:tcPr>
          <w:p>
            <w:pPr>
              <w:spacing w:after="20"/>
            </w:pPr>
            <w:r>
              <w:rPr>
                <w:color w:val="1C3A36"/>
                <w:sz w:val="14"/>
              </w:rPr>
              <w:t>House</w:t>
            </w:r>
          </w:p>
        </w:tc>
        <w:tc>
          <w:tcPr>
            <w:tcW w:type="dxa" w:w="7085"/>
          </w:tcPr>
          <w:p>
            <w:pPr>
              <w:spacing w:after="20"/>
            </w:pPr>
            <w:r>
              <w:rPr>
                <w:color w:val="1C3A36"/>
                <w:sz w:val="14"/>
              </w:rPr>
              <w:t>Terminal cost of debt, the Egyptian long-run corporate norm</w:t>
            </w:r>
          </w:p>
        </w:tc>
        <w:tc>
          <w:tcPr>
            <w:tcW w:type="dxa" w:w="1210"/>
          </w:tcPr>
          <w:p>
            <w:pPr>
              <w:spacing w:after="20"/>
            </w:pPr>
            <w:r>
              <w:rPr>
                <w:color w:val="1C3A36"/>
                <w:sz w:val="14"/>
              </w:rPr>
              <w:t>2026-08-06</w:t>
            </w:r>
          </w:p>
        </w:tc>
      </w:tr>
      <w:tr>
        <w:tc>
          <w:tcPr>
            <w:tcW w:type="dxa" w:w="518"/>
          </w:tcPr>
          <w:p>
            <w:pPr>
              <w:spacing w:after="20"/>
            </w:pPr>
            <w:r>
              <w:rPr>
                <w:color w:val="1C3A36"/>
                <w:sz w:val="14"/>
              </w:rPr>
              <w:t>89</w:t>
            </w:r>
          </w:p>
        </w:tc>
        <w:tc>
          <w:tcPr>
            <w:tcW w:type="dxa" w:w="2448"/>
          </w:tcPr>
          <w:p>
            <w:pPr>
              <w:spacing w:after="20"/>
            </w:pPr>
            <w:r>
              <w:rPr>
                <w:color w:val="1C3A36"/>
                <w:sz w:val="14"/>
              </w:rPr>
              <w:t>kiln_util</w:t>
            </w:r>
          </w:p>
        </w:tc>
        <w:tc>
          <w:tcPr>
            <w:tcW w:type="dxa" w:w="1325"/>
          </w:tcPr>
          <w:p>
            <w:pPr>
              <w:spacing w:after="20"/>
            </w:pPr>
            <w:r>
              <w:rPr>
                <w:color w:val="1C3A36"/>
                <w:sz w:val="14"/>
              </w:rPr>
              <w:t>0.71, 0.717, 0.735, 0.753, 0.772, 0.791</w:t>
            </w:r>
          </w:p>
        </w:tc>
        <w:tc>
          <w:tcPr>
            <w:tcW w:type="dxa" w:w="1066"/>
          </w:tcPr>
          <w:p>
            <w:pPr>
              <w:spacing w:after="20"/>
            </w:pPr>
            <w:r>
              <w:rPr>
                <w:color w:val="1C3A36"/>
                <w:sz w:val="14"/>
              </w:rPr>
              <w:t>House</w:t>
            </w:r>
          </w:p>
        </w:tc>
        <w:tc>
          <w:tcPr>
            <w:tcW w:type="dxa" w:w="7085"/>
          </w:tcPr>
          <w:p>
            <w:pPr>
              <w:spacing w:after="20"/>
            </w:pPr>
            <w:r>
              <w:rPr>
                <w:color w:val="1C3A36"/>
                <w:sz w:val="14"/>
              </w:rPr>
              <w:t>Kiln utilisation FY2025A then FY2026E-FY2030E</w:t>
            </w:r>
          </w:p>
        </w:tc>
        <w:tc>
          <w:tcPr>
            <w:tcW w:type="dxa" w:w="1210"/>
          </w:tcPr>
          <w:p>
            <w:pPr>
              <w:spacing w:after="20"/>
            </w:pPr>
            <w:r>
              <w:rPr>
                <w:color w:val="1C3A36"/>
                <w:sz w:val="14"/>
              </w:rPr>
              <w:t>2026-08-06</w:t>
            </w:r>
          </w:p>
        </w:tc>
      </w:tr>
      <w:tr>
        <w:tc>
          <w:tcPr>
            <w:tcW w:type="dxa" w:w="518"/>
          </w:tcPr>
          <w:p>
            <w:pPr>
              <w:spacing w:after="20"/>
            </w:pPr>
            <w:r>
              <w:rPr>
                <w:color w:val="1C3A36"/>
                <w:sz w:val="14"/>
              </w:rPr>
              <w:t>90</w:t>
            </w:r>
          </w:p>
        </w:tc>
        <w:tc>
          <w:tcPr>
            <w:tcW w:type="dxa" w:w="2448"/>
          </w:tcPr>
          <w:p>
            <w:pPr>
              <w:spacing w:after="20"/>
            </w:pPr>
            <w:r>
              <w:rPr>
                <w:color w:val="1C3A36"/>
                <w:sz w:val="14"/>
              </w:rPr>
              <w:t>materials_usd_share</w:t>
            </w:r>
          </w:p>
        </w:tc>
        <w:tc>
          <w:tcPr>
            <w:tcW w:type="dxa" w:w="1325"/>
          </w:tcPr>
          <w:p>
            <w:pPr>
              <w:spacing w:after="20"/>
            </w:pPr>
            <w:r>
              <w:rPr>
                <w:color w:val="1C3A36"/>
                <w:sz w:val="14"/>
              </w:rPr>
              <w:t>0.484</w:t>
            </w:r>
          </w:p>
        </w:tc>
        <w:tc>
          <w:tcPr>
            <w:tcW w:type="dxa" w:w="1066"/>
          </w:tcPr>
          <w:p>
            <w:pPr>
              <w:spacing w:after="20"/>
            </w:pPr>
            <w:r>
              <w:rPr>
                <w:color w:val="1C3A36"/>
                <w:sz w:val="14"/>
              </w:rPr>
              <w:t>House</w:t>
            </w:r>
          </w:p>
        </w:tc>
        <w:tc>
          <w:tcPr>
            <w:tcW w:type="dxa" w:w="7085"/>
          </w:tcPr>
          <w:p>
            <w:pPr>
              <w:spacing w:after="20"/>
            </w:pPr>
            <w:r>
              <w:rPr>
                <w:color w:val="1C3A36"/>
                <w:sz w:val="14"/>
              </w:rPr>
              <w:t>The dollar-linked share of the materials line. THE FILING DOES NOT SPLIT IT, so this is an ESTIMATE and is flagged as one: it is the fuel share of revision 2's own four-part stack (458.0 of 946.5 per tonne), which is the only evidenced split available. The rest escalates on the domestic cost path. Sensitised in section 6</w:t>
            </w:r>
          </w:p>
        </w:tc>
        <w:tc>
          <w:tcPr>
            <w:tcW w:type="dxa" w:w="1210"/>
          </w:tcPr>
          <w:p>
            <w:pPr>
              <w:spacing w:after="20"/>
            </w:pPr>
            <w:r>
              <w:rPr>
                <w:color w:val="1C3A36"/>
                <w:sz w:val="14"/>
              </w:rPr>
              <w:t>2026-08-06</w:t>
            </w:r>
          </w:p>
        </w:tc>
      </w:tr>
      <w:tr>
        <w:tc>
          <w:tcPr>
            <w:tcW w:type="dxa" w:w="518"/>
          </w:tcPr>
          <w:p>
            <w:pPr>
              <w:spacing w:after="20"/>
            </w:pPr>
            <w:r>
              <w:rPr>
                <w:color w:val="1C3A36"/>
                <w:sz w:val="14"/>
              </w:rPr>
              <w:t>91</w:t>
            </w:r>
          </w:p>
        </w:tc>
        <w:tc>
          <w:tcPr>
            <w:tcW w:type="dxa" w:w="2448"/>
          </w:tcPr>
          <w:p>
            <w:pPr>
              <w:spacing w:after="20"/>
            </w:pPr>
            <w:r>
              <w:rPr>
                <w:color w:val="1C3A36"/>
                <w:sz w:val="14"/>
              </w:rPr>
              <w:t>nci</w:t>
            </w:r>
          </w:p>
        </w:tc>
        <w:tc>
          <w:tcPr>
            <w:tcW w:type="dxa" w:w="1325"/>
          </w:tcPr>
          <w:p>
            <w:pPr>
              <w:spacing w:after="20"/>
            </w:pPr>
            <w:r>
              <w:rPr>
                <w:color w:val="1C3A36"/>
                <w:sz w:val="14"/>
              </w:rPr>
              <w:t>120</w:t>
            </w:r>
          </w:p>
        </w:tc>
        <w:tc>
          <w:tcPr>
            <w:tcW w:type="dxa" w:w="1066"/>
          </w:tcPr>
          <w:p>
            <w:pPr>
              <w:spacing w:after="20"/>
            </w:pPr>
            <w:r>
              <w:rPr>
                <w:color w:val="1C3A36"/>
                <w:sz w:val="14"/>
              </w:rPr>
              <w:t>House</w:t>
            </w:r>
          </w:p>
        </w:tc>
        <w:tc>
          <w:tcPr>
            <w:tcW w:type="dxa" w:w="7085"/>
          </w:tcPr>
          <w:p>
            <w:pPr>
              <w:spacing w:after="20"/>
            </w:pPr>
            <w:r>
              <w:rPr>
                <w:color w:val="1C3A36"/>
                <w:sz w:val="14"/>
              </w:rPr>
              <w:t>Non-controlling interests deducted in the bridge. Revision 1 omitted them. One reviewer proposed 2,008 (15% of enterprise value) but derived it from nothing; the disclosed evidence — FY2023 group loss 121.42 against an attributable loss of ~117, and FY2024 attributable EPS 23.13 against group profit 3,070 — puts the minority share of profit BELOW 1%. Set at 120 and sensitised</w:t>
            </w:r>
          </w:p>
        </w:tc>
        <w:tc>
          <w:tcPr>
            <w:tcW w:type="dxa" w:w="1210"/>
          </w:tcPr>
          <w:p>
            <w:pPr>
              <w:spacing w:after="20"/>
            </w:pPr>
            <w:r>
              <w:rPr>
                <w:color w:val="1C3A36"/>
                <w:sz w:val="14"/>
              </w:rPr>
              <w:t>2026-08-06</w:t>
            </w:r>
          </w:p>
        </w:tc>
      </w:tr>
      <w:tr>
        <w:tc>
          <w:tcPr>
            <w:tcW w:type="dxa" w:w="518"/>
          </w:tcPr>
          <w:p>
            <w:pPr>
              <w:spacing w:after="20"/>
            </w:pPr>
            <w:r>
              <w:rPr>
                <w:color w:val="1C3A36"/>
                <w:sz w:val="14"/>
              </w:rPr>
              <w:t>92</w:t>
            </w:r>
          </w:p>
        </w:tc>
        <w:tc>
          <w:tcPr>
            <w:tcW w:type="dxa" w:w="2448"/>
          </w:tcPr>
          <w:p>
            <w:pPr>
              <w:spacing w:after="20"/>
            </w:pPr>
            <w:r>
              <w:rPr>
                <w:color w:val="1C3A36"/>
                <w:sz w:val="14"/>
              </w:rPr>
              <w:t>norm_mgn</w:t>
            </w:r>
          </w:p>
        </w:tc>
        <w:tc>
          <w:tcPr>
            <w:tcW w:type="dxa" w:w="1325"/>
          </w:tcPr>
          <w:p>
            <w:pPr>
              <w:spacing w:after="20"/>
            </w:pPr>
            <w:r>
              <w:rPr>
                <w:color w:val="1C3A36"/>
                <w:sz w:val="14"/>
              </w:rPr>
              <w:t>0.278</w:t>
            </w:r>
          </w:p>
        </w:tc>
        <w:tc>
          <w:tcPr>
            <w:tcW w:type="dxa" w:w="1066"/>
          </w:tcPr>
          <w:p>
            <w:pPr>
              <w:spacing w:after="20"/>
            </w:pPr>
            <w:r>
              <w:rPr>
                <w:color w:val="1C3A36"/>
                <w:sz w:val="14"/>
              </w:rPr>
              <w:t>House</w:t>
            </w:r>
          </w:p>
        </w:tc>
        <w:tc>
          <w:tcPr>
            <w:tcW w:type="dxa" w:w="7085"/>
          </w:tcPr>
          <w:p>
            <w:pPr>
              <w:spacing w:after="20"/>
            </w:pPr>
            <w:r>
              <w:rPr>
                <w:color w:val="1C3A36"/>
                <w:sz w:val="14"/>
              </w:rPr>
              <w:t>Mid-cycle EBITDA margin: the midpoint of the FY2024 outturn (24.8%) and the corrected FY2025 peak (30.9%). Revision 1 struck 26.5% off an FY2025 margin understated by the statutory-rate error</w:t>
            </w:r>
          </w:p>
        </w:tc>
        <w:tc>
          <w:tcPr>
            <w:tcW w:type="dxa" w:w="1210"/>
          </w:tcPr>
          <w:p>
            <w:pPr>
              <w:spacing w:after="20"/>
            </w:pPr>
            <w:r>
              <w:rPr>
                <w:color w:val="1C3A36"/>
                <w:sz w:val="14"/>
              </w:rPr>
              <w:t>2026-08-06</w:t>
            </w:r>
          </w:p>
        </w:tc>
      </w:tr>
      <w:tr>
        <w:tc>
          <w:tcPr>
            <w:tcW w:type="dxa" w:w="518"/>
          </w:tcPr>
          <w:p>
            <w:pPr>
              <w:spacing w:after="20"/>
            </w:pPr>
            <w:r>
              <w:rPr>
                <w:color w:val="1C3A36"/>
                <w:sz w:val="14"/>
              </w:rPr>
              <w:t>93</w:t>
            </w:r>
          </w:p>
        </w:tc>
        <w:tc>
          <w:tcPr>
            <w:tcW w:type="dxa" w:w="2448"/>
          </w:tcPr>
          <w:p>
            <w:pPr>
              <w:spacing w:after="20"/>
            </w:pPr>
            <w:r>
              <w:rPr>
                <w:color w:val="1C3A36"/>
                <w:sz w:val="14"/>
              </w:rPr>
              <w:t>norm_rev_haircut</w:t>
            </w:r>
          </w:p>
        </w:tc>
        <w:tc>
          <w:tcPr>
            <w:tcW w:type="dxa" w:w="1325"/>
          </w:tcPr>
          <w:p>
            <w:pPr>
              <w:spacing w:after="20"/>
            </w:pPr>
            <w:r>
              <w:rPr>
                <w:color w:val="1C3A36"/>
                <w:sz w:val="14"/>
              </w:rPr>
              <w:t>0.92</w:t>
            </w:r>
          </w:p>
        </w:tc>
        <w:tc>
          <w:tcPr>
            <w:tcW w:type="dxa" w:w="1066"/>
          </w:tcPr>
          <w:p>
            <w:pPr>
              <w:spacing w:after="20"/>
            </w:pPr>
            <w:r>
              <w:rPr>
                <w:color w:val="1C3A36"/>
                <w:sz w:val="14"/>
              </w:rPr>
              <w:t>House</w:t>
            </w:r>
          </w:p>
        </w:tc>
        <w:tc>
          <w:tcPr>
            <w:tcW w:type="dxa" w:w="7085"/>
          </w:tcPr>
          <w:p>
            <w:pPr>
              <w:spacing w:after="20"/>
            </w:pPr>
            <w:r>
              <w:rPr>
                <w:color w:val="1C3A36"/>
                <w:sz w:val="14"/>
              </w:rPr>
              <w:t>Haircut to the FY2025 revenue base for the normalised lens. Revision 1 applied a mid-cycle MARGIN to a PEAK revenue base — half a normalisation, in the lens whose stated purpose is refusing to capitalise a peak</w:t>
            </w:r>
          </w:p>
        </w:tc>
        <w:tc>
          <w:tcPr>
            <w:tcW w:type="dxa" w:w="1210"/>
          </w:tcPr>
          <w:p>
            <w:pPr>
              <w:spacing w:after="20"/>
            </w:pPr>
            <w:r>
              <w:rPr>
                <w:color w:val="1C3A36"/>
                <w:sz w:val="14"/>
              </w:rPr>
              <w:t>2026-08-06</w:t>
            </w:r>
          </w:p>
        </w:tc>
      </w:tr>
      <w:tr>
        <w:tc>
          <w:tcPr>
            <w:tcW w:type="dxa" w:w="518"/>
          </w:tcPr>
          <w:p>
            <w:pPr>
              <w:spacing w:after="20"/>
            </w:pPr>
            <w:r>
              <w:rPr>
                <w:color w:val="1C3A36"/>
                <w:sz w:val="14"/>
              </w:rPr>
              <w:t>94</w:t>
            </w:r>
          </w:p>
        </w:tc>
        <w:tc>
          <w:tcPr>
            <w:tcW w:type="dxa" w:w="2448"/>
          </w:tcPr>
          <w:p>
            <w:pPr>
              <w:spacing w:after="20"/>
            </w:pPr>
            <w:r>
              <w:rPr>
                <w:color w:val="1C3A36"/>
                <w:sz w:val="14"/>
              </w:rPr>
              <w:t>pe_just</w:t>
            </w:r>
          </w:p>
        </w:tc>
        <w:tc>
          <w:tcPr>
            <w:tcW w:type="dxa" w:w="1325"/>
          </w:tcPr>
          <w:p>
            <w:pPr>
              <w:spacing w:after="20"/>
            </w:pPr>
            <w:r>
              <w:rPr>
                <w:color w:val="1C3A36"/>
                <w:sz w:val="14"/>
              </w:rPr>
              <w:t>7</w:t>
            </w:r>
          </w:p>
        </w:tc>
        <w:tc>
          <w:tcPr>
            <w:tcW w:type="dxa" w:w="1066"/>
          </w:tcPr>
          <w:p>
            <w:pPr>
              <w:spacing w:after="20"/>
            </w:pPr>
            <w:r>
              <w:rPr>
                <w:color w:val="1C3A36"/>
                <w:sz w:val="14"/>
              </w:rPr>
              <w:t>House</w:t>
            </w:r>
          </w:p>
        </w:tc>
        <w:tc>
          <w:tcPr>
            <w:tcW w:type="dxa" w:w="7085"/>
          </w:tcPr>
          <w:p>
            <w:pPr>
              <w:spacing w:after="20"/>
            </w:pPr>
            <w:r>
              <w:rPr>
                <w:color w:val="1C3A36"/>
                <w:sz w:val="14"/>
              </w:rPr>
              <w:t>Justified price/earnings on normalised OPERATING earnings</w:t>
            </w:r>
          </w:p>
        </w:tc>
        <w:tc>
          <w:tcPr>
            <w:tcW w:type="dxa" w:w="1210"/>
          </w:tcPr>
          <w:p>
            <w:pPr>
              <w:spacing w:after="20"/>
            </w:pPr>
            <w:r>
              <w:rPr>
                <w:color w:val="1C3A36"/>
                <w:sz w:val="14"/>
              </w:rPr>
              <w:t>2026-08-06</w:t>
            </w:r>
          </w:p>
        </w:tc>
      </w:tr>
      <w:tr>
        <w:tc>
          <w:tcPr>
            <w:tcW w:type="dxa" w:w="518"/>
          </w:tcPr>
          <w:p>
            <w:pPr>
              <w:spacing w:after="20"/>
            </w:pPr>
            <w:r>
              <w:rPr>
                <w:color w:val="1C3A36"/>
                <w:sz w:val="14"/>
              </w:rPr>
              <w:t>95</w:t>
            </w:r>
          </w:p>
        </w:tc>
        <w:tc>
          <w:tcPr>
            <w:tcW w:type="dxa" w:w="2448"/>
          </w:tcPr>
          <w:p>
            <w:pPr>
              <w:spacing w:after="20"/>
            </w:pPr>
            <w:r>
              <w:rPr>
                <w:color w:val="1C3A36"/>
                <w:sz w:val="14"/>
              </w:rPr>
              <w:t>price_dom_egp_t</w:t>
            </w:r>
          </w:p>
        </w:tc>
        <w:tc>
          <w:tcPr>
            <w:tcW w:type="dxa" w:w="1325"/>
          </w:tcPr>
          <w:p>
            <w:pPr>
              <w:spacing w:after="20"/>
            </w:pPr>
            <w:r>
              <w:rPr>
                <w:color w:val="1C3A36"/>
                <w:sz w:val="14"/>
              </w:rPr>
              <w:t>3,503, 4,063, 4,551, 4,961, 5,333, 5,706</w:t>
            </w:r>
          </w:p>
        </w:tc>
        <w:tc>
          <w:tcPr>
            <w:tcW w:type="dxa" w:w="1066"/>
          </w:tcPr>
          <w:p>
            <w:pPr>
              <w:spacing w:after="20"/>
            </w:pPr>
            <w:r>
              <w:rPr>
                <w:color w:val="1C3A36"/>
                <w:sz w:val="14"/>
              </w:rPr>
              <w:t>House</w:t>
            </w:r>
          </w:p>
        </w:tc>
        <w:tc>
          <w:tcPr>
            <w:tcW w:type="dxa" w:w="7085"/>
          </w:tcPr>
          <w:p>
            <w:pPr>
              <w:spacing w:after="20"/>
            </w:pPr>
            <w:r>
              <w:rPr>
                <w:color w:val="1C3A36"/>
                <w:sz w:val="14"/>
              </w:rPr>
              <w:t>Domestic realised price ex-works. FY2025 is the level the disclosed revenue implies given the volume build — 13.9% below the ~EGP 4,070/t market average, which is what an ex-works price net of freight and rebates looks like. THE REAL SPREAD PER TONNE IS THEN HELD FLAT: price escalates on the HOUSE inflation ladder at zero real growth, the same index the domestic cost lines carry, so the margin is an OUTPUT of the two and neither side carries an inflation number of its own. Revision 3 typed the path, and a typed nominal rate is unfalsifiable — nobody can tell whether 14.0% meant inflation plus nothing or inflation minus two. The path before that grew nominal prices well below the domestic cost path this same model escalates costs on, and the register described it as 'a REAL decline against CBE inflation' while sourcing no mechanism for it. this house's standing method refuses that mechanism on the company's own measurement: cost per unit of revenue FELL across the reviewed quarter pair and the audited year between them, where the forecast needed it to rise, and a mechanism contradicted by the filings is the assumption wearing one. The 12.6Mt of dormant Egyptian capacity queuing to restart is a real risk to price; it belongs in the bear case and the sensitivity grid, which carry it, not in the base path</w:t>
            </w:r>
          </w:p>
        </w:tc>
        <w:tc>
          <w:tcPr>
            <w:tcW w:type="dxa" w:w="1210"/>
          </w:tcPr>
          <w:p>
            <w:pPr>
              <w:spacing w:after="20"/>
            </w:pPr>
            <w:r>
              <w:rPr>
                <w:color w:val="1C3A36"/>
                <w:sz w:val="14"/>
              </w:rPr>
              <w:t>2026-09-04</w:t>
            </w:r>
          </w:p>
        </w:tc>
      </w:tr>
      <w:tr>
        <w:tc>
          <w:tcPr>
            <w:tcW w:type="dxa" w:w="518"/>
          </w:tcPr>
          <w:p>
            <w:pPr>
              <w:spacing w:after="20"/>
            </w:pPr>
            <w:r>
              <w:rPr>
                <w:color w:val="1C3A36"/>
                <w:sz w:val="14"/>
              </w:rPr>
              <w:t>96</w:t>
            </w:r>
          </w:p>
        </w:tc>
        <w:tc>
          <w:tcPr>
            <w:tcW w:type="dxa" w:w="2448"/>
          </w:tcPr>
          <w:p>
            <w:pPr>
              <w:spacing w:after="20"/>
            </w:pPr>
            <w:r>
              <w:rPr>
                <w:color w:val="1C3A36"/>
                <w:sz w:val="14"/>
              </w:rPr>
              <w:t>rf_term</w:t>
            </w:r>
          </w:p>
        </w:tc>
        <w:tc>
          <w:tcPr>
            <w:tcW w:type="dxa" w:w="1325"/>
          </w:tcPr>
          <w:p>
            <w:pPr>
              <w:spacing w:after="20"/>
            </w:pPr>
            <w:r>
              <w:rPr>
                <w:color w:val="1C3A36"/>
                <w:sz w:val="14"/>
              </w:rPr>
              <w:t>0.105</w:t>
            </w:r>
          </w:p>
        </w:tc>
        <w:tc>
          <w:tcPr>
            <w:tcW w:type="dxa" w:w="1066"/>
          </w:tcPr>
          <w:p>
            <w:pPr>
              <w:spacing w:after="20"/>
            </w:pPr>
            <w:r>
              <w:rPr>
                <w:color w:val="1C3A36"/>
                <w:sz w:val="14"/>
              </w:rPr>
              <w:t>House</w:t>
            </w:r>
          </w:p>
        </w:tc>
        <w:tc>
          <w:tcPr>
            <w:tcW w:type="dxa" w:w="7085"/>
          </w:tcPr>
          <w:p>
            <w:pPr>
              <w:spacing w:after="20"/>
            </w:pPr>
            <w:r>
              <w:rPr>
                <w:color w:val="1C3A36"/>
                <w:sz w:val="14"/>
              </w:rPr>
              <w:t>Terminal risk-free rate, READ LIVE from the house macro path rather than typed here: the central bank's operative Q4-2026 inflation target plus the house real-rate convention. TWO EDITIONS OF THIS LINE ARE RETIRED. Revision 1 used the later 5% target while its own text cited 'the 7% and then 5% targets'. Revision 3 typed 12.5% into this file, built on a 5.5pp real convention, and flagged the alternative in its own note as a 'REVIEWABLE CHOICE' worth about 1.8% — which is a defect recorded rather than fixed. The house convention is 3.5%: the retired 5.5pp was a restrictive policy stance, not a long-run real rate, and a perpetuity does not live inside a policy stance. Two readers of one economy must not disagree</w:t>
            </w:r>
          </w:p>
        </w:tc>
        <w:tc>
          <w:tcPr>
            <w:tcW w:type="dxa" w:w="1210"/>
          </w:tcPr>
          <w:p>
            <w:pPr>
              <w:spacing w:after="20"/>
            </w:pPr>
            <w:r>
              <w:rPr>
                <w:color w:val="1C3A36"/>
                <w:sz w:val="14"/>
              </w:rPr>
              <w:t>2026-09-10</w:t>
            </w:r>
          </w:p>
        </w:tc>
      </w:tr>
      <w:tr>
        <w:tc>
          <w:tcPr>
            <w:tcW w:type="dxa" w:w="518"/>
          </w:tcPr>
          <w:p>
            <w:pPr>
              <w:spacing w:after="20"/>
            </w:pPr>
            <w:r>
              <w:rPr>
                <w:color w:val="1C3A36"/>
                <w:sz w:val="14"/>
              </w:rPr>
              <w:t>97</w:t>
            </w:r>
          </w:p>
        </w:tc>
        <w:tc>
          <w:tcPr>
            <w:tcW w:type="dxa" w:w="2448"/>
          </w:tcPr>
          <w:p>
            <w:pPr>
              <w:spacing w:after="20"/>
            </w:pPr>
            <w:r>
              <w:rPr>
                <w:color w:val="1C3A36"/>
                <w:sz w:val="14"/>
              </w:rPr>
              <w:t>stub_years</w:t>
            </w:r>
          </w:p>
        </w:tc>
        <w:tc>
          <w:tcPr>
            <w:tcW w:type="dxa" w:w="1325"/>
          </w:tcPr>
          <w:p>
            <w:pPr>
              <w:spacing w:after="20"/>
            </w:pPr>
            <w:r>
              <w:rPr>
                <w:color w:val="1C3A36"/>
                <w:sz w:val="14"/>
              </w:rPr>
              <w:t>0.583</w:t>
            </w:r>
          </w:p>
        </w:tc>
        <w:tc>
          <w:tcPr>
            <w:tcW w:type="dxa" w:w="1066"/>
          </w:tcPr>
          <w:p>
            <w:pPr>
              <w:spacing w:after="20"/>
            </w:pPr>
            <w:r>
              <w:rPr>
                <w:color w:val="1C3A36"/>
                <w:sz w:val="14"/>
              </w:rPr>
              <w:t>House</w:t>
            </w:r>
          </w:p>
        </w:tc>
        <w:tc>
          <w:tcPr>
            <w:tcW w:type="dxa" w:w="7085"/>
          </w:tcPr>
          <w:p>
            <w:pPr>
              <w:spacing w:after="20"/>
            </w:pPr>
            <w:r>
              <w:rPr>
                <w:color w:val="1C3A36"/>
                <w:sz w:val="14"/>
              </w:rPr>
              <w:t>Elapsed fraction of FY2026 at the valuation date (7 months). Revision 1 discounted FY2026 a full year from a 6-Aug-2026 valuation date and added a 31-Dec-2025 cash balance</w:t>
            </w:r>
          </w:p>
        </w:tc>
        <w:tc>
          <w:tcPr>
            <w:tcW w:type="dxa" w:w="1210"/>
          </w:tcPr>
          <w:p>
            <w:pPr>
              <w:spacing w:after="20"/>
            </w:pPr>
            <w:r>
              <w:rPr>
                <w:color w:val="1C3A36"/>
                <w:sz w:val="14"/>
              </w:rPr>
              <w:t>2026-08-06</w:t>
            </w:r>
          </w:p>
        </w:tc>
      </w:tr>
      <w:tr>
        <w:tc>
          <w:tcPr>
            <w:tcW w:type="dxa" w:w="518"/>
          </w:tcPr>
          <w:p>
            <w:pPr>
              <w:spacing w:after="20"/>
            </w:pPr>
            <w:r>
              <w:rPr>
                <w:color w:val="1C3A36"/>
                <w:sz w:val="14"/>
              </w:rPr>
              <w:t>98</w:t>
            </w:r>
          </w:p>
        </w:tc>
        <w:tc>
          <w:tcPr>
            <w:tcW w:type="dxa" w:w="2448"/>
          </w:tcPr>
          <w:p>
            <w:pPr>
              <w:spacing w:after="20"/>
            </w:pPr>
            <w:r>
              <w:rPr>
                <w:color w:val="1C3A36"/>
                <w:sz w:val="14"/>
              </w:rPr>
              <w:t>swcc_book</w:t>
            </w:r>
          </w:p>
        </w:tc>
        <w:tc>
          <w:tcPr>
            <w:tcW w:type="dxa" w:w="1325"/>
          </w:tcPr>
          <w:p>
            <w:pPr>
              <w:spacing w:after="20"/>
            </w:pPr>
            <w:r>
              <w:rPr>
                <w:color w:val="1C3A36"/>
                <w:sz w:val="14"/>
              </w:rPr>
              <w:t>100</w:t>
            </w:r>
          </w:p>
        </w:tc>
        <w:tc>
          <w:tcPr>
            <w:tcW w:type="dxa" w:w="1066"/>
          </w:tcPr>
          <w:p>
            <w:pPr>
              <w:spacing w:after="20"/>
            </w:pPr>
            <w:r>
              <w:rPr>
                <w:color w:val="1C3A36"/>
                <w:sz w:val="14"/>
              </w:rPr>
              <w:t>House</w:t>
            </w:r>
          </w:p>
        </w:tc>
        <w:tc>
          <w:tcPr>
            <w:tcW w:type="dxa" w:w="7085"/>
          </w:tcPr>
          <w:p>
            <w:pPr>
              <w:spacing w:after="20"/>
            </w:pPr>
            <w:r>
              <w:rPr>
                <w:color w:val="1C3A36"/>
                <w:sz w:val="14"/>
              </w:rPr>
              <w:t>Carrying value of the 25.4% stake. Revision 1 asserted the profit bridge was 'insensitive to it within a +/-EGP 200mn range'. That was FALSE and untested: in revision 1 the chain ran book value -&gt; gain -&gt; SOLVED treasury income -&gt; cash -&gt; every lens, and a +/-200mn move was worth -4.9% to +9.8%. Revision 2 takes cash from the reported balance sheet instead, so this input now touches only the FY2024 gain/treasury split and nothing downstream</w:t>
            </w:r>
          </w:p>
        </w:tc>
        <w:tc>
          <w:tcPr>
            <w:tcW w:type="dxa" w:w="1210"/>
          </w:tcPr>
          <w:p>
            <w:pPr>
              <w:spacing w:after="20"/>
            </w:pPr>
            <w:r>
              <w:rPr>
                <w:color w:val="1C3A36"/>
                <w:sz w:val="14"/>
              </w:rPr>
              <w:t>2026-08-06</w:t>
            </w:r>
          </w:p>
        </w:tc>
      </w:tr>
      <w:tr>
        <w:tc>
          <w:tcPr>
            <w:tcW w:type="dxa" w:w="518"/>
          </w:tcPr>
          <w:p>
            <w:pPr>
              <w:spacing w:after="20"/>
            </w:pPr>
            <w:r>
              <w:rPr>
                <w:color w:val="1C3A36"/>
                <w:sz w:val="14"/>
              </w:rPr>
              <w:t>99</w:t>
            </w:r>
          </w:p>
        </w:tc>
        <w:tc>
          <w:tcPr>
            <w:tcW w:type="dxa" w:w="2448"/>
          </w:tcPr>
          <w:p>
            <w:pPr>
              <w:spacing w:after="20"/>
            </w:pPr>
            <w:r>
              <w:rPr>
                <w:color w:val="1C3A36"/>
                <w:sz w:val="14"/>
              </w:rPr>
              <w:t>treas_fy23</w:t>
            </w:r>
          </w:p>
        </w:tc>
        <w:tc>
          <w:tcPr>
            <w:tcW w:type="dxa" w:w="1325"/>
          </w:tcPr>
          <w:p>
            <w:pPr>
              <w:spacing w:after="20"/>
            </w:pPr>
            <w:r>
              <w:rPr>
                <w:color w:val="1C3A36"/>
                <w:sz w:val="14"/>
              </w:rPr>
              <w:t>198</w:t>
            </w:r>
          </w:p>
        </w:tc>
        <w:tc>
          <w:tcPr>
            <w:tcW w:type="dxa" w:w="1066"/>
          </w:tcPr>
          <w:p>
            <w:pPr>
              <w:spacing w:after="20"/>
            </w:pPr>
            <w:r>
              <w:rPr>
                <w:color w:val="1C3A36"/>
                <w:sz w:val="14"/>
              </w:rPr>
              <w:t>House</w:t>
            </w:r>
          </w:p>
        </w:tc>
        <w:tc>
          <w:tcPr>
            <w:tcW w:type="dxa" w:w="7085"/>
          </w:tcPr>
          <w:p>
            <w:pPr>
              <w:spacing w:after="20"/>
            </w:pPr>
            <w:r>
              <w:rPr>
                <w:color w:val="1C3A36"/>
                <w:sz w:val="14"/>
              </w:rPr>
              <w:t>FY2023 treasury income on its own smaller cash balance</w:t>
            </w:r>
          </w:p>
        </w:tc>
        <w:tc>
          <w:tcPr>
            <w:tcW w:type="dxa" w:w="1210"/>
          </w:tcPr>
          <w:p>
            <w:pPr>
              <w:spacing w:after="20"/>
            </w:pPr>
            <w:r>
              <w:rPr>
                <w:color w:val="1C3A36"/>
                <w:sz w:val="14"/>
              </w:rPr>
              <w:t>2026-08-06</w:t>
            </w:r>
          </w:p>
        </w:tc>
      </w:tr>
      <w:tr>
        <w:tc>
          <w:tcPr>
            <w:tcW w:type="dxa" w:w="518"/>
          </w:tcPr>
          <w:p>
            <w:pPr>
              <w:spacing w:after="20"/>
            </w:pPr>
            <w:r>
              <w:rPr>
                <w:color w:val="1C3A36"/>
                <w:sz w:val="14"/>
              </w:rPr>
              <w:t>100</w:t>
            </w:r>
          </w:p>
        </w:tc>
        <w:tc>
          <w:tcPr>
            <w:tcW w:type="dxa" w:w="2448"/>
          </w:tcPr>
          <w:p>
            <w:pPr>
              <w:spacing w:after="20"/>
            </w:pPr>
            <w:r>
              <w:rPr>
                <w:color w:val="1C3A36"/>
                <w:sz w:val="14"/>
              </w:rPr>
              <w:t>w_asset</w:t>
            </w:r>
          </w:p>
        </w:tc>
        <w:tc>
          <w:tcPr>
            <w:tcW w:type="dxa" w:w="1325"/>
          </w:tcPr>
          <w:p>
            <w:pPr>
              <w:spacing w:after="20"/>
            </w:pPr>
            <w:r>
              <w:rPr>
                <w:color w:val="1C3A36"/>
                <w:sz w:val="14"/>
              </w:rPr>
              <w:t>0.08</w:t>
            </w:r>
          </w:p>
        </w:tc>
        <w:tc>
          <w:tcPr>
            <w:tcW w:type="dxa" w:w="1066"/>
          </w:tcPr>
          <w:p>
            <w:pPr>
              <w:spacing w:after="20"/>
            </w:pPr>
            <w:r>
              <w:rPr>
                <w:color w:val="1C3A36"/>
                <w:sz w:val="14"/>
              </w:rPr>
              <w:t>House</w:t>
            </w:r>
          </w:p>
        </w:tc>
        <w:tc>
          <w:tcPr>
            <w:tcW w:type="dxa" w:w="7085"/>
          </w:tcPr>
          <w:p>
            <w:pPr>
              <w:spacing w:after="20"/>
            </w:pPr>
            <w:r>
              <w:rPr>
                <w:color w:val="1C3A36"/>
                <w:sz w:val="14"/>
              </w:rPr>
              <w:t>Weight, asset lens. Revision 1 gave it 15% while arguing in the same document that restarted lines cost 'a fraction' of new build and that the asset lens 'should not be read as a floor'. Cut to 8%. REVIEWABLE CHOICE: 15% adds ~3.6%, zero subtracts ~2.6%</w:t>
            </w:r>
          </w:p>
        </w:tc>
        <w:tc>
          <w:tcPr>
            <w:tcW w:type="dxa" w:w="1210"/>
          </w:tcPr>
          <w:p>
            <w:pPr>
              <w:spacing w:after="20"/>
            </w:pPr>
            <w:r>
              <w:rPr>
                <w:color w:val="1C3A36"/>
                <w:sz w:val="14"/>
              </w:rPr>
              <w:t>2026-08-06</w:t>
            </w:r>
          </w:p>
        </w:tc>
      </w:tr>
      <w:tr>
        <w:tc>
          <w:tcPr>
            <w:tcW w:type="dxa" w:w="518"/>
          </w:tcPr>
          <w:p>
            <w:pPr>
              <w:spacing w:after="20"/>
            </w:pPr>
            <w:r>
              <w:rPr>
                <w:color w:val="1C3A36"/>
                <w:sz w:val="14"/>
              </w:rPr>
              <w:t>101</w:t>
            </w:r>
          </w:p>
        </w:tc>
        <w:tc>
          <w:tcPr>
            <w:tcW w:type="dxa" w:w="2448"/>
          </w:tcPr>
          <w:p>
            <w:pPr>
              <w:spacing w:after="20"/>
            </w:pPr>
            <w:r>
              <w:rPr>
                <w:color w:val="1C3A36"/>
                <w:sz w:val="14"/>
              </w:rPr>
              <w:t>w_dcf</w:t>
            </w:r>
          </w:p>
        </w:tc>
        <w:tc>
          <w:tcPr>
            <w:tcW w:type="dxa" w:w="1325"/>
          </w:tcPr>
          <w:p>
            <w:pPr>
              <w:spacing w:after="20"/>
            </w:pPr>
            <w:r>
              <w:rPr>
                <w:color w:val="1C3A36"/>
                <w:sz w:val="14"/>
              </w:rPr>
              <w:t>0.48</w:t>
            </w:r>
          </w:p>
        </w:tc>
        <w:tc>
          <w:tcPr>
            <w:tcW w:type="dxa" w:w="1066"/>
          </w:tcPr>
          <w:p>
            <w:pPr>
              <w:spacing w:after="20"/>
            </w:pPr>
            <w:r>
              <w:rPr>
                <w:color w:val="1C3A36"/>
                <w:sz w:val="14"/>
              </w:rPr>
              <w:t>House</w:t>
            </w:r>
          </w:p>
        </w:tc>
        <w:tc>
          <w:tcPr>
            <w:tcW w:type="dxa" w:w="7085"/>
          </w:tcPr>
          <w:p>
            <w:pPr>
              <w:spacing w:after="20"/>
            </w:pPr>
            <w:r>
              <w:rPr>
                <w:color w:val="1C3A36"/>
                <w:sz w:val="14"/>
              </w:rPr>
              <w:t>Weight, cash-flow lens</w:t>
            </w:r>
          </w:p>
        </w:tc>
        <w:tc>
          <w:tcPr>
            <w:tcW w:type="dxa" w:w="1210"/>
          </w:tcPr>
          <w:p>
            <w:pPr>
              <w:spacing w:after="20"/>
            </w:pPr>
            <w:r>
              <w:rPr>
                <w:color w:val="1C3A36"/>
                <w:sz w:val="14"/>
              </w:rPr>
              <w:t>2026-08-06</w:t>
            </w:r>
          </w:p>
        </w:tc>
      </w:tr>
      <w:tr>
        <w:tc>
          <w:tcPr>
            <w:tcW w:type="dxa" w:w="518"/>
          </w:tcPr>
          <w:p>
            <w:pPr>
              <w:spacing w:after="20"/>
            </w:pPr>
            <w:r>
              <w:rPr>
                <w:color w:val="1C3A36"/>
                <w:sz w:val="14"/>
              </w:rPr>
              <w:t>102</w:t>
            </w:r>
          </w:p>
        </w:tc>
        <w:tc>
          <w:tcPr>
            <w:tcW w:type="dxa" w:w="2448"/>
          </w:tcPr>
          <w:p>
            <w:pPr>
              <w:spacing w:after="20"/>
            </w:pPr>
            <w:r>
              <w:rPr>
                <w:color w:val="1C3A36"/>
                <w:sz w:val="14"/>
              </w:rPr>
              <w:t>w_norm</w:t>
            </w:r>
          </w:p>
        </w:tc>
        <w:tc>
          <w:tcPr>
            <w:tcW w:type="dxa" w:w="1325"/>
          </w:tcPr>
          <w:p>
            <w:pPr>
              <w:spacing w:after="20"/>
            </w:pPr>
            <w:r>
              <w:rPr>
                <w:color w:val="1C3A36"/>
                <w:sz w:val="14"/>
              </w:rPr>
              <w:t>0.23</w:t>
            </w:r>
          </w:p>
        </w:tc>
        <w:tc>
          <w:tcPr>
            <w:tcW w:type="dxa" w:w="1066"/>
          </w:tcPr>
          <w:p>
            <w:pPr>
              <w:spacing w:after="20"/>
            </w:pPr>
            <w:r>
              <w:rPr>
                <w:color w:val="1C3A36"/>
                <w:sz w:val="14"/>
              </w:rPr>
              <w:t>House</w:t>
            </w:r>
          </w:p>
        </w:tc>
        <w:tc>
          <w:tcPr>
            <w:tcW w:type="dxa" w:w="7085"/>
          </w:tcPr>
          <w:p>
            <w:pPr>
              <w:spacing w:after="20"/>
            </w:pPr>
            <w:r>
              <w:rPr>
                <w:color w:val="1C3A36"/>
                <w:sz w:val="14"/>
              </w:rPr>
              <w:t>Weight, normalised lens</w:t>
            </w:r>
          </w:p>
        </w:tc>
        <w:tc>
          <w:tcPr>
            <w:tcW w:type="dxa" w:w="1210"/>
          </w:tcPr>
          <w:p>
            <w:pPr>
              <w:spacing w:after="20"/>
            </w:pPr>
            <w:r>
              <w:rPr>
                <w:color w:val="1C3A36"/>
                <w:sz w:val="14"/>
              </w:rPr>
              <w:t>2026-08-06</w:t>
            </w:r>
          </w:p>
        </w:tc>
      </w:tr>
      <w:tr>
        <w:tc>
          <w:tcPr>
            <w:tcW w:type="dxa" w:w="518"/>
          </w:tcPr>
          <w:p>
            <w:pPr>
              <w:spacing w:after="20"/>
            </w:pPr>
            <w:r>
              <w:rPr>
                <w:color w:val="1C3A36"/>
                <w:sz w:val="14"/>
              </w:rPr>
              <w:t>103</w:t>
            </w:r>
          </w:p>
        </w:tc>
        <w:tc>
          <w:tcPr>
            <w:tcW w:type="dxa" w:w="2448"/>
          </w:tcPr>
          <w:p>
            <w:pPr>
              <w:spacing w:after="20"/>
            </w:pPr>
            <w:r>
              <w:rPr>
                <w:color w:val="1C3A36"/>
                <w:sz w:val="14"/>
              </w:rPr>
              <w:t>w_rel</w:t>
            </w:r>
          </w:p>
        </w:tc>
        <w:tc>
          <w:tcPr>
            <w:tcW w:type="dxa" w:w="1325"/>
          </w:tcPr>
          <w:p>
            <w:pPr>
              <w:spacing w:after="20"/>
            </w:pPr>
            <w:r>
              <w:rPr>
                <w:color w:val="1C3A36"/>
                <w:sz w:val="14"/>
              </w:rPr>
              <w:t>0.21</w:t>
            </w:r>
          </w:p>
        </w:tc>
        <w:tc>
          <w:tcPr>
            <w:tcW w:type="dxa" w:w="1066"/>
          </w:tcPr>
          <w:p>
            <w:pPr>
              <w:spacing w:after="20"/>
            </w:pPr>
            <w:r>
              <w:rPr>
                <w:color w:val="1C3A36"/>
                <w:sz w:val="14"/>
              </w:rPr>
              <w:t>House</w:t>
            </w:r>
          </w:p>
        </w:tc>
        <w:tc>
          <w:tcPr>
            <w:tcW w:type="dxa" w:w="7085"/>
          </w:tcPr>
          <w:p>
            <w:pPr>
              <w:spacing w:after="20"/>
            </w:pPr>
            <w:r>
              <w:rPr>
                <w:color w:val="1C3A36"/>
                <w:sz w:val="14"/>
              </w:rPr>
              <w:t>Weight, relative lens</w:t>
            </w:r>
          </w:p>
        </w:tc>
        <w:tc>
          <w:tcPr>
            <w:tcW w:type="dxa" w:w="1210"/>
          </w:tcPr>
          <w:p>
            <w:pPr>
              <w:spacing w:after="20"/>
            </w:pPr>
            <w:r>
              <w:rPr>
                <w:color w:val="1C3A36"/>
                <w:sz w:val="14"/>
              </w:rPr>
              <w:t>2026-08-06</w:t>
            </w:r>
          </w:p>
        </w:tc>
      </w:tr>
      <w:tr>
        <w:tc>
          <w:tcPr>
            <w:tcW w:type="dxa" w:w="518"/>
          </w:tcPr>
          <w:p>
            <w:pPr>
              <w:spacing w:after="20"/>
            </w:pPr>
            <w:r>
              <w:rPr>
                <w:color w:val="1C3A36"/>
                <w:sz w:val="14"/>
              </w:rPr>
              <w:t>104</w:t>
            </w:r>
          </w:p>
        </w:tc>
        <w:tc>
          <w:tcPr>
            <w:tcW w:type="dxa" w:w="2448"/>
          </w:tcPr>
          <w:p>
            <w:pPr>
              <w:spacing w:after="20"/>
            </w:pPr>
            <w:r>
              <w:rPr>
                <w:color w:val="1C3A36"/>
                <w:sz w:val="14"/>
              </w:rPr>
              <w:t>wc_pct_drev</w:t>
            </w:r>
          </w:p>
        </w:tc>
        <w:tc>
          <w:tcPr>
            <w:tcW w:type="dxa" w:w="1325"/>
          </w:tcPr>
          <w:p>
            <w:pPr>
              <w:spacing w:after="20"/>
            </w:pPr>
            <w:r>
              <w:rPr>
                <w:color w:val="1C3A36"/>
                <w:sz w:val="14"/>
              </w:rPr>
              <w:t>0.08</w:t>
            </w:r>
          </w:p>
        </w:tc>
        <w:tc>
          <w:tcPr>
            <w:tcW w:type="dxa" w:w="1066"/>
          </w:tcPr>
          <w:p>
            <w:pPr>
              <w:spacing w:after="20"/>
            </w:pPr>
            <w:r>
              <w:rPr>
                <w:color w:val="1C3A36"/>
                <w:sz w:val="14"/>
              </w:rPr>
              <w:t>House</w:t>
            </w:r>
          </w:p>
        </w:tc>
        <w:tc>
          <w:tcPr>
            <w:tcW w:type="dxa" w:w="7085"/>
          </w:tcPr>
          <w:p>
            <w:pPr>
              <w:spacing w:after="20"/>
            </w:pPr>
            <w:r>
              <w:rPr>
                <w:color w:val="1C3A36"/>
                <w:sz w:val="14"/>
              </w:rPr>
              <w:t>Change in working capital over change in revenue</w:t>
            </w:r>
          </w:p>
        </w:tc>
        <w:tc>
          <w:tcPr>
            <w:tcW w:type="dxa" w:w="1210"/>
          </w:tcPr>
          <w:p>
            <w:pPr>
              <w:spacing w:after="20"/>
            </w:pPr>
            <w:r>
              <w:rPr>
                <w:color w:val="1C3A36"/>
                <w:sz w:val="14"/>
              </w:rPr>
              <w:t>2026-08-06</w:t>
            </w:r>
          </w:p>
        </w:tc>
      </w:tr>
      <w:tr>
        <w:tc>
          <w:tcPr>
            <w:tcW w:type="dxa" w:w="518"/>
          </w:tcPr>
          <w:p>
            <w:pPr>
              <w:spacing w:after="20"/>
            </w:pPr>
            <w:r>
              <w:rPr>
                <w:color w:val="1C3A36"/>
                <w:sz w:val="14"/>
              </w:rPr>
              <w:t>105</w:t>
            </w:r>
          </w:p>
        </w:tc>
        <w:tc>
          <w:tcPr>
            <w:tcW w:type="dxa" w:w="2448"/>
          </w:tcPr>
          <w:p>
            <w:pPr>
              <w:spacing w:after="20"/>
            </w:pPr>
            <w:r>
              <w:rPr>
                <w:color w:val="1C3A36"/>
                <w:sz w:val="14"/>
              </w:rPr>
              <w:t>wd_term</w:t>
            </w:r>
          </w:p>
        </w:tc>
        <w:tc>
          <w:tcPr>
            <w:tcW w:type="dxa" w:w="1325"/>
          </w:tcPr>
          <w:p>
            <w:pPr>
              <w:spacing w:after="20"/>
            </w:pPr>
            <w:r>
              <w:rPr>
                <w:color w:val="1C3A36"/>
                <w:sz w:val="14"/>
              </w:rPr>
              <w:t>0.2</w:t>
            </w:r>
          </w:p>
        </w:tc>
        <w:tc>
          <w:tcPr>
            <w:tcW w:type="dxa" w:w="1066"/>
          </w:tcPr>
          <w:p>
            <w:pPr>
              <w:spacing w:after="20"/>
            </w:pPr>
            <w:r>
              <w:rPr>
                <w:color w:val="1C3A36"/>
                <w:sz w:val="14"/>
              </w:rPr>
              <w:t>House</w:t>
            </w:r>
          </w:p>
        </w:tc>
        <w:tc>
          <w:tcPr>
            <w:tcW w:type="dxa" w:w="7085"/>
          </w:tcPr>
          <w:p>
            <w:pPr>
              <w:spacing w:after="20"/>
            </w:pPr>
            <w:r>
              <w:rPr>
                <w:color w:val="1C3A36"/>
                <w:sz w:val="14"/>
              </w:rPr>
              <w:t>Terminal debt weight, normalised</w:t>
            </w:r>
          </w:p>
        </w:tc>
        <w:tc>
          <w:tcPr>
            <w:tcW w:type="dxa" w:w="1210"/>
          </w:tcPr>
          <w:p>
            <w:pPr>
              <w:spacing w:after="20"/>
            </w:pPr>
            <w:r>
              <w:rPr>
                <w:color w:val="1C3A36"/>
                <w:sz w:val="14"/>
              </w:rPr>
              <w:t>2026-08-06</w:t>
            </w:r>
          </w:p>
        </w:tc>
      </w:tr>
    </w:tbl>
    <w:p>
      <w:pPr>
        <w:spacing w:after="40"/>
      </w:pPr>
    </w:p>
    <w:p>
      <w:r>
        <w:br w:type="page"/>
      </w:r>
    </w:p>
    <w:p>
      <w:pPr>
        <w:spacing w:after="120" w:before="240"/>
      </w:pPr>
      <w:r>
        <w:rPr>
          <w:b/>
          <w:i w:val="0"/>
          <w:color w:val="1C3A36"/>
          <w:sz w:val="30"/>
        </w:rPr>
        <w:t>2  Source catalogue — the publications and institutions relied on</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333"/>
        <w:gridCol w:w="5803"/>
        <w:gridCol w:w="2880"/>
      </w:tblGrid>
      <w:tr>
        <w:tc>
          <w:tcPr>
            <w:tcW w:type="dxa" w:w="2664"/>
            <w:shd w:val="clear" w:color="auto" w:fill="EAF0EE"/>
          </w:tcPr>
          <w:p>
            <w:pPr>
              <w:spacing w:after="20"/>
            </w:pPr>
            <w:r>
              <w:rPr>
                <w:b/>
                <w:color w:val="1C3A36"/>
                <w:sz w:val="16"/>
              </w:rPr>
              <w:t>Source</w:t>
            </w:r>
          </w:p>
        </w:tc>
        <w:tc>
          <w:tcPr>
            <w:tcW w:type="dxa" w:w="2333"/>
            <w:shd w:val="clear" w:color="auto" w:fill="EAF0EE"/>
          </w:tcPr>
          <w:p>
            <w:pPr>
              <w:spacing w:after="20"/>
            </w:pPr>
            <w:r>
              <w:rPr>
                <w:b/>
                <w:color w:val="1C3A36"/>
                <w:sz w:val="16"/>
              </w:rPr>
              <w:t>Type</w:t>
            </w:r>
          </w:p>
        </w:tc>
        <w:tc>
          <w:tcPr>
            <w:tcW w:type="dxa" w:w="5803"/>
            <w:shd w:val="clear" w:color="auto" w:fill="EAF0EE"/>
          </w:tcPr>
          <w:p>
            <w:pPr>
              <w:spacing w:after="20"/>
            </w:pPr>
            <w:r>
              <w:rPr>
                <w:b/>
                <w:color w:val="1C3A36"/>
                <w:sz w:val="16"/>
              </w:rPr>
              <w:t>What it was used for</w:t>
            </w:r>
          </w:p>
        </w:tc>
        <w:tc>
          <w:tcPr>
            <w:tcW w:type="dxa" w:w="2880"/>
            <w:shd w:val="clear" w:color="auto" w:fill="EAF0EE"/>
          </w:tcPr>
          <w:p>
            <w:pPr>
              <w:spacing w:after="20"/>
            </w:pPr>
            <w:r>
              <w:rPr>
                <w:b/>
                <w:color w:val="1C3A36"/>
                <w:sz w:val="16"/>
              </w:rPr>
              <w:t>Reference</w:t>
            </w:r>
          </w:p>
        </w:tc>
      </w:tr>
      <w:tr>
        <w:tc>
          <w:tcPr>
            <w:tcW w:type="dxa" w:w="2664"/>
          </w:tcPr>
          <w:p>
            <w:pPr>
              <w:spacing w:after="20"/>
            </w:pPr>
            <w:r>
              <w:rPr>
                <w:color w:val="1C3A36"/>
                <w:sz w:val="16"/>
              </w:rPr>
              <w:t>Sinai Cement Company S.A.E. — exchange filings</w:t>
            </w:r>
          </w:p>
        </w:tc>
        <w:tc>
          <w:tcPr>
            <w:tcW w:type="dxa" w:w="2333"/>
          </w:tcPr>
          <w:p>
            <w:pPr>
              <w:spacing w:after="20"/>
            </w:pPr>
            <w:r>
              <w:rPr>
                <w:color w:val="1C3A36"/>
                <w:sz w:val="16"/>
              </w:rPr>
              <w:t>Company filing</w:t>
            </w:r>
          </w:p>
        </w:tc>
        <w:tc>
          <w:tcPr>
            <w:tcW w:type="dxa" w:w="5803"/>
          </w:tcPr>
          <w:p>
            <w:pPr>
              <w:spacing w:after="20"/>
            </w:pPr>
            <w:r>
              <w:rPr>
                <w:color w:val="1C3A36"/>
                <w:sz w:val="16"/>
              </w:rPr>
              <w:t>FY2023, FY2024 and FY2025 consolidated results; 9M-2025 results; EGM resolutions on the 2024 capital increase; issued-capital and share-count disclosures.</w:t>
            </w:r>
          </w:p>
        </w:tc>
        <w:tc>
          <w:tcPr>
            <w:tcW w:type="dxa" w:w="2880"/>
          </w:tcPr>
          <w:p>
            <w:pPr>
              <w:spacing w:after="20"/>
            </w:pPr>
            <w:r>
              <w:rPr>
                <w:color w:val="1C3A36"/>
                <w:sz w:val="16"/>
              </w:rPr>
              <w:t>Accessed indirectly through the press outlets below; the primary documents could not be retrieved from the company website or the exchange portal.</w:t>
            </w:r>
          </w:p>
        </w:tc>
      </w:tr>
      <w:tr>
        <w:tc>
          <w:tcPr>
            <w:tcW w:type="dxa" w:w="2664"/>
          </w:tcPr>
          <w:p>
            <w:pPr>
              <w:spacing w:after="20"/>
            </w:pPr>
            <w:r>
              <w:rPr>
                <w:color w:val="1C3A36"/>
                <w:sz w:val="16"/>
              </w:rPr>
              <w:t>Global Cement</w:t>
            </w:r>
          </w:p>
        </w:tc>
        <w:tc>
          <w:tcPr>
            <w:tcW w:type="dxa" w:w="2333"/>
          </w:tcPr>
          <w:p>
            <w:pPr>
              <w:spacing w:after="20"/>
            </w:pPr>
            <w:r>
              <w:rPr>
                <w:color w:val="1C3A36"/>
                <w:sz w:val="16"/>
              </w:rPr>
              <w:t>Trade press</w:t>
            </w:r>
          </w:p>
        </w:tc>
        <w:tc>
          <w:tcPr>
            <w:tcW w:type="dxa" w:w="5803"/>
          </w:tcPr>
          <w:p>
            <w:pPr>
              <w:spacing w:after="20"/>
            </w:pPr>
            <w:r>
              <w:rPr>
                <w:color w:val="1C3A36"/>
                <w:sz w:val="16"/>
              </w:rPr>
              <w:t>FY2024 turnaround (net profit EGP 3.07bn against a EGP 121.42mn FY2023 loss; sales EGP 6.42bn from EGP 4.28bn); Egyptian production, consumption, capacity and export volumes; the dormant-capacity revival programme.</w:t>
            </w:r>
          </w:p>
        </w:tc>
        <w:tc>
          <w:tcPr>
            <w:tcW w:type="dxa" w:w="2880"/>
          </w:tcPr>
          <w:p>
            <w:pPr>
              <w:spacing w:after="20"/>
            </w:pPr>
            <w:r>
              <w:rPr>
                <w:color w:val="1C3A36"/>
                <w:sz w:val="16"/>
              </w:rPr>
              <w:t>globalcement.com</w:t>
            </w:r>
          </w:p>
        </w:tc>
      </w:tr>
      <w:tr>
        <w:tc>
          <w:tcPr>
            <w:tcW w:type="dxa" w:w="2664"/>
          </w:tcPr>
          <w:p>
            <w:pPr>
              <w:spacing w:after="20"/>
            </w:pPr>
            <w:r>
              <w:rPr>
                <w:color w:val="1C3A36"/>
                <w:sz w:val="16"/>
              </w:rPr>
              <w:t>International Cement Review / cemnet</w:t>
            </w:r>
          </w:p>
        </w:tc>
        <w:tc>
          <w:tcPr>
            <w:tcW w:type="dxa" w:w="2333"/>
          </w:tcPr>
          <w:p>
            <w:pPr>
              <w:spacing w:after="20"/>
            </w:pPr>
            <w:r>
              <w:rPr>
                <w:color w:val="1C3A36"/>
                <w:sz w:val="16"/>
              </w:rPr>
              <w:t>Trade press</w:t>
            </w:r>
          </w:p>
        </w:tc>
        <w:tc>
          <w:tcPr>
            <w:tcW w:type="dxa" w:w="5803"/>
          </w:tcPr>
          <w:p>
            <w:pPr>
              <w:spacing w:after="20"/>
            </w:pPr>
            <w:r>
              <w:rPr>
                <w:color w:val="1C3A36"/>
                <w:sz w:val="16"/>
              </w:rPr>
              <w:t>Egyptian 2025 production up 18% to ~65Mt; 9M-2025 results; the Cementir acquisition of the Sinai White stake.</w:t>
            </w:r>
          </w:p>
        </w:tc>
        <w:tc>
          <w:tcPr>
            <w:tcW w:type="dxa" w:w="2880"/>
          </w:tcPr>
          <w:p>
            <w:pPr>
              <w:spacing w:after="20"/>
            </w:pPr>
            <w:r>
              <w:rPr>
                <w:color w:val="1C3A36"/>
                <w:sz w:val="16"/>
              </w:rPr>
              <w:t>cemnet.com</w:t>
            </w:r>
          </w:p>
        </w:tc>
      </w:tr>
      <w:tr>
        <w:tc>
          <w:tcPr>
            <w:tcW w:type="dxa" w:w="2664"/>
          </w:tcPr>
          <w:p>
            <w:pPr>
              <w:spacing w:after="20"/>
            </w:pPr>
            <w:r>
              <w:rPr>
                <w:color w:val="1C3A36"/>
                <w:sz w:val="16"/>
              </w:rPr>
              <w:t>Cementir Holding N.V. / Aalborg Portland Holding A/S</w:t>
            </w:r>
          </w:p>
        </w:tc>
        <w:tc>
          <w:tcPr>
            <w:tcW w:type="dxa" w:w="2333"/>
          </w:tcPr>
          <w:p>
            <w:pPr>
              <w:spacing w:after="20"/>
            </w:pPr>
            <w:r>
              <w:rPr>
                <w:color w:val="1C3A36"/>
                <w:sz w:val="16"/>
              </w:rPr>
              <w:t>Counterparty disclosure</w:t>
            </w:r>
          </w:p>
        </w:tc>
        <w:tc>
          <w:tcPr>
            <w:tcW w:type="dxa" w:w="5803"/>
          </w:tcPr>
          <w:p>
            <w:pPr>
              <w:spacing w:after="20"/>
            </w:pPr>
            <w:r>
              <w:rPr>
                <w:color w:val="1C3A36"/>
                <w:sz w:val="16"/>
              </w:rPr>
              <w:t>Acquisition of an additional 25.40% of Sinai White Portland Cement from Sinai Cement for EUR 30 million, completed 13 August 2024, taking Cementir to 96.5%. This is the transaction that resets the FY2024 base.</w:t>
            </w:r>
          </w:p>
        </w:tc>
        <w:tc>
          <w:tcPr>
            <w:tcW w:type="dxa" w:w="2880"/>
          </w:tcPr>
          <w:p>
            <w:pPr>
              <w:spacing w:after="20"/>
            </w:pPr>
            <w:r>
              <w:rPr>
                <w:color w:val="1C3A36"/>
                <w:sz w:val="16"/>
              </w:rPr>
              <w:t>cementirholding.com</w:t>
            </w:r>
          </w:p>
        </w:tc>
      </w:tr>
      <w:tr>
        <w:tc>
          <w:tcPr>
            <w:tcW w:type="dxa" w:w="2664"/>
          </w:tcPr>
          <w:p>
            <w:pPr>
              <w:spacing w:after="20"/>
            </w:pPr>
            <w:r>
              <w:rPr>
                <w:color w:val="1C3A36"/>
                <w:sz w:val="16"/>
              </w:rPr>
              <w:t>Vicat S.A. — results and regulatory filings</w:t>
            </w:r>
          </w:p>
        </w:tc>
        <w:tc>
          <w:tcPr>
            <w:tcW w:type="dxa" w:w="2333"/>
          </w:tcPr>
          <w:p>
            <w:pPr>
              <w:spacing w:after="20"/>
            </w:pPr>
            <w:r>
              <w:rPr>
                <w:color w:val="1C3A36"/>
                <w:sz w:val="16"/>
              </w:rPr>
              <w:t>Shareholder disclosure</w:t>
            </w:r>
          </w:p>
        </w:tc>
        <w:tc>
          <w:tcPr>
            <w:tcW w:type="dxa" w:w="5803"/>
          </w:tcPr>
          <w:p>
            <w:pPr>
              <w:spacing w:after="20"/>
            </w:pPr>
            <w:r>
              <w:rPr>
                <w:color w:val="1C3A36"/>
                <w:sz w:val="16"/>
              </w:rPr>
              <w:t>The 77.6% holding through Vicat Egypt Cement Industries; the July 2025 mandatory tender offer for 58,416,664 shares (22.4%) at EGP 41.00 per share, filed with the Financial Regulatory Authority.</w:t>
            </w:r>
          </w:p>
        </w:tc>
        <w:tc>
          <w:tcPr>
            <w:tcW w:type="dxa" w:w="2880"/>
          </w:tcPr>
          <w:p>
            <w:pPr>
              <w:spacing w:after="20"/>
            </w:pPr>
            <w:r>
              <w:rPr>
                <w:color w:val="1C3A36"/>
                <w:sz w:val="16"/>
              </w:rPr>
              <w:t>Reported via Reuters and Vicat H1-2025 results</w:t>
            </w:r>
          </w:p>
        </w:tc>
      </w:tr>
      <w:tr>
        <w:tc>
          <w:tcPr>
            <w:tcW w:type="dxa" w:w="2664"/>
          </w:tcPr>
          <w:p>
            <w:pPr>
              <w:spacing w:after="20"/>
            </w:pPr>
            <w:r>
              <w:rPr>
                <w:color w:val="1C3A36"/>
                <w:sz w:val="16"/>
              </w:rPr>
              <w:t>Daily News Egypt</w:t>
            </w:r>
          </w:p>
        </w:tc>
        <w:tc>
          <w:tcPr>
            <w:tcW w:type="dxa" w:w="2333"/>
          </w:tcPr>
          <w:p>
            <w:pPr>
              <w:spacing w:after="20"/>
            </w:pPr>
            <w:r>
              <w:rPr>
                <w:color w:val="1C3A36"/>
                <w:sz w:val="16"/>
              </w:rPr>
              <w:t>National press</w:t>
            </w:r>
          </w:p>
        </w:tc>
        <w:tc>
          <w:tcPr>
            <w:tcW w:type="dxa" w:w="5803"/>
          </w:tcPr>
          <w:p>
            <w:pPr>
              <w:spacing w:after="20"/>
            </w:pPr>
            <w:r>
              <w:rPr>
                <w:color w:val="1C3A36"/>
                <w:sz w:val="16"/>
              </w:rPr>
              <w:t>FY2024 results commentary including the ~5% market-share figure; central bank inflation projections and the May-2026 inflation print.</w:t>
            </w:r>
          </w:p>
        </w:tc>
        <w:tc>
          <w:tcPr>
            <w:tcW w:type="dxa" w:w="2880"/>
          </w:tcPr>
          <w:p>
            <w:pPr>
              <w:spacing w:after="20"/>
            </w:pPr>
            <w:r>
              <w:rPr>
                <w:color w:val="1C3A36"/>
                <w:sz w:val="16"/>
              </w:rPr>
              <w:t>dailynewsegypt.com</w:t>
            </w:r>
          </w:p>
        </w:tc>
      </w:tr>
      <w:tr>
        <w:tc>
          <w:tcPr>
            <w:tcW w:type="dxa" w:w="2664"/>
          </w:tcPr>
          <w:p>
            <w:pPr>
              <w:spacing w:after="20"/>
            </w:pPr>
            <w:r>
              <w:rPr>
                <w:color w:val="1C3A36"/>
                <w:sz w:val="16"/>
              </w:rPr>
              <w:t>Arab Finance</w:t>
            </w:r>
          </w:p>
        </w:tc>
        <w:tc>
          <w:tcPr>
            <w:tcW w:type="dxa" w:w="2333"/>
          </w:tcPr>
          <w:p>
            <w:pPr>
              <w:spacing w:after="20"/>
            </w:pPr>
            <w:r>
              <w:rPr>
                <w:color w:val="1C3A36"/>
                <w:sz w:val="16"/>
              </w:rPr>
              <w:t>Financial press</w:t>
            </w:r>
          </w:p>
        </w:tc>
        <w:tc>
          <w:tcPr>
            <w:tcW w:type="dxa" w:w="5803"/>
          </w:tcPr>
          <w:p>
            <w:pPr>
              <w:spacing w:after="20"/>
            </w:pPr>
            <w:r>
              <w:rPr>
                <w:color w:val="1C3A36"/>
                <w:sz w:val="16"/>
              </w:rPr>
              <w:t>FY2025 consolidated results; peer results for Misr Beni Suef Cement and Arabian Cement.</w:t>
            </w:r>
          </w:p>
        </w:tc>
        <w:tc>
          <w:tcPr>
            <w:tcW w:type="dxa" w:w="2880"/>
          </w:tcPr>
          <w:p>
            <w:pPr>
              <w:spacing w:after="20"/>
            </w:pPr>
            <w:r>
              <w:rPr>
                <w:color w:val="1C3A36"/>
                <w:sz w:val="16"/>
              </w:rPr>
              <w:t>arabfinance.com</w:t>
            </w:r>
          </w:p>
        </w:tc>
      </w:tr>
      <w:tr>
        <w:tc>
          <w:tcPr>
            <w:tcW w:type="dxa" w:w="2664"/>
          </w:tcPr>
          <w:p>
            <w:pPr>
              <w:spacing w:after="20"/>
            </w:pPr>
            <w:r>
              <w:rPr>
                <w:color w:val="1C3A36"/>
                <w:sz w:val="16"/>
              </w:rPr>
              <w:t>EnterpriseAM Egypt</w:t>
            </w:r>
          </w:p>
        </w:tc>
        <w:tc>
          <w:tcPr>
            <w:tcW w:type="dxa" w:w="2333"/>
          </w:tcPr>
          <w:p>
            <w:pPr>
              <w:spacing w:after="20"/>
            </w:pPr>
            <w:r>
              <w:rPr>
                <w:color w:val="1C3A36"/>
                <w:sz w:val="16"/>
              </w:rPr>
              <w:t>Financial press</w:t>
            </w:r>
          </w:p>
        </w:tc>
        <w:tc>
          <w:tcPr>
            <w:tcW w:type="dxa" w:w="5803"/>
          </w:tcPr>
          <w:p>
            <w:pPr>
              <w:spacing w:after="20"/>
            </w:pPr>
            <w:r>
              <w:rPr>
                <w:color w:val="1C3A36"/>
                <w:sz w:val="16"/>
              </w:rPr>
              <w:t>Egyptian cement pricing through 2025 and the 2026 estimate; the Egyptian Competition Authority's permanent removal of production quotas in July 2025.</w:t>
            </w:r>
          </w:p>
        </w:tc>
        <w:tc>
          <w:tcPr>
            <w:tcW w:type="dxa" w:w="2880"/>
          </w:tcPr>
          <w:p>
            <w:pPr>
              <w:spacing w:after="20"/>
            </w:pPr>
            <w:r>
              <w:rPr>
                <w:color w:val="1C3A36"/>
                <w:sz w:val="16"/>
              </w:rPr>
              <w:t>enterpriseam.com</w:t>
            </w:r>
          </w:p>
        </w:tc>
      </w:tr>
      <w:tr>
        <w:tc>
          <w:tcPr>
            <w:tcW w:type="dxa" w:w="2664"/>
          </w:tcPr>
          <w:p>
            <w:pPr>
              <w:spacing w:after="20"/>
            </w:pPr>
            <w:r>
              <w:rPr>
                <w:color w:val="1C3A36"/>
                <w:sz w:val="16"/>
              </w:rPr>
              <w:t>Central Bank of Egypt</w:t>
            </w:r>
          </w:p>
        </w:tc>
        <w:tc>
          <w:tcPr>
            <w:tcW w:type="dxa" w:w="2333"/>
          </w:tcPr>
          <w:p>
            <w:pPr>
              <w:spacing w:after="20"/>
            </w:pPr>
            <w:r>
              <w:rPr>
                <w:color w:val="1C3A36"/>
                <w:sz w:val="16"/>
              </w:rPr>
              <w:t>Central bank</w:t>
            </w:r>
          </w:p>
        </w:tc>
        <w:tc>
          <w:tcPr>
            <w:tcW w:type="dxa" w:w="5803"/>
          </w:tcPr>
          <w:p>
            <w:pPr>
              <w:spacing w:after="20"/>
            </w:pPr>
            <w:r>
              <w:rPr>
                <w:color w:val="1C3A36"/>
                <w:sz w:val="16"/>
              </w:rPr>
              <w:t>Main operation rate of 19.50%, held since 2 April 2026; the Q1-2026 Monetary Policy Report; the medium-term inflation target of 7% (±2pp) for Q4-2026 easing to 5%; the headline and core inflation series.</w:t>
            </w:r>
          </w:p>
        </w:tc>
        <w:tc>
          <w:tcPr>
            <w:tcW w:type="dxa" w:w="2880"/>
          </w:tcPr>
          <w:p>
            <w:pPr>
              <w:spacing w:after="20"/>
            </w:pPr>
            <w:r>
              <w:rPr>
                <w:color w:val="1C3A36"/>
                <w:sz w:val="16"/>
              </w:rPr>
              <w:t>cbe.org.eg</w:t>
            </w:r>
          </w:p>
        </w:tc>
      </w:tr>
      <w:tr>
        <w:tc>
          <w:tcPr>
            <w:tcW w:type="dxa" w:w="2664"/>
          </w:tcPr>
          <w:p>
            <w:pPr>
              <w:spacing w:after="20"/>
            </w:pPr>
            <w:r>
              <w:rPr>
                <w:color w:val="1C3A36"/>
                <w:sz w:val="16"/>
              </w:rPr>
              <w:t>Aswath Damodaran — country risk premium file</w:t>
            </w:r>
          </w:p>
        </w:tc>
        <w:tc>
          <w:tcPr>
            <w:tcW w:type="dxa" w:w="2333"/>
          </w:tcPr>
          <w:p>
            <w:pPr>
              <w:spacing w:after="20"/>
            </w:pPr>
            <w:r>
              <w:rPr>
                <w:color w:val="1C3A36"/>
                <w:sz w:val="16"/>
              </w:rPr>
              <w:t>Reference dataset</w:t>
            </w:r>
          </w:p>
        </w:tc>
        <w:tc>
          <w:tcPr>
            <w:tcW w:type="dxa" w:w="5803"/>
          </w:tcPr>
          <w:p>
            <w:pPr>
              <w:spacing w:after="20"/>
            </w:pPr>
            <w:r>
              <w:rPr>
                <w:color w:val="1C3A36"/>
                <w:sz w:val="16"/>
              </w:rPr>
              <w:t>Egypt equity risk premium and sovereign default spread on both the credit-default-swap and credit-rating bases, January 2026 edition. The original file only.</w:t>
            </w:r>
          </w:p>
        </w:tc>
        <w:tc>
          <w:tcPr>
            <w:tcW w:type="dxa" w:w="2880"/>
          </w:tcPr>
          <w:p>
            <w:pPr>
              <w:spacing w:after="20"/>
            </w:pPr>
            <w:r>
              <w:rPr>
                <w:color w:val="1C3A36"/>
                <w:sz w:val="16"/>
              </w:rPr>
              <w:t>Used for the cost-of-equity build</w:t>
            </w:r>
          </w:p>
        </w:tc>
      </w:tr>
      <w:tr>
        <w:tc>
          <w:tcPr>
            <w:tcW w:type="dxa" w:w="2664"/>
          </w:tcPr>
          <w:p>
            <w:pPr>
              <w:spacing w:after="20"/>
            </w:pPr>
            <w:r>
              <w:rPr>
                <w:color w:val="1C3A36"/>
                <w:sz w:val="16"/>
              </w:rPr>
              <w:t>PwC Worldwide Tax Summaries</w:t>
            </w:r>
          </w:p>
        </w:tc>
        <w:tc>
          <w:tcPr>
            <w:tcW w:type="dxa" w:w="2333"/>
          </w:tcPr>
          <w:p>
            <w:pPr>
              <w:spacing w:after="20"/>
            </w:pPr>
            <w:r>
              <w:rPr>
                <w:color w:val="1C3A36"/>
                <w:sz w:val="16"/>
              </w:rPr>
              <w:t>Tax reference</w:t>
            </w:r>
          </w:p>
        </w:tc>
        <w:tc>
          <w:tcPr>
            <w:tcW w:type="dxa" w:w="5803"/>
          </w:tcPr>
          <w:p>
            <w:pPr>
              <w:spacing w:after="20"/>
            </w:pPr>
            <w:r>
              <w:rPr>
                <w:color w:val="1C3A36"/>
                <w:sz w:val="16"/>
              </w:rPr>
              <w:t>Egyptian corporate income tax rate of 22.5%, unchanged for 2025-26.</w:t>
            </w:r>
          </w:p>
        </w:tc>
        <w:tc>
          <w:tcPr>
            <w:tcW w:type="dxa" w:w="2880"/>
          </w:tcPr>
          <w:p>
            <w:pPr>
              <w:spacing w:after="20"/>
            </w:pPr>
            <w:r>
              <w:rPr>
                <w:color w:val="1C3A36"/>
                <w:sz w:val="16"/>
              </w:rPr>
              <w:t>taxsummaries.pwc.com</w:t>
            </w:r>
          </w:p>
        </w:tc>
      </w:tr>
      <w:tr>
        <w:tc>
          <w:tcPr>
            <w:tcW w:type="dxa" w:w="2664"/>
          </w:tcPr>
          <w:p>
            <w:pPr>
              <w:spacing w:after="20"/>
            </w:pPr>
            <w:r>
              <w:rPr>
                <w:color w:val="1C3A36"/>
                <w:sz w:val="16"/>
              </w:rPr>
              <w:t>Egyptian Exchange daily price history</w:t>
            </w:r>
          </w:p>
        </w:tc>
        <w:tc>
          <w:tcPr>
            <w:tcW w:type="dxa" w:w="2333"/>
          </w:tcPr>
          <w:p>
            <w:pPr>
              <w:spacing w:after="20"/>
            </w:pPr>
            <w:r>
              <w:rPr>
                <w:color w:val="1C3A36"/>
                <w:sz w:val="16"/>
              </w:rPr>
              <w:t>Market data</w:t>
            </w:r>
          </w:p>
        </w:tc>
        <w:tc>
          <w:tcPr>
            <w:tcW w:type="dxa" w:w="5803"/>
          </w:tcPr>
          <w:p>
            <w:pPr>
              <w:spacing w:after="20"/>
            </w:pPr>
            <w:r>
              <w:rPr>
                <w:color w:val="1C3A36"/>
                <w:sz w:val="16"/>
              </w:rPr>
              <w:t>3,626 daily open, high, low, close and volume records from 2 January 2011 to 6 August 2026, supplied with the engagement. This series is the basis of the price chart, the volatility estimate, the beta regression and the liquidity diagnostics.</w:t>
            </w:r>
          </w:p>
        </w:tc>
        <w:tc>
          <w:tcPr>
            <w:tcW w:type="dxa" w:w="2880"/>
          </w:tcPr>
          <w:p>
            <w:pPr>
              <w:spacing w:after="20"/>
            </w:pPr>
            <w:r>
              <w:rPr>
                <w:color w:val="1C3A36"/>
                <w:sz w:val="16"/>
              </w:rPr>
              <w:t>Supplied as a file</w:t>
            </w:r>
          </w:p>
        </w:tc>
      </w:tr>
      <w:tr>
        <w:tc>
          <w:tcPr>
            <w:tcW w:type="dxa" w:w="2664"/>
          </w:tcPr>
          <w:p>
            <w:pPr>
              <w:spacing w:after="20"/>
            </w:pPr>
            <w:r>
              <w:rPr>
                <w:color w:val="1C3A36"/>
                <w:sz w:val="16"/>
              </w:rPr>
              <w:t>Global Energy Monitor plant register</w:t>
            </w:r>
          </w:p>
        </w:tc>
        <w:tc>
          <w:tcPr>
            <w:tcW w:type="dxa" w:w="2333"/>
          </w:tcPr>
          <w:p>
            <w:pPr>
              <w:spacing w:after="20"/>
            </w:pPr>
            <w:r>
              <w:rPr>
                <w:color w:val="1C3A36"/>
                <w:sz w:val="16"/>
              </w:rPr>
              <w:t>Sector database</w:t>
            </w:r>
          </w:p>
        </w:tc>
        <w:tc>
          <w:tcPr>
            <w:tcW w:type="dxa" w:w="5803"/>
          </w:tcPr>
          <w:p>
            <w:pPr>
              <w:spacing w:after="20"/>
            </w:pPr>
            <w:r>
              <w:rPr>
                <w:color w:val="1C3A36"/>
                <w:sz w:val="16"/>
              </w:rPr>
              <w:t>El Hassana plant configuration: two lines, approximately 3.8 million tonnes a year of cement capacity, commissioned from 1997.</w:t>
            </w:r>
          </w:p>
        </w:tc>
        <w:tc>
          <w:tcPr>
            <w:tcW w:type="dxa" w:w="2880"/>
          </w:tcPr>
          <w:p>
            <w:pPr>
              <w:spacing w:after="20"/>
            </w:pPr>
            <w:r>
              <w:rPr>
                <w:color w:val="1C3A36"/>
                <w:sz w:val="16"/>
              </w:rPr>
              <w:t>gem.wiki</w:t>
            </w:r>
          </w:p>
        </w:tc>
      </w:tr>
    </w:tbl>
    <w:p>
      <w:pPr>
        <w:spacing w:after="40"/>
      </w:pPr>
    </w:p>
    <w:p>
      <w:r>
        <w:br w:type="page"/>
      </w:r>
    </w:p>
    <w:p>
      <w:pPr>
        <w:spacing w:after="120" w:before="240"/>
      </w:pPr>
      <w:r>
        <w:rPr>
          <w:b/>
          <w:i w:val="0"/>
          <w:color w:val="1C3A36"/>
          <w:sz w:val="30"/>
        </w:rPr>
        <w:t>3  Figures that are DERIVED rather than sourced</w:t>
      </w:r>
    </w:p>
    <w:p>
      <w:pPr>
        <w:spacing w:after="100" w:before="0"/>
      </w:pPr>
      <w:r>
        <w:rPr>
          <w:b w:val="0"/>
          <w:i w:val="0"/>
          <w:color w:val="1C3A36"/>
          <w:sz w:val="19"/>
        </w:rPr>
        <w:t>These do not appear in any source. They are computed, and the method is given so a reader can reproduce or reject each one.</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0224"/>
      </w:tblGrid>
      <w:tr>
        <w:tc>
          <w:tcPr>
            <w:tcW w:type="dxa" w:w="3456"/>
            <w:shd w:val="clear" w:color="auto" w:fill="EAF0EE"/>
          </w:tcPr>
          <w:p>
            <w:pPr>
              <w:spacing w:after="20"/>
            </w:pPr>
            <w:r>
              <w:rPr>
                <w:b/>
                <w:color w:val="1C3A36"/>
                <w:sz w:val="16"/>
              </w:rPr>
              <w:t>Figure</w:t>
            </w:r>
          </w:p>
        </w:tc>
        <w:tc>
          <w:tcPr>
            <w:tcW w:type="dxa" w:w="10224"/>
            <w:shd w:val="clear" w:color="auto" w:fill="EAF0EE"/>
          </w:tcPr>
          <w:p>
            <w:pPr>
              <w:spacing w:after="20"/>
            </w:pPr>
            <w:r>
              <w:rPr>
                <w:b/>
                <w:color w:val="1C3A36"/>
                <w:sz w:val="16"/>
              </w:rPr>
              <w:t>How it was derived</w:t>
            </w:r>
          </w:p>
        </w:tc>
      </w:tr>
      <w:tr>
        <w:tc>
          <w:tcPr>
            <w:tcW w:type="dxa" w:w="3456"/>
          </w:tcPr>
          <w:p>
            <w:pPr>
              <w:spacing w:after="20"/>
            </w:pPr>
            <w:r>
              <w:rPr>
                <w:color w:val="1C3A36"/>
                <w:sz w:val="16"/>
              </w:rPr>
              <w:t>Share count — 260,812,477</w:t>
            </w:r>
          </w:p>
        </w:tc>
        <w:tc>
          <w:tcPr>
            <w:tcW w:type="dxa" w:w="10224"/>
          </w:tcPr>
          <w:p>
            <w:pPr>
              <w:spacing w:after="20"/>
            </w:pPr>
            <w:r>
              <w:rPr>
                <w:color w:val="1C3A36"/>
                <w:sz w:val="16"/>
              </w:rPr>
              <w:t>Triangulated three ways and cross-checked: issued capital of EGP 2,608,124,770 at EGP 10 par gives 261; the tender offer of 58,416,664 shares described as 22.4% back-solves to 261; quoted market capitalisation divided by the closing price gives 261. The three agree to within 0.01%. Aggregator prints of 141.46 million are irreconcilable with the market capitalisation printed beside them and are rejected.</w:t>
            </w:r>
          </w:p>
        </w:tc>
      </w:tr>
      <w:tr>
        <w:tc>
          <w:tcPr>
            <w:tcW w:type="dxa" w:w="3456"/>
          </w:tcPr>
          <w:p>
            <w:pPr>
              <w:spacing w:after="20"/>
            </w:pPr>
            <w:r>
              <w:rPr>
                <w:color w:val="1C3A36"/>
                <w:sz w:val="16"/>
              </w:rPr>
              <w:t>FY2024 EBIT, treasury income and the disposal gain</w:t>
            </w:r>
          </w:p>
        </w:tc>
        <w:tc>
          <w:tcPr>
            <w:tcW w:type="dxa" w:w="10224"/>
          </w:tcPr>
          <w:p>
            <w:pPr>
              <w:spacing w:after="20"/>
            </w:pPr>
            <w:r>
              <w:rPr>
                <w:color w:val="1C3A36"/>
                <w:sz w:val="16"/>
              </w:rPr>
              <w:t>The FY2024 profit bridge is closed against the one disclosed EBITDA figure. Depreciation is taken at 6.2% of revenue, giving EBIT; the disposal gain is EUR 30 million at the August-2024 exchange rate less an estimated EGP 100 million carrying value; treasury income is then whatever remains once disclosed profit after tax is grossed up at the statutory rate.</w:t>
            </w:r>
          </w:p>
        </w:tc>
      </w:tr>
      <w:tr>
        <w:tc>
          <w:tcPr>
            <w:tcW w:type="dxa" w:w="3456"/>
          </w:tcPr>
          <w:p>
            <w:pPr>
              <w:spacing w:after="20"/>
            </w:pPr>
            <w:r>
              <w:rPr>
                <w:color w:val="1C3A36"/>
                <w:sz w:val="16"/>
              </w:rPr>
              <w:t>FY2025 EBIT and EBITDA</w:t>
            </w:r>
          </w:p>
        </w:tc>
        <w:tc>
          <w:tcPr>
            <w:tcW w:type="dxa" w:w="10224"/>
          </w:tcPr>
          <w:p>
            <w:pPr>
              <w:spacing w:after="20"/>
            </w:pPr>
            <w:r>
              <w:rPr>
                <w:color w:val="1C3A36"/>
                <w:sz w:val="16"/>
              </w:rPr>
              <w:t>Disclosed profit after tax is grossed up at the statutory rate to give pre-tax profit; treasury income on the derived cash balance is deducted to give EBIT; depreciation at 4.6% of revenue is added back to give EBITDA.</w:t>
            </w:r>
          </w:p>
        </w:tc>
      </w:tr>
      <w:tr>
        <w:tc>
          <w:tcPr>
            <w:tcW w:type="dxa" w:w="3456"/>
          </w:tcPr>
          <w:p>
            <w:pPr>
              <w:spacing w:after="20"/>
            </w:pPr>
            <w:r>
              <w:rPr>
                <w:color w:val="1C3A36"/>
                <w:sz w:val="16"/>
              </w:rPr>
              <w:t>The cash balance</w:t>
            </w:r>
          </w:p>
        </w:tc>
        <w:tc>
          <w:tcPr>
            <w:tcW w:type="dxa" w:w="10224"/>
          </w:tcPr>
          <w:p>
            <w:pPr>
              <w:spacing w:after="20"/>
            </w:pPr>
            <w:r>
              <w:rPr>
                <w:color w:val="1C3A36"/>
                <w:sz w:val="16"/>
              </w:rPr>
              <w:t>No cash figure is separately obtainable. FY2024 cash is inferred as the derived FY2024 treasury income divided by the prevailing deposit yield; FY2025 cash is that balance grown by a stated multiple. This is the least well-evidenced material figure in the valuation and net cash is 37% of the equity value.</w:t>
            </w:r>
          </w:p>
        </w:tc>
      </w:tr>
      <w:tr>
        <w:tc>
          <w:tcPr>
            <w:tcW w:type="dxa" w:w="3456"/>
          </w:tcPr>
          <w:p>
            <w:pPr>
              <w:spacing w:after="20"/>
            </w:pPr>
            <w:r>
              <w:rPr>
                <w:color w:val="1C3A36"/>
                <w:sz w:val="16"/>
              </w:rPr>
              <w:t>Sales volume and realised price</w:t>
            </w:r>
          </w:p>
        </w:tc>
        <w:tc>
          <w:tcPr>
            <w:tcW w:type="dxa" w:w="10224"/>
          </w:tcPr>
          <w:p>
            <w:pPr>
              <w:spacing w:after="20"/>
            </w:pPr>
            <w:r>
              <w:rPr>
                <w:color w:val="1C3A36"/>
                <w:sz w:val="16"/>
              </w:rPr>
              <w:t>Volume is the Egyptian market size multiplied by the company's share; realised price is then disclosed revenue divided by that volume, so the build reproduces the reported top line exactly in all three historical years.</w:t>
            </w:r>
          </w:p>
        </w:tc>
      </w:tr>
      <w:tr>
        <w:tc>
          <w:tcPr>
            <w:tcW w:type="dxa" w:w="3456"/>
          </w:tcPr>
          <w:p>
            <w:pPr>
              <w:spacing w:after="20"/>
            </w:pPr>
            <w:r>
              <w:rPr>
                <w:color w:val="1C3A36"/>
                <w:sz w:val="16"/>
              </w:rPr>
              <w:t>Terminal return on invested capital</w:t>
            </w:r>
          </w:p>
        </w:tc>
        <w:tc>
          <w:tcPr>
            <w:tcW w:type="dxa" w:w="10224"/>
          </w:tcPr>
          <w:p>
            <w:pPr>
              <w:spacing w:after="20"/>
            </w:pPr>
            <w:r>
              <w:rPr>
                <w:color w:val="1C3A36"/>
                <w:sz w:val="16"/>
              </w:rPr>
              <w:t>Struck on replacement cost — 3.8Mt at USD 130 per annual tonne — rather than on book invested capital, which implies a nan% return because the plant is carried at 1997 cost through a five-fold devaluation.</w:t>
            </w:r>
          </w:p>
        </w:tc>
      </w:tr>
      <w:tr>
        <w:tc>
          <w:tcPr>
            <w:tcW w:type="dxa" w:w="3456"/>
          </w:tcPr>
          <w:p>
            <w:pPr>
              <w:spacing w:after="20"/>
            </w:pPr>
            <w:r>
              <w:rPr>
                <w:color w:val="1C3A36"/>
                <w:sz w:val="16"/>
              </w:rPr>
              <w:t>Beta — 1.00 adopted</w:t>
            </w:r>
          </w:p>
        </w:tc>
        <w:tc>
          <w:tcPr>
            <w:tcW w:type="dxa" w:w="10224"/>
          </w:tcPr>
          <w:p>
            <w:pPr>
              <w:spacing w:after="20"/>
            </w:pPr>
            <w:r>
              <w:rPr>
                <w:color w:val="1C3A36"/>
                <w:sz w:val="16"/>
              </w:rPr>
              <w:t>The shares are regressed against raw_indices/EG/EGX30.csv, the published index of the exchange they are listed on, on weekly returns over 4.94 years to 2026-09-03, with a lead and a lag beside the contemporaneous term so that a thinly traded share is not read as insensitive. It returns 0.591 with an R-squared of 0.024 over 255 observations. That R-squared is below the 5% usability floor, so the regression result is NOT used, and a same-country peer beta cannot be built either — the only other Egyptian cement issuer with a price history here fails the same test. 1.00 is adopted at tier 3 and corroborated: it sits inside the regression's own 90% interval of 0.134 to 1.048, and the Blume adjustment carries the point estimate to 0.727. A previous edition regressed against a 32-name equal-weight composite of the covered EGX library, SCEM excluded from its own index, returning 0.485; that regressor is withdrawn.</w:t>
            </w:r>
          </w:p>
        </w:tc>
      </w:tr>
    </w:tbl>
    <w:p>
      <w:pPr>
        <w:spacing w:after="40"/>
      </w:pPr>
    </w:p>
    <w:p>
      <w:r>
        <w:br w:type="page"/>
      </w:r>
    </w:p>
    <w:p>
      <w:pPr>
        <w:spacing w:after="120" w:before="240"/>
      </w:pPr>
      <w:r>
        <w:rPr>
          <w:b/>
          <w:i w:val="0"/>
          <w:color w:val="1C3A36"/>
          <w:sz w:val="30"/>
        </w:rPr>
        <w:t>4  Research trail</w:t>
      </w:r>
    </w:p>
    <w:p>
      <w:pPr>
        <w:spacing w:after="100" w:before="0"/>
      </w:pPr>
      <w:r>
        <w:rPr>
          <w:b w:val="0"/>
          <w:i w:val="0"/>
          <w:color w:val="1C3A36"/>
          <w:sz w:val="19"/>
        </w:rPr>
        <w:t>The research was carried out on 2026-08-06 across four concentric rings — global, country, industry and company — with 23 recorded findings. Each finding below names the source and the date that source carries.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094"/>
        <w:gridCol w:w="2275"/>
        <w:gridCol w:w="5846"/>
        <w:gridCol w:w="3053"/>
        <w:gridCol w:w="1267"/>
      </w:tblGrid>
      <w:tr>
        <w:tc>
          <w:tcPr>
            <w:tcW w:type="dxa" w:w="1094"/>
            <w:shd w:val="clear" w:color="auto" w:fill="EAF0EE"/>
          </w:tcPr>
          <w:p>
            <w:pPr>
              <w:spacing w:after="20"/>
            </w:pPr>
            <w:r>
              <w:rPr>
                <w:b/>
                <w:color w:val="1C3A36"/>
                <w:sz w:val="14"/>
              </w:rPr>
              <w:t>Ring</w:t>
            </w:r>
          </w:p>
        </w:tc>
        <w:tc>
          <w:tcPr>
            <w:tcW w:type="dxa" w:w="2275"/>
            <w:shd w:val="clear" w:color="auto" w:fill="EAF0EE"/>
          </w:tcPr>
          <w:p>
            <w:pPr>
              <w:spacing w:after="20"/>
            </w:pPr>
            <w:r>
              <w:rPr>
                <w:b/>
                <w:color w:val="1C3A36"/>
                <w:sz w:val="14"/>
              </w:rPr>
              <w:t>Topic</w:t>
            </w:r>
          </w:p>
        </w:tc>
        <w:tc>
          <w:tcPr>
            <w:tcW w:type="dxa" w:w="5846"/>
            <w:shd w:val="clear" w:color="auto" w:fill="EAF0EE"/>
          </w:tcPr>
          <w:p>
            <w:pPr>
              <w:spacing w:after="20"/>
            </w:pPr>
            <w:r>
              <w:rPr>
                <w:b/>
                <w:color w:val="1C3A36"/>
                <w:sz w:val="14"/>
              </w:rPr>
              <w:t>Finding</w:t>
            </w:r>
          </w:p>
        </w:tc>
        <w:tc>
          <w:tcPr>
            <w:tcW w:type="dxa" w:w="3053"/>
            <w:shd w:val="clear" w:color="auto" w:fill="EAF0EE"/>
          </w:tcPr>
          <w:p>
            <w:pPr>
              <w:spacing w:after="20"/>
            </w:pPr>
            <w:r>
              <w:rPr>
                <w:b/>
                <w:color w:val="1C3A36"/>
                <w:sz w:val="14"/>
              </w:rPr>
              <w:t>Source</w:t>
            </w:r>
          </w:p>
        </w:tc>
        <w:tc>
          <w:tcPr>
            <w:tcW w:type="dxa" w:w="1267"/>
            <w:shd w:val="clear" w:color="auto" w:fill="EAF0EE"/>
          </w:tcPr>
          <w:p>
            <w:pPr>
              <w:spacing w:after="20"/>
            </w:pPr>
            <w:r>
              <w:rPr>
                <w:b/>
                <w:color w:val="1C3A36"/>
                <w:sz w:val="14"/>
              </w:rPr>
              <w:t>Date</w:t>
            </w:r>
          </w:p>
        </w:tc>
      </w:tr>
      <w:tr>
        <w:tc>
          <w:tcPr>
            <w:tcW w:type="dxa" w:w="1094"/>
          </w:tcPr>
          <w:p>
            <w:pPr>
              <w:spacing w:after="20"/>
            </w:pPr>
            <w:r>
              <w:rPr>
                <w:color w:val="1C3A36"/>
                <w:sz w:val="14"/>
              </w:rPr>
              <w:t>Global</w:t>
            </w:r>
          </w:p>
        </w:tc>
        <w:tc>
          <w:tcPr>
            <w:tcW w:type="dxa" w:w="2275"/>
          </w:tcPr>
          <w:p>
            <w:pPr>
              <w:spacing w:after="20"/>
            </w:pPr>
            <w:r>
              <w:rPr>
                <w:color w:val="1C3A36"/>
                <w:sz w:val="14"/>
              </w:rPr>
              <w:t>rate cycle &amp; USD/FX regime</w:t>
            </w:r>
          </w:p>
        </w:tc>
        <w:tc>
          <w:tcPr>
            <w:tcW w:type="dxa" w:w="5846"/>
          </w:tcPr>
          <w:p>
            <w:pPr>
              <w:spacing w:after="20"/>
            </w:pPr>
            <w:r>
              <w:rPr>
                <w:color w:val="1C3A36"/>
                <w:sz w:val="14"/>
              </w:rPr>
              <w:t>Global easing cycle underway; Fed funds midpoint 3.63% (Jun-2026), which sets the backdrop against which Egypt's own 19.00% policy rate normalises</w:t>
            </w:r>
          </w:p>
        </w:tc>
        <w:tc>
          <w:tcPr>
            <w:tcW w:type="dxa" w:w="3053"/>
          </w:tcPr>
          <w:p>
            <w:pPr>
              <w:spacing w:after="20"/>
            </w:pPr>
            <w:r>
              <w:rPr>
                <w:color w:val="1C3A36"/>
                <w:sz w:val="14"/>
              </w:rPr>
              <w:t>US Federal Reserve, Federal Open Market Committee policy decisions and the published target range history</w:t>
            </w:r>
          </w:p>
        </w:tc>
        <w:tc>
          <w:tcPr>
            <w:tcW w:type="dxa" w:w="1267"/>
          </w:tcPr>
          <w:p>
            <w:pPr>
              <w:spacing w:after="20"/>
            </w:pPr>
            <w:r>
              <w:rPr>
                <w:color w:val="1C3A36"/>
                <w:sz w:val="14"/>
              </w:rPr>
              <w:t>2026-06-18</w:t>
            </w:r>
          </w:p>
        </w:tc>
      </w:tr>
      <w:tr>
        <w:tc>
          <w:tcPr>
            <w:tcW w:type="dxa" w:w="1094"/>
          </w:tcPr>
          <w:p>
            <w:pPr>
              <w:spacing w:after="20"/>
            </w:pPr>
            <w:r>
              <w:rPr>
                <w:color w:val="1C3A36"/>
                <w:sz w:val="14"/>
              </w:rPr>
              <w:t>Global</w:t>
            </w:r>
          </w:p>
        </w:tc>
        <w:tc>
          <w:tcPr>
            <w:tcW w:type="dxa" w:w="2275"/>
          </w:tcPr>
          <w:p>
            <w:pPr>
              <w:spacing w:after="20"/>
            </w:pPr>
            <w:r>
              <w:rPr>
                <w:color w:val="1C3A36"/>
                <w:sz w:val="14"/>
              </w:rPr>
              <w:t>commodity complex (input/output)</w:t>
            </w:r>
          </w:p>
        </w:tc>
        <w:tc>
          <w:tcPr>
            <w:tcW w:type="dxa" w:w="5846"/>
          </w:tcPr>
          <w:p>
            <w:pPr>
              <w:spacing w:after="20"/>
            </w:pPr>
            <w:r>
              <w:rPr>
                <w:color w:val="1C3A36"/>
                <w:sz w:val="14"/>
              </w:rPr>
              <w:t>Cement is an energy-conversion business: coal/petcoke and electricity are the dominant cash cost. Egypt's phased energy-subsidy reform keeps raising the local energy bill independent of the global fuel price</w:t>
            </w:r>
          </w:p>
        </w:tc>
        <w:tc>
          <w:tcPr>
            <w:tcW w:type="dxa" w:w="3053"/>
          </w:tcPr>
          <w:p>
            <w:pPr>
              <w:spacing w:after="20"/>
            </w:pPr>
            <w:r>
              <w:rPr>
                <w:color w:val="1C3A36"/>
                <w:sz w:val="14"/>
              </w:rPr>
              <w:t>Egypt Cement Industry Market Size &amp; Forecast Report 2020-2029 (production faces pressure from energy reform, currency volatility and raw-material management)</w:t>
            </w:r>
          </w:p>
        </w:tc>
        <w:tc>
          <w:tcPr>
            <w:tcW w:type="dxa" w:w="1267"/>
          </w:tcPr>
          <w:p>
            <w:pPr>
              <w:spacing w:after="20"/>
            </w:pPr>
            <w:r>
              <w:rPr>
                <w:color w:val="1C3A36"/>
                <w:sz w:val="14"/>
              </w:rPr>
              <w:t>2026-02-16</w:t>
            </w:r>
          </w:p>
        </w:tc>
      </w:tr>
      <w:tr>
        <w:tc>
          <w:tcPr>
            <w:tcW w:type="dxa" w:w="1094"/>
          </w:tcPr>
          <w:p>
            <w:pPr>
              <w:spacing w:after="20"/>
            </w:pPr>
            <w:r>
              <w:rPr>
                <w:color w:val="1C3A36"/>
                <w:sz w:val="14"/>
              </w:rPr>
              <w:t>Global</w:t>
            </w:r>
          </w:p>
        </w:tc>
        <w:tc>
          <w:tcPr>
            <w:tcW w:type="dxa" w:w="2275"/>
          </w:tcPr>
          <w:p>
            <w:pPr>
              <w:spacing w:after="20"/>
            </w:pPr>
            <w:r>
              <w:rPr>
                <w:color w:val="1C3A36"/>
                <w:sz w:val="14"/>
              </w:rPr>
              <w:t>global sector demand</w:t>
            </w:r>
          </w:p>
        </w:tc>
        <w:tc>
          <w:tcPr>
            <w:tcW w:type="dxa" w:w="5846"/>
          </w:tcPr>
          <w:p>
            <w:pPr>
              <w:spacing w:after="20"/>
            </w:pPr>
            <w:r>
              <w:rPr>
                <w:color w:val="1C3A36"/>
                <w:sz w:val="14"/>
              </w:rPr>
              <w:t>Cement is a non-traded-at-distance commodity — bulk sea freight limits the economic export radius, so global demand reaches SCEM only through the Mediterranean/East-African export basin, not through a world price</w:t>
            </w:r>
          </w:p>
        </w:tc>
        <w:tc>
          <w:tcPr>
            <w:tcW w:type="dxa" w:w="3053"/>
          </w:tcPr>
          <w:p>
            <w:pPr>
              <w:spacing w:after="20"/>
            </w:pPr>
            <w:r>
              <w:rPr>
                <w:color w:val="1C3A36"/>
                <w:sz w:val="14"/>
              </w:rPr>
              <w:t>Global Cement, Egypt country update</w:t>
            </w:r>
          </w:p>
        </w:tc>
        <w:tc>
          <w:tcPr>
            <w:tcW w:type="dxa" w:w="1267"/>
          </w:tcPr>
          <w:p>
            <w:pPr>
              <w:spacing w:after="20"/>
            </w:pPr>
            <w:r>
              <w:rPr>
                <w:color w:val="1C3A36"/>
                <w:sz w:val="14"/>
              </w:rPr>
              <w:t>2025-10-01</w:t>
            </w:r>
          </w:p>
        </w:tc>
      </w:tr>
      <w:tr>
        <w:tc>
          <w:tcPr>
            <w:tcW w:type="dxa" w:w="1094"/>
          </w:tcPr>
          <w:p>
            <w:pPr>
              <w:spacing w:after="20"/>
            </w:pPr>
            <w:r>
              <w:rPr>
                <w:color w:val="1C3A36"/>
                <w:sz w:val="14"/>
              </w:rPr>
              <w:t>Global</w:t>
            </w:r>
          </w:p>
        </w:tc>
        <w:tc>
          <w:tcPr>
            <w:tcW w:type="dxa" w:w="2275"/>
          </w:tcPr>
          <w:p>
            <w:pPr>
              <w:spacing w:after="20"/>
            </w:pPr>
            <w:r>
              <w:rPr>
                <w:color w:val="1C3A36"/>
                <w:sz w:val="14"/>
              </w:rPr>
              <w:t>trade / sanctions / supply chains</w:t>
            </w:r>
          </w:p>
        </w:tc>
        <w:tc>
          <w:tcPr>
            <w:tcW w:type="dxa" w:w="5846"/>
          </w:tcPr>
          <w:p>
            <w:pPr>
              <w:spacing w:after="20"/>
            </w:pPr>
            <w:r>
              <w:rPr>
                <w:color w:val="1C3A36"/>
                <w:sz w:val="14"/>
              </w:rPr>
              <w:t>Egyptian cement exports fell ~6% y/y to 18.5Mt in 2025, but the MIX inverted: finished-cement exports +66.6% to 12.5Mt while clinker exports fell ~38%</w:t>
            </w:r>
          </w:p>
        </w:tc>
        <w:tc>
          <w:tcPr>
            <w:tcW w:type="dxa" w:w="3053"/>
          </w:tcPr>
          <w:p>
            <w:pPr>
              <w:spacing w:after="20"/>
            </w:pPr>
            <w:r>
              <w:rPr>
                <w:color w:val="1C3A36"/>
                <w:sz w:val="14"/>
              </w:rPr>
              <w:t>Global Cement — Egyptian cement exports decline</w:t>
            </w:r>
          </w:p>
        </w:tc>
        <w:tc>
          <w:tcPr>
            <w:tcW w:type="dxa" w:w="1267"/>
          </w:tcPr>
          <w:p>
            <w:pPr>
              <w:spacing w:after="20"/>
            </w:pPr>
            <w:r>
              <w:rPr>
                <w:color w:val="1C3A36"/>
                <w:sz w:val="14"/>
              </w:rPr>
              <w:t>2026-01-01</w:t>
            </w:r>
          </w:p>
        </w:tc>
      </w:tr>
      <w:tr>
        <w:tc>
          <w:tcPr>
            <w:tcW w:type="dxa" w:w="1094"/>
          </w:tcPr>
          <w:p>
            <w:pPr>
              <w:spacing w:after="20"/>
            </w:pPr>
            <w:r>
              <w:rPr>
                <w:color w:val="1C3A36"/>
                <w:sz w:val="14"/>
              </w:rPr>
              <w:t>Country</w:t>
            </w:r>
          </w:p>
        </w:tc>
        <w:tc>
          <w:tcPr>
            <w:tcW w:type="dxa" w:w="2275"/>
          </w:tcPr>
          <w:p>
            <w:pPr>
              <w:spacing w:after="20"/>
            </w:pPr>
            <w:r>
              <w:rPr>
                <w:color w:val="1C3A36"/>
                <w:sz w:val="14"/>
              </w:rPr>
              <w:t>sovereign macro (inflation, policy rate, FX/deval risk)</w:t>
            </w:r>
          </w:p>
        </w:tc>
        <w:tc>
          <w:tcPr>
            <w:tcW w:type="dxa" w:w="5846"/>
          </w:tcPr>
          <w:p>
            <w:pPr>
              <w:spacing w:after="20"/>
            </w:pPr>
            <w:r>
              <w:rPr>
                <w:color w:val="1C3A36"/>
                <w:sz w:val="14"/>
              </w:rPr>
              <w:t>CBE main operation rate 19.50%, held since 2 Apr 2026. Headline inflation eased to 14.6% in May-2026 (core 13.8%); CBE's own Q4-2026 target is 7% (+/-2pp) and it expects the target to be missed on average in Q4-2026 before declining from Q1-2027</w:t>
            </w:r>
          </w:p>
        </w:tc>
        <w:tc>
          <w:tcPr>
            <w:tcW w:type="dxa" w:w="3053"/>
          </w:tcPr>
          <w:p>
            <w:pPr>
              <w:spacing w:after="20"/>
            </w:pPr>
            <w:r>
              <w:rPr>
                <w:color w:val="1C3A36"/>
                <w:sz w:val="14"/>
              </w:rPr>
              <w:t>Central Bank of Egypt — policy rate and Monetary Policy Report Q1-2026; CPI release</w:t>
            </w:r>
          </w:p>
        </w:tc>
        <w:tc>
          <w:tcPr>
            <w:tcW w:type="dxa" w:w="1267"/>
          </w:tcPr>
          <w:p>
            <w:pPr>
              <w:spacing w:after="20"/>
            </w:pPr>
            <w:r>
              <w:rPr>
                <w:color w:val="1C3A36"/>
                <w:sz w:val="14"/>
              </w:rPr>
              <w:t>2026-06-10</w:t>
            </w:r>
          </w:p>
        </w:tc>
      </w:tr>
      <w:tr>
        <w:tc>
          <w:tcPr>
            <w:tcW w:type="dxa" w:w="1094"/>
          </w:tcPr>
          <w:p>
            <w:pPr>
              <w:spacing w:after="20"/>
            </w:pPr>
            <w:r>
              <w:rPr>
                <w:color w:val="1C3A36"/>
                <w:sz w:val="14"/>
              </w:rPr>
              <w:t>Country</w:t>
            </w:r>
          </w:p>
        </w:tc>
        <w:tc>
          <w:tcPr>
            <w:tcW w:type="dxa" w:w="2275"/>
          </w:tcPr>
          <w:p>
            <w:pPr>
              <w:spacing w:after="20"/>
            </w:pPr>
            <w:r>
              <w:rPr>
                <w:color w:val="1C3A36"/>
                <w:sz w:val="14"/>
              </w:rPr>
              <w:t>sovereign macro (inflation, policy rate, FX/deval risk)</w:t>
            </w:r>
          </w:p>
        </w:tc>
        <w:tc>
          <w:tcPr>
            <w:tcW w:type="dxa" w:w="5846"/>
          </w:tcPr>
          <w:p>
            <w:pPr>
              <w:spacing w:after="20"/>
            </w:pPr>
            <w:r>
              <w:rPr>
                <w:color w:val="1C3A36"/>
                <w:sz w:val="14"/>
              </w:rPr>
              <w:t>Egypt 5-year CDS ~330bp (May-2026), materially tighter than the 2024 crisis peak</w:t>
            </w:r>
          </w:p>
        </w:tc>
        <w:tc>
          <w:tcPr>
            <w:tcW w:type="dxa" w:w="3053"/>
          </w:tcPr>
          <w:p>
            <w:pPr>
              <w:spacing w:after="20"/>
            </w:pPr>
            <w:r>
              <w:rPr>
                <w:color w:val="1C3A36"/>
                <w:sz w:val="14"/>
              </w:rPr>
              <w:t>Egypt 5Y CDS series</w:t>
            </w:r>
          </w:p>
        </w:tc>
        <w:tc>
          <w:tcPr>
            <w:tcW w:type="dxa" w:w="1267"/>
          </w:tcPr>
          <w:p>
            <w:pPr>
              <w:spacing w:after="20"/>
            </w:pPr>
            <w:r>
              <w:rPr>
                <w:color w:val="1C3A36"/>
                <w:sz w:val="14"/>
              </w:rPr>
              <w:t>2026-05-31</w:t>
            </w:r>
          </w:p>
        </w:tc>
      </w:tr>
      <w:tr>
        <w:tc>
          <w:tcPr>
            <w:tcW w:type="dxa" w:w="1094"/>
          </w:tcPr>
          <w:p>
            <w:pPr>
              <w:spacing w:after="20"/>
            </w:pPr>
            <w:r>
              <w:rPr>
                <w:color w:val="1C3A36"/>
                <w:sz w:val="14"/>
              </w:rPr>
              <w:t>Country</w:t>
            </w:r>
          </w:p>
        </w:tc>
        <w:tc>
          <w:tcPr>
            <w:tcW w:type="dxa" w:w="2275"/>
          </w:tcPr>
          <w:p>
            <w:pPr>
              <w:spacing w:after="20"/>
            </w:pPr>
            <w:r>
              <w:rPr>
                <w:color w:val="1C3A36"/>
                <w:sz w:val="14"/>
              </w:rPr>
              <w:t>regulatory environment (regulator, caps, tariffs, tax/subsidy)</w:t>
            </w:r>
          </w:p>
        </w:tc>
        <w:tc>
          <w:tcPr>
            <w:tcW w:type="dxa" w:w="5846"/>
          </w:tcPr>
          <w:p>
            <w:pPr>
              <w:spacing w:after="20"/>
            </w:pPr>
            <w:r>
              <w:rPr>
                <w:color w:val="1C3A36"/>
                <w:sz w:val="14"/>
              </w:rPr>
              <w:t>The Egyptian Competition Authority PERMANENTLY lifted cement production quotas in July 2025 (suspended from May 2025). The quota regime had capped output since 2021</w:t>
            </w:r>
          </w:p>
        </w:tc>
        <w:tc>
          <w:tcPr>
            <w:tcW w:type="dxa" w:w="3053"/>
          </w:tcPr>
          <w:p>
            <w:pPr>
              <w:spacing w:after="20"/>
            </w:pPr>
            <w:r>
              <w:rPr>
                <w:color w:val="1C3A36"/>
                <w:sz w:val="14"/>
              </w:rPr>
              <w:t>Egyptian Competition Authority, reported via EnterpriseAM / Global Cement</w:t>
            </w:r>
          </w:p>
        </w:tc>
        <w:tc>
          <w:tcPr>
            <w:tcW w:type="dxa" w:w="1267"/>
          </w:tcPr>
          <w:p>
            <w:pPr>
              <w:spacing w:after="20"/>
            </w:pPr>
            <w:r>
              <w:rPr>
                <w:color w:val="1C3A36"/>
                <w:sz w:val="14"/>
              </w:rPr>
              <w:t>2025-07-01</w:t>
            </w:r>
          </w:p>
        </w:tc>
      </w:tr>
      <w:tr>
        <w:tc>
          <w:tcPr>
            <w:tcW w:type="dxa" w:w="1094"/>
          </w:tcPr>
          <w:p>
            <w:pPr>
              <w:spacing w:after="20"/>
            </w:pPr>
            <w:r>
              <w:rPr>
                <w:color w:val="1C3A36"/>
                <w:sz w:val="14"/>
              </w:rPr>
              <w:t>Country</w:t>
            </w:r>
          </w:p>
        </w:tc>
        <w:tc>
          <w:tcPr>
            <w:tcW w:type="dxa" w:w="2275"/>
          </w:tcPr>
          <w:p>
            <w:pPr>
              <w:spacing w:after="20"/>
            </w:pPr>
            <w:r>
              <w:rPr>
                <w:color w:val="1C3A36"/>
                <w:sz w:val="14"/>
              </w:rPr>
              <w:t>regulatory environment (regulator, caps, tariffs, tax/subsidy)</w:t>
            </w:r>
          </w:p>
        </w:tc>
        <w:tc>
          <w:tcPr>
            <w:tcW w:type="dxa" w:w="5846"/>
          </w:tcPr>
          <w:p>
            <w:pPr>
              <w:spacing w:after="20"/>
            </w:pPr>
            <w:r>
              <w:rPr>
                <w:color w:val="1C3A36"/>
                <w:sz w:val="14"/>
              </w:rPr>
              <w:t>Egypt corporate income tax 22.5%, unchanged</w:t>
            </w:r>
          </w:p>
        </w:tc>
        <w:tc>
          <w:tcPr>
            <w:tcW w:type="dxa" w:w="3053"/>
          </w:tcPr>
          <w:p>
            <w:pPr>
              <w:spacing w:after="20"/>
            </w:pPr>
            <w:r>
              <w:rPr>
                <w:color w:val="1C3A36"/>
                <w:sz w:val="14"/>
              </w:rPr>
              <w:t>PwC Worldwide Tax Summaries (house Cost-of-Capital reference)</w:t>
            </w:r>
          </w:p>
        </w:tc>
        <w:tc>
          <w:tcPr>
            <w:tcW w:type="dxa" w:w="1267"/>
          </w:tcPr>
          <w:p>
            <w:pPr>
              <w:spacing w:after="20"/>
            </w:pPr>
            <w:r>
              <w:rPr>
                <w:color w:val="1C3A36"/>
                <w:sz w:val="14"/>
              </w:rPr>
              <w:t>2026-01-01</w:t>
            </w:r>
          </w:p>
        </w:tc>
      </w:tr>
      <w:tr>
        <w:tc>
          <w:tcPr>
            <w:tcW w:type="dxa" w:w="1094"/>
          </w:tcPr>
          <w:p>
            <w:pPr>
              <w:spacing w:after="20"/>
            </w:pPr>
            <w:r>
              <w:rPr>
                <w:color w:val="1C3A36"/>
                <w:sz w:val="14"/>
              </w:rPr>
              <w:t>Country</w:t>
            </w:r>
          </w:p>
        </w:tc>
        <w:tc>
          <w:tcPr>
            <w:tcW w:type="dxa" w:w="2275"/>
          </w:tcPr>
          <w:p>
            <w:pPr>
              <w:spacing w:after="20"/>
            </w:pPr>
            <w:r>
              <w:rPr>
                <w:color w:val="1C3A36"/>
                <w:sz w:val="14"/>
              </w:rPr>
              <w:t>fiscal / political events with sector read-through</w:t>
            </w:r>
          </w:p>
        </w:tc>
        <w:tc>
          <w:tcPr>
            <w:tcW w:type="dxa" w:w="5846"/>
          </w:tcPr>
          <w:p>
            <w:pPr>
              <w:spacing w:after="20"/>
            </w:pPr>
            <w:r>
              <w:rPr>
                <w:color w:val="1C3A36"/>
                <w:sz w:val="14"/>
              </w:rPr>
              <w:t>State-led housing, industrial and transport programmes are the marginal buyer of Egyptian cement; domestic consumption rose 13.4% to 54Mt in 2025 on that programme</w:t>
            </w:r>
          </w:p>
        </w:tc>
        <w:tc>
          <w:tcPr>
            <w:tcW w:type="dxa" w:w="3053"/>
          </w:tcPr>
          <w:p>
            <w:pPr>
              <w:spacing w:after="20"/>
            </w:pPr>
            <w:r>
              <w:rPr>
                <w:color w:val="1C3A36"/>
                <w:sz w:val="14"/>
              </w:rPr>
              <w:t>Global Cement — Update on Egypt</w:t>
            </w:r>
          </w:p>
        </w:tc>
        <w:tc>
          <w:tcPr>
            <w:tcW w:type="dxa" w:w="1267"/>
          </w:tcPr>
          <w:p>
            <w:pPr>
              <w:spacing w:after="20"/>
            </w:pPr>
            <w:r>
              <w:rPr>
                <w:color w:val="1C3A36"/>
                <w:sz w:val="14"/>
              </w:rPr>
              <w:t>2025-10-01</w:t>
            </w:r>
          </w:p>
        </w:tc>
      </w:tr>
      <w:tr>
        <w:tc>
          <w:tcPr>
            <w:tcW w:type="dxa" w:w="1094"/>
          </w:tcPr>
          <w:p>
            <w:pPr>
              <w:spacing w:after="20"/>
            </w:pPr>
            <w:r>
              <w:rPr>
                <w:color w:val="1C3A36"/>
                <w:sz w:val="14"/>
              </w:rPr>
              <w:t>Industry</w:t>
            </w:r>
          </w:p>
        </w:tc>
        <w:tc>
          <w:tcPr>
            <w:tcW w:type="dxa" w:w="2275"/>
          </w:tcPr>
          <w:p>
            <w:pPr>
              <w:spacing w:after="20"/>
            </w:pPr>
            <w:r>
              <w:rPr>
                <w:color w:val="1C3A36"/>
                <w:sz w:val="14"/>
              </w:rPr>
              <w:t>demand drivers &amp; capacity/supply balance</w:t>
            </w:r>
          </w:p>
        </w:tc>
        <w:tc>
          <w:tcPr>
            <w:tcW w:type="dxa" w:w="5846"/>
          </w:tcPr>
          <w:p>
            <w:pPr>
              <w:spacing w:after="20"/>
            </w:pPr>
            <w:r>
              <w:rPr>
                <w:color w:val="1C3A36"/>
                <w:sz w:val="14"/>
              </w:rPr>
              <w:t>2025 was the first year since 2008 that Egypt's cement supply-demand gap closed: domestic consumption 54Mt (+13.4% from 47.6Mt), production ~65Mt (+18% from 55Mt), operating utilisation ~98% against a nameplate 76Mt/yr across 46 lines</w:t>
            </w:r>
          </w:p>
        </w:tc>
        <w:tc>
          <w:tcPr>
            <w:tcW w:type="dxa" w:w="3053"/>
          </w:tcPr>
          <w:p>
            <w:pPr>
              <w:spacing w:after="20"/>
            </w:pPr>
            <w:r>
              <w:rPr>
                <w:color w:val="1C3A36"/>
                <w:sz w:val="14"/>
              </w:rPr>
              <w:t>Global Cement / cemnet (International Cement Review) — Egypt 2025 production</w:t>
            </w:r>
          </w:p>
        </w:tc>
        <w:tc>
          <w:tcPr>
            <w:tcW w:type="dxa" w:w="1267"/>
          </w:tcPr>
          <w:p>
            <w:pPr>
              <w:spacing w:after="20"/>
            </w:pPr>
            <w:r>
              <w:rPr>
                <w:color w:val="1C3A36"/>
                <w:sz w:val="14"/>
              </w:rPr>
              <w:t>2026-01-01</w:t>
            </w:r>
          </w:p>
        </w:tc>
      </w:tr>
      <w:tr>
        <w:tc>
          <w:tcPr>
            <w:tcW w:type="dxa" w:w="1094"/>
          </w:tcPr>
          <w:p>
            <w:pPr>
              <w:spacing w:after="20"/>
            </w:pPr>
            <w:r>
              <w:rPr>
                <w:color w:val="1C3A36"/>
                <w:sz w:val="14"/>
              </w:rPr>
              <w:t>Industry</w:t>
            </w:r>
          </w:p>
        </w:tc>
        <w:tc>
          <w:tcPr>
            <w:tcW w:type="dxa" w:w="2275"/>
          </w:tcPr>
          <w:p>
            <w:pPr>
              <w:spacing w:after="20"/>
            </w:pPr>
            <w:r>
              <w:rPr>
                <w:color w:val="1C3A36"/>
                <w:sz w:val="14"/>
              </w:rPr>
              <w:t>new entrants (named-competitor level)</w:t>
            </w:r>
          </w:p>
        </w:tc>
        <w:tc>
          <w:tcPr>
            <w:tcW w:type="dxa" w:w="5846"/>
          </w:tcPr>
          <w:p>
            <w:pPr>
              <w:spacing w:after="20"/>
            </w:pPr>
            <w:r>
              <w:rPr>
                <w:color w:val="1C3A36"/>
                <w:sz w:val="14"/>
              </w:rPr>
              <w:t>Seven to nine dormant production lines are under study for revival, potentially adding 12.6Mt of supply from 2H 2026 -- ~23% of 2025 domestic consumption, landing INSIDE the explicit forecast window</w:t>
            </w:r>
          </w:p>
        </w:tc>
        <w:tc>
          <w:tcPr>
            <w:tcW w:type="dxa" w:w="3053"/>
          </w:tcPr>
          <w:p>
            <w:pPr>
              <w:spacing w:after="20"/>
            </w:pPr>
            <w:r>
              <w:rPr>
                <w:color w:val="1C3A36"/>
                <w:sz w:val="14"/>
              </w:rPr>
              <w:t>Global Cement — Update on Egypt</w:t>
            </w:r>
          </w:p>
        </w:tc>
        <w:tc>
          <w:tcPr>
            <w:tcW w:type="dxa" w:w="1267"/>
          </w:tcPr>
          <w:p>
            <w:pPr>
              <w:spacing w:after="20"/>
            </w:pPr>
            <w:r>
              <w:rPr>
                <w:color w:val="1C3A36"/>
                <w:sz w:val="14"/>
              </w:rPr>
              <w:t>2025-10-01</w:t>
            </w:r>
          </w:p>
        </w:tc>
      </w:tr>
      <w:tr>
        <w:tc>
          <w:tcPr>
            <w:tcW w:type="dxa" w:w="1094"/>
          </w:tcPr>
          <w:p>
            <w:pPr>
              <w:spacing w:after="20"/>
            </w:pPr>
            <w:r>
              <w:rPr>
                <w:color w:val="1C3A36"/>
                <w:sz w:val="14"/>
              </w:rPr>
              <w:t>Industry</w:t>
            </w:r>
          </w:p>
        </w:tc>
        <w:tc>
          <w:tcPr>
            <w:tcW w:type="dxa" w:w="2275"/>
          </w:tcPr>
          <w:p>
            <w:pPr>
              <w:spacing w:after="20"/>
            </w:pPr>
            <w:r>
              <w:rPr>
                <w:color w:val="1C3A36"/>
                <w:sz w:val="14"/>
              </w:rPr>
              <w:t>pricing</w:t>
            </w:r>
          </w:p>
        </w:tc>
        <w:tc>
          <w:tcPr>
            <w:tcW w:type="dxa" w:w="5846"/>
          </w:tcPr>
          <w:p>
            <w:pPr>
              <w:spacing w:after="20"/>
            </w:pPr>
            <w:r>
              <w:rPr>
                <w:color w:val="1C3A36"/>
                <w:sz w:val="14"/>
              </w:rPr>
              <w:t>Egyptian cement prices roughly doubled to ~USD 81/t (EGP 3.9k) in 2025 from ~USD 50/t (EGP 2.1k) a year earlier, then are estimated to normalise to EGP 3,600-3,620/t in 2026e on ~1% higher demand and higher costs</w:t>
            </w:r>
          </w:p>
        </w:tc>
        <w:tc>
          <w:tcPr>
            <w:tcW w:type="dxa" w:w="3053"/>
          </w:tcPr>
          <w:p>
            <w:pPr>
              <w:spacing w:after="20"/>
            </w:pPr>
            <w:r>
              <w:rPr>
                <w:color w:val="1C3A36"/>
                <w:sz w:val="14"/>
              </w:rPr>
              <w:t>EnterpriseAM Egypt — how Egypt's cement industry fared in 2025 and what's next</w:t>
            </w:r>
          </w:p>
        </w:tc>
        <w:tc>
          <w:tcPr>
            <w:tcW w:type="dxa" w:w="1267"/>
          </w:tcPr>
          <w:p>
            <w:pPr>
              <w:spacing w:after="20"/>
            </w:pPr>
            <w:r>
              <w:rPr>
                <w:color w:val="1C3A36"/>
                <w:sz w:val="14"/>
              </w:rPr>
              <w:t>2026-01-01</w:t>
            </w:r>
          </w:p>
        </w:tc>
      </w:tr>
      <w:tr>
        <w:tc>
          <w:tcPr>
            <w:tcW w:type="dxa" w:w="1094"/>
          </w:tcPr>
          <w:p>
            <w:pPr>
              <w:spacing w:after="20"/>
            </w:pPr>
            <w:r>
              <w:rPr>
                <w:color w:val="1C3A36"/>
                <w:sz w:val="14"/>
              </w:rPr>
              <w:t>Industry</w:t>
            </w:r>
          </w:p>
        </w:tc>
        <w:tc>
          <w:tcPr>
            <w:tcW w:type="dxa" w:w="2275"/>
          </w:tcPr>
          <w:p>
            <w:pPr>
              <w:spacing w:after="20"/>
            </w:pPr>
            <w:r>
              <w:rPr>
                <w:color w:val="1C3A36"/>
                <w:sz w:val="14"/>
              </w:rPr>
              <w:t>technology substitution</w:t>
            </w:r>
          </w:p>
        </w:tc>
        <w:tc>
          <w:tcPr>
            <w:tcW w:type="dxa" w:w="5846"/>
          </w:tcPr>
          <w:p>
            <w:pPr>
              <w:spacing w:after="20"/>
            </w:pPr>
            <w:r>
              <w:rPr>
                <w:color w:val="1C3A36"/>
                <w:sz w:val="14"/>
              </w:rPr>
              <w:t>No material substitution threat to Portland cement in Egyptian construction over the forecast horizon; the live technology question is decarbonisation capex (alternative fuels, clinker factor), which is a cost/capex item rather than a demand substitution</w:t>
            </w:r>
          </w:p>
        </w:tc>
        <w:tc>
          <w:tcPr>
            <w:tcW w:type="dxa" w:w="3053"/>
          </w:tcPr>
          <w:p>
            <w:pPr>
              <w:spacing w:after="20"/>
            </w:pPr>
            <w:r>
              <w:rPr>
                <w:color w:val="1C3A36"/>
                <w:sz w:val="14"/>
              </w:rPr>
              <w:t>Global Cement sector coverage</w:t>
            </w:r>
          </w:p>
        </w:tc>
        <w:tc>
          <w:tcPr>
            <w:tcW w:type="dxa" w:w="1267"/>
          </w:tcPr>
          <w:p>
            <w:pPr>
              <w:spacing w:after="20"/>
            </w:pPr>
            <w:r>
              <w:rPr>
                <w:color w:val="1C3A36"/>
                <w:sz w:val="14"/>
              </w:rPr>
              <w:t>2025-10-01</w:t>
            </w:r>
          </w:p>
        </w:tc>
      </w:tr>
      <w:tr>
        <w:tc>
          <w:tcPr>
            <w:tcW w:type="dxa" w:w="1094"/>
          </w:tcPr>
          <w:p>
            <w:pPr>
              <w:spacing w:after="20"/>
            </w:pPr>
            <w:r>
              <w:rPr>
                <w:color w:val="1C3A36"/>
                <w:sz w:val="14"/>
              </w:rPr>
              <w:t>Industry</w:t>
            </w:r>
          </w:p>
        </w:tc>
        <w:tc>
          <w:tcPr>
            <w:tcW w:type="dxa" w:w="2275"/>
          </w:tcPr>
          <w:p>
            <w:pPr>
              <w:spacing w:after="20"/>
            </w:pPr>
            <w:r>
              <w:rPr>
                <w:color w:val="1C3A36"/>
                <w:sz w:val="14"/>
              </w:rPr>
              <w:t>competitor capacity / price moves (named)</w:t>
            </w:r>
          </w:p>
        </w:tc>
        <w:tc>
          <w:tcPr>
            <w:tcW w:type="dxa" w:w="5846"/>
          </w:tcPr>
          <w:p>
            <w:pPr>
              <w:spacing w:after="20"/>
            </w:pPr>
            <w:r>
              <w:rPr>
                <w:color w:val="1C3A36"/>
                <w:sz w:val="14"/>
              </w:rPr>
              <w:t>Named listed EGX peers all posted the same 2025 step-change: Misr Beni Suef (MBSC) attributable profit +373.7% to EGP 3.946bn on sales of EGP 5.700bn, EPS EGP 61.25, trailing P/E 6.44 and EV/EBITDA 5.03 on a EGP 13.73bn market cap; Arabian Cement (ARCC) FY2025 consolidated profit ~EGP 3.6bn (H1-2025 alone +305.5% to EGP 1.405bn)</w:t>
            </w:r>
          </w:p>
        </w:tc>
        <w:tc>
          <w:tcPr>
            <w:tcW w:type="dxa" w:w="3053"/>
          </w:tcPr>
          <w:p>
            <w:pPr>
              <w:spacing w:after="20"/>
            </w:pPr>
            <w:r>
              <w:rPr>
                <w:color w:val="1C3A36"/>
                <w:sz w:val="14"/>
              </w:rPr>
              <w:t>Arab Finance / EGX filings for MBSC and ARCC</w:t>
            </w:r>
          </w:p>
        </w:tc>
        <w:tc>
          <w:tcPr>
            <w:tcW w:type="dxa" w:w="1267"/>
          </w:tcPr>
          <w:p>
            <w:pPr>
              <w:spacing w:after="20"/>
            </w:pPr>
            <w:r>
              <w:rPr>
                <w:color w:val="1C3A36"/>
                <w:sz w:val="14"/>
              </w:rPr>
              <w:t>2026-03-01</w:t>
            </w:r>
          </w:p>
        </w:tc>
      </w:tr>
      <w:tr>
        <w:tc>
          <w:tcPr>
            <w:tcW w:type="dxa" w:w="1094"/>
          </w:tcPr>
          <w:p>
            <w:pPr>
              <w:spacing w:after="20"/>
            </w:pPr>
            <w:r>
              <w:rPr>
                <w:color w:val="1C3A36"/>
                <w:sz w:val="14"/>
              </w:rPr>
              <w:t>Company</w:t>
            </w:r>
          </w:p>
        </w:tc>
        <w:tc>
          <w:tcPr>
            <w:tcW w:type="dxa" w:w="2275"/>
          </w:tcPr>
          <w:p>
            <w:pPr>
              <w:spacing w:after="20"/>
            </w:pPr>
            <w:r>
              <w:rPr>
                <w:color w:val="1C3A36"/>
                <w:sz w:val="14"/>
              </w:rPr>
              <w:t>one-off base-resetting transactions</w:t>
            </w:r>
          </w:p>
        </w:tc>
        <w:tc>
          <w:tcPr>
            <w:tcW w:type="dxa" w:w="5846"/>
          </w:tcPr>
          <w:p>
            <w:pPr>
              <w:spacing w:after="20"/>
            </w:pPr>
            <w:r>
              <w:rPr>
                <w:color w:val="1C3A36"/>
                <w:sz w:val="14"/>
              </w:rPr>
              <w:t>SCEM sold its 25.40% stake in Sinai White Portland Cement to Aalborg Portland Holding (Cementir) for EUR 30m; completed 13 Aug 2024, taking Cementir to 96.5% of SWCC</w:t>
            </w:r>
          </w:p>
        </w:tc>
        <w:tc>
          <w:tcPr>
            <w:tcW w:type="dxa" w:w="3053"/>
          </w:tcPr>
          <w:p>
            <w:pPr>
              <w:spacing w:after="20"/>
            </w:pPr>
            <w:r>
              <w:rPr>
                <w:color w:val="1C3A36"/>
                <w:sz w:val="14"/>
              </w:rPr>
              <w:t>Cementir Holding N.V. corporate announcement; cemnet/ICR</w:t>
            </w:r>
          </w:p>
        </w:tc>
        <w:tc>
          <w:tcPr>
            <w:tcW w:type="dxa" w:w="1267"/>
          </w:tcPr>
          <w:p>
            <w:pPr>
              <w:spacing w:after="20"/>
            </w:pPr>
            <w:r>
              <w:rPr>
                <w:color w:val="1C3A36"/>
                <w:sz w:val="14"/>
              </w:rPr>
              <w:t>2024-08-13</w:t>
            </w:r>
          </w:p>
        </w:tc>
      </w:tr>
      <w:tr>
        <w:tc>
          <w:tcPr>
            <w:tcW w:type="dxa" w:w="1094"/>
          </w:tcPr>
          <w:p>
            <w:pPr>
              <w:spacing w:after="20"/>
            </w:pPr>
            <w:r>
              <w:rPr>
                <w:color w:val="1C3A36"/>
                <w:sz w:val="14"/>
              </w:rPr>
              <w:t>Company</w:t>
            </w:r>
          </w:p>
        </w:tc>
        <w:tc>
          <w:tcPr>
            <w:tcW w:type="dxa" w:w="2275"/>
          </w:tcPr>
          <w:p>
            <w:pPr>
              <w:spacing w:after="20"/>
            </w:pPr>
            <w:r>
              <w:rPr>
                <w:color w:val="1C3A36"/>
                <w:sz w:val="14"/>
              </w:rPr>
              <w:t>ownership / stake changes (named-transaction rule)</w:t>
            </w:r>
          </w:p>
        </w:tc>
        <w:tc>
          <w:tcPr>
            <w:tcW w:type="dxa" w:w="5846"/>
          </w:tcPr>
          <w:p>
            <w:pPr>
              <w:spacing w:after="20"/>
            </w:pPr>
            <w:r>
              <w:rPr>
                <w:color w:val="1C3A36"/>
                <w:sz w:val="14"/>
              </w:rPr>
              <w:t>Vicat, via Vicat Egypt Cement Industries, holds 77.6%; in Jul-2025 it filed a mandatory tender offer for the remaining 58,416,664 shares (22.4%) at EGP 41.00/share</w:t>
            </w:r>
          </w:p>
        </w:tc>
        <w:tc>
          <w:tcPr>
            <w:tcW w:type="dxa" w:w="3053"/>
          </w:tcPr>
          <w:p>
            <w:pPr>
              <w:spacing w:after="20"/>
            </w:pPr>
            <w:r>
              <w:rPr>
                <w:color w:val="1C3A36"/>
                <w:sz w:val="14"/>
              </w:rPr>
              <w:t>FRA filing reported via Reuters/TradingView; Vicat H1-2025 results</w:t>
            </w:r>
          </w:p>
        </w:tc>
        <w:tc>
          <w:tcPr>
            <w:tcW w:type="dxa" w:w="1267"/>
          </w:tcPr>
          <w:p>
            <w:pPr>
              <w:spacing w:after="20"/>
            </w:pPr>
            <w:r>
              <w:rPr>
                <w:color w:val="1C3A36"/>
                <w:sz w:val="14"/>
              </w:rPr>
              <w:t>2025-07-28</w:t>
            </w:r>
          </w:p>
        </w:tc>
      </w:tr>
      <w:tr>
        <w:tc>
          <w:tcPr>
            <w:tcW w:type="dxa" w:w="1094"/>
          </w:tcPr>
          <w:p>
            <w:pPr>
              <w:spacing w:after="20"/>
            </w:pPr>
            <w:r>
              <w:rPr>
                <w:color w:val="1C3A36"/>
                <w:sz w:val="14"/>
              </w:rPr>
              <w:t>Company</w:t>
            </w:r>
          </w:p>
        </w:tc>
        <w:tc>
          <w:tcPr>
            <w:tcW w:type="dxa" w:w="2275"/>
          </w:tcPr>
          <w:p>
            <w:pPr>
              <w:spacing w:after="20"/>
            </w:pPr>
            <w:r>
              <w:rPr>
                <w:color w:val="1C3A36"/>
                <w:sz w:val="14"/>
              </w:rPr>
              <w:t>management &amp; capital actions</w:t>
            </w:r>
          </w:p>
        </w:tc>
        <w:tc>
          <w:tcPr>
            <w:tcW w:type="dxa" w:w="5846"/>
          </w:tcPr>
          <w:p>
            <w:pPr>
              <w:spacing w:after="20"/>
            </w:pPr>
            <w:r>
              <w:rPr>
                <w:color w:val="1C3A36"/>
                <w:sz w:val="14"/>
              </w:rPr>
              <w:t>Feb-2024 EGM raised authorised capital to EGP 10bn and issued capital by EGP 1.68bn; 168.20m shares offered, 75.95% (127.74m) taken up by senior shareholders in phase 1. Issued capital now EGP 2,608,124,770 at EGP 10 par = 260,812,477 shares</w:t>
            </w:r>
          </w:p>
        </w:tc>
        <w:tc>
          <w:tcPr>
            <w:tcW w:type="dxa" w:w="3053"/>
          </w:tcPr>
          <w:p>
            <w:pPr>
              <w:spacing w:after="20"/>
            </w:pPr>
            <w:r>
              <w:rPr>
                <w:color w:val="1C3A36"/>
                <w:sz w:val="14"/>
              </w:rPr>
              <w:t>Sinai Cement EGM resolutions and capital-increase announcements via EGX</w:t>
            </w:r>
          </w:p>
        </w:tc>
        <w:tc>
          <w:tcPr>
            <w:tcW w:type="dxa" w:w="1267"/>
          </w:tcPr>
          <w:p>
            <w:pPr>
              <w:spacing w:after="20"/>
            </w:pPr>
            <w:r>
              <w:rPr>
                <w:color w:val="1C3A36"/>
                <w:sz w:val="14"/>
              </w:rPr>
              <w:t>2024-07-01</w:t>
            </w:r>
          </w:p>
        </w:tc>
      </w:tr>
      <w:tr>
        <w:tc>
          <w:tcPr>
            <w:tcW w:type="dxa" w:w="1094"/>
          </w:tcPr>
          <w:p>
            <w:pPr>
              <w:spacing w:after="20"/>
            </w:pPr>
            <w:r>
              <w:rPr>
                <w:color w:val="1C3A36"/>
                <w:sz w:val="14"/>
              </w:rPr>
              <w:t>Company</w:t>
            </w:r>
          </w:p>
        </w:tc>
        <w:tc>
          <w:tcPr>
            <w:tcW w:type="dxa" w:w="2275"/>
          </w:tcPr>
          <w:p>
            <w:pPr>
              <w:spacing w:after="20"/>
            </w:pPr>
            <w:r>
              <w:rPr>
                <w:color w:val="1C3A36"/>
                <w:sz w:val="14"/>
              </w:rPr>
              <w:t>official financial statements</w:t>
            </w:r>
          </w:p>
        </w:tc>
        <w:tc>
          <w:tcPr>
            <w:tcW w:type="dxa" w:w="5846"/>
          </w:tcPr>
          <w:p>
            <w:pPr>
              <w:spacing w:after="20"/>
            </w:pPr>
            <w:r>
              <w:rPr>
                <w:color w:val="1C3A36"/>
                <w:sz w:val="14"/>
              </w:rPr>
              <w:t>FY2023-FY2025 consolidated: revenue EGP 4.28bn / 6.42bn / 9.09bn; net profit after tax EGP -121.4m / +3,070m / +2,290m; FY2024 EPS attributable EGP 23.13 (FY2023 -0.88 restated); 9M-2025 net profit EGP 1.53bn</w:t>
            </w:r>
          </w:p>
        </w:tc>
        <w:tc>
          <w:tcPr>
            <w:tcW w:type="dxa" w:w="3053"/>
          </w:tcPr>
          <w:p>
            <w:pPr>
              <w:spacing w:after="20"/>
            </w:pPr>
            <w:r>
              <w:rPr>
                <w:color w:val="1C3A36"/>
                <w:sz w:val="14"/>
              </w:rPr>
              <w:t>EGX filings reported by Global Cement, cemnet/ICR, Daily News Egypt and Arab Finance</w:t>
            </w:r>
          </w:p>
        </w:tc>
        <w:tc>
          <w:tcPr>
            <w:tcW w:type="dxa" w:w="1267"/>
          </w:tcPr>
          <w:p>
            <w:pPr>
              <w:spacing w:after="20"/>
            </w:pPr>
            <w:r>
              <w:rPr>
                <w:color w:val="1C3A36"/>
                <w:sz w:val="14"/>
              </w:rPr>
              <w:t>2026-03-10</w:t>
            </w:r>
          </w:p>
        </w:tc>
      </w:tr>
      <w:tr>
        <w:tc>
          <w:tcPr>
            <w:tcW w:type="dxa" w:w="1094"/>
          </w:tcPr>
          <w:p>
            <w:pPr>
              <w:spacing w:after="20"/>
            </w:pPr>
            <w:r>
              <w:rPr>
                <w:color w:val="1C3A36"/>
                <w:sz w:val="14"/>
              </w:rPr>
              <w:t>Company</w:t>
            </w:r>
          </w:p>
        </w:tc>
        <w:tc>
          <w:tcPr>
            <w:tcW w:type="dxa" w:w="2275"/>
          </w:tcPr>
          <w:p>
            <w:pPr>
              <w:spacing w:after="20"/>
            </w:pPr>
            <w:r>
              <w:rPr>
                <w:color w:val="1C3A36"/>
                <w:sz w:val="14"/>
              </w:rPr>
              <w:t>regular disclosures</w:t>
            </w:r>
          </w:p>
        </w:tc>
        <w:tc>
          <w:tcPr>
            <w:tcW w:type="dxa" w:w="5846"/>
          </w:tcPr>
          <w:p>
            <w:pPr>
              <w:spacing w:after="20"/>
            </w:pPr>
            <w:r>
              <w:rPr>
                <w:color w:val="1C3A36"/>
                <w:sz w:val="14"/>
              </w:rPr>
              <w:t>Balance sheet: FY2024 total assets EGP 6,385.9m against total liabilities EGP 1,610.9m (equity EGP 4,775.1m -- the triple closes exactly). Latest reported total debt EGP 36.8m against ~EGP 5.2bn equity, i.e. debt/equity 0.7% and a NET CASH position</w:t>
            </w:r>
          </w:p>
        </w:tc>
        <w:tc>
          <w:tcPr>
            <w:tcW w:type="dxa" w:w="3053"/>
          </w:tcPr>
          <w:p>
            <w:pPr>
              <w:spacing w:after="20"/>
            </w:pPr>
            <w:r>
              <w:rPr>
                <w:color w:val="1C3A36"/>
                <w:sz w:val="14"/>
              </w:rPr>
              <w:t>EGX filings via aggregated financial summaries</w:t>
            </w:r>
          </w:p>
        </w:tc>
        <w:tc>
          <w:tcPr>
            <w:tcW w:type="dxa" w:w="1267"/>
          </w:tcPr>
          <w:p>
            <w:pPr>
              <w:spacing w:after="20"/>
            </w:pPr>
            <w:r>
              <w:rPr>
                <w:color w:val="1C3A36"/>
                <w:sz w:val="14"/>
              </w:rPr>
              <w:t>2026-03-10</w:t>
            </w:r>
          </w:p>
        </w:tc>
      </w:tr>
      <w:tr>
        <w:tc>
          <w:tcPr>
            <w:tcW w:type="dxa" w:w="1094"/>
          </w:tcPr>
          <w:p>
            <w:pPr>
              <w:spacing w:after="20"/>
            </w:pPr>
            <w:r>
              <w:rPr>
                <w:color w:val="1C3A36"/>
                <w:sz w:val="14"/>
              </w:rPr>
              <w:t>Company</w:t>
            </w:r>
          </w:p>
        </w:tc>
        <w:tc>
          <w:tcPr>
            <w:tcW w:type="dxa" w:w="2275"/>
          </w:tcPr>
          <w:p>
            <w:pPr>
              <w:spacing w:after="20"/>
            </w:pPr>
            <w:r>
              <w:rPr>
                <w:color w:val="1C3A36"/>
                <w:sz w:val="14"/>
              </w:rPr>
              <w:t>strategic plans &amp; guidance</w:t>
            </w:r>
          </w:p>
        </w:tc>
        <w:tc>
          <w:tcPr>
            <w:tcW w:type="dxa" w:w="5846"/>
          </w:tcPr>
          <w:p>
            <w:pPr>
              <w:spacing w:after="20"/>
            </w:pPr>
            <w:r>
              <w:rPr>
                <w:color w:val="1C3A36"/>
                <w:sz w:val="14"/>
              </w:rPr>
              <w:t>SCEM operates two lines at El Hassana, North Sinai, ~3.8Mt/yr cement capacity, and reported lifting its market share to ~5% of the Egyptian market</w:t>
            </w:r>
          </w:p>
        </w:tc>
        <w:tc>
          <w:tcPr>
            <w:tcW w:type="dxa" w:w="3053"/>
          </w:tcPr>
          <w:p>
            <w:pPr>
              <w:spacing w:after="20"/>
            </w:pPr>
            <w:r>
              <w:rPr>
                <w:color w:val="1C3A36"/>
                <w:sz w:val="14"/>
              </w:rPr>
              <w:t>Company profile and FY2024 results commentary via Daily News Egypt / Global Energy Monitor plant register</w:t>
            </w:r>
          </w:p>
        </w:tc>
        <w:tc>
          <w:tcPr>
            <w:tcW w:type="dxa" w:w="1267"/>
          </w:tcPr>
          <w:p>
            <w:pPr>
              <w:spacing w:after="20"/>
            </w:pPr>
            <w:r>
              <w:rPr>
                <w:color w:val="1C3A36"/>
                <w:sz w:val="14"/>
              </w:rPr>
              <w:t>2025-03-23</w:t>
            </w:r>
          </w:p>
        </w:tc>
      </w:tr>
    </w:tbl>
    <w:p>
      <w:pPr>
        <w:spacing w:after="40"/>
      </w:pPr>
    </w:p>
    <w:p>
      <w:pPr>
        <w:spacing w:after="80" w:before="200"/>
      </w:pPr>
      <w:r>
        <w:rPr>
          <w:b/>
          <w:i w:val="0"/>
          <w:color w:val="1C3A36"/>
          <w:sz w:val="23"/>
        </w:rPr>
        <w:t>Searches that returned nothing</w:t>
      </w:r>
    </w:p>
    <w:p>
      <w:pPr>
        <w:spacing w:after="100" w:before="0"/>
      </w:pPr>
      <w:r>
        <w:rPr>
          <w:b w:val="0"/>
          <w:i w:val="0"/>
          <w:color w:val="1C3A36"/>
          <w:sz w:val="19"/>
        </w:rPr>
        <w:t>Recorded because an absence of evidence shaped the model as much as the evidence did.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0512"/>
      </w:tblGrid>
      <w:tr>
        <w:tc>
          <w:tcPr>
            <w:tcW w:type="dxa" w:w="3168"/>
            <w:shd w:val="clear" w:color="auto" w:fill="EAF0EE"/>
          </w:tcPr>
          <w:p>
            <w:pPr>
              <w:spacing w:after="20"/>
            </w:pPr>
            <w:r>
              <w:rPr>
                <w:b/>
                <w:color w:val="1C3A36"/>
                <w:sz w:val="16"/>
              </w:rPr>
              <w:t>Topic</w:t>
            </w:r>
          </w:p>
        </w:tc>
        <w:tc>
          <w:tcPr>
            <w:tcW w:type="dxa" w:w="10512"/>
            <w:shd w:val="clear" w:color="auto" w:fill="EAF0EE"/>
          </w:tcPr>
          <w:p>
            <w:pPr>
              <w:spacing w:after="20"/>
            </w:pPr>
            <w:r>
              <w:rPr>
                <w:b/>
                <w:color w:val="1C3A36"/>
                <w:sz w:val="16"/>
              </w:rPr>
              <w:t>What was searched for</w:t>
            </w:r>
          </w:p>
        </w:tc>
      </w:tr>
      <w:tr>
        <w:tc>
          <w:tcPr>
            <w:tcW w:type="dxa" w:w="3168"/>
          </w:tcPr>
          <w:p>
            <w:pPr>
              <w:spacing w:after="20"/>
            </w:pPr>
            <w:r>
              <w:rPr>
                <w:color w:val="1C3A36"/>
                <w:sz w:val="16"/>
              </w:rPr>
              <w:t>IR communications (calls, presentations, releases)</w:t>
            </w:r>
          </w:p>
        </w:tc>
        <w:tc>
          <w:tcPr>
            <w:tcW w:type="dxa" w:w="10512"/>
          </w:tcPr>
          <w:p>
            <w:pPr>
              <w:spacing w:after="20"/>
            </w:pPr>
            <w:r>
              <w:rPr>
                <w:color w:val="1C3A36"/>
                <w:sz w:val="16"/>
              </w:rPr>
              <w:t>sinaicement.com investor relations, EGX disclosure portal, earnings-call transcripts and results presentations for FY2024/FY2025 -- every host refused by egress policy; no transcript or presentation obtainable from search either</w:t>
            </w:r>
          </w:p>
        </w:tc>
      </w:tr>
      <w:tr>
        <w:tc>
          <w:tcPr>
            <w:tcW w:type="dxa" w:w="3168"/>
          </w:tcPr>
          <w:p>
            <w:pPr>
              <w:spacing w:after="20"/>
            </w:pPr>
            <w:r>
              <w:rPr>
                <w:color w:val="1C3A36"/>
                <w:sz w:val="16"/>
              </w:rPr>
              <w:t>regular disclosures</w:t>
            </w:r>
          </w:p>
        </w:tc>
        <w:tc>
          <w:tcPr>
            <w:tcW w:type="dxa" w:w="10512"/>
          </w:tcPr>
          <w:p>
            <w:pPr>
              <w:spacing w:after="20"/>
            </w:pPr>
            <w:r>
              <w:rPr>
                <w:color w:val="1C3A36"/>
                <w:sz w:val="16"/>
              </w:rPr>
              <w:t>'Sinai Cement other income / investment income / treasury bills / deposits EGP' and '9M 2025 operating profit gross profit cost of sales' -- no interest-income, finance-income or below-EBIT line item is disclosed in any retrievable source; the income statement between revenue and net profit is not obtainable line by line</w:t>
            </w:r>
          </w:p>
        </w:tc>
      </w:tr>
      <w:tr>
        <w:tc>
          <w:tcPr>
            <w:tcW w:type="dxa" w:w="3168"/>
          </w:tcPr>
          <w:p>
            <w:pPr>
              <w:spacing w:after="20"/>
            </w:pPr>
            <w:r>
              <w:rPr>
                <w:color w:val="1C3A36"/>
                <w:sz w:val="16"/>
              </w:rPr>
              <w:t>strategic plans &amp; guidance</w:t>
            </w:r>
          </w:p>
        </w:tc>
        <w:tc>
          <w:tcPr>
            <w:tcW w:type="dxa" w:w="10512"/>
          </w:tcPr>
          <w:p>
            <w:pPr>
              <w:spacing w:after="20"/>
            </w:pPr>
            <w:r>
              <w:rPr>
                <w:color w:val="1C3A36"/>
                <w:sz w:val="16"/>
              </w:rPr>
              <w:t>'Sinai Cement capex / capital expenditure / investment plan / maintenance capex / free cash flow 2025 2026' -- no capital-expenditure figure, guidance or investment programme is disclosed in any retrievable source</w:t>
            </w:r>
          </w:p>
        </w:tc>
      </w:tr>
    </w:tbl>
    <w:p>
      <w:pPr>
        <w:spacing w:after="40"/>
      </w:pPr>
    </w:p>
    <w:p>
      <w:pPr>
        <w:spacing w:after="100" w:before="0"/>
      </w:pPr>
      <w:r>
        <w:rPr>
          <w:b w:val="0"/>
          <w:i w:val="0"/>
          <w:color w:val="1C3A36"/>
          <w:sz w:val="19"/>
        </w:rPr>
      </w:r>
    </w:p>
    <w:p>
      <w:pPr>
        <w:spacing w:after="100" w:before="0"/>
      </w:pPr>
      <w:r>
        <w:rPr>
          <w:b w:val="0"/>
          <w:i/>
          <w:color w:val="6E7B77"/>
          <w:sz w:val="16"/>
        </w:rPr>
        <w:t>Testahil · Independent valuation research · Educational analysis, not investment advice.</w:t>
      </w:r>
    </w:p>
    <w:sectPr w:rsidR="00FC693F" w:rsidRPr="0006063C" w:rsidSect="00034616">
      <w:pgSz w:w="15840" w:h="122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