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30 June 2026, the date of the latest disclosed balance sheet; issued 3 September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1,971mn against interest-bearing debt of EGP 1,283mn at 30 June 2026. Every figure in this study is read from the company's own audited and reviewed accounts.</w:t>
            </w:r>
          </w:p>
          <w:p>
            <w:pPr>
              <w:spacing w:after="100"/>
            </w:pPr>
            <w:r>
              <w:rPr>
                <w:b/>
                <w:color w:val="1C3A36"/>
                <w:sz w:val="19"/>
              </w:rPr>
              <w:t xml:space="preserve">Where the value lands. </w:t>
            </w:r>
            <w:r>
              <w:rPr>
                <w:color w:val="1C3A36"/>
                <w:sz w:val="19"/>
              </w:rPr>
              <w:t>The cash-flow lens — the value this study publishes — reads EGP 66.53, and the cross-checks around it span EGP 45.65 to EGP 65.57, against a market price of EGP 77.00 — -13.6%.</w:t>
            </w:r>
          </w:p>
        </w:tc>
      </w:tr>
    </w:tbl>
    <w:p>
      <w:pPr>
        <w:spacing w:after="40"/>
      </w:pPr>
    </w:p>
    <w:p>
      <w:pPr>
        <w:spacing w:after="120" w:before="280"/>
      </w:pPr>
      <w:r>
        <w:rPr>
          <w:b/>
          <w:i w:val="0"/>
          <w:color w:val="1C3A36"/>
          <w:sz w:val="30"/>
        </w:rPr>
        <w:t>Headline</w:t>
      </w:r>
    </w:p>
    <w:p>
      <w:pPr>
        <w:spacing w:after="120" w:before="0"/>
      </w:pPr>
      <w:r>
        <w:rPr>
          <w:b w:val="0"/>
          <w:i w:val="0"/>
          <w:color w:val="1C3A36"/>
          <w:sz w:val="21"/>
        </w:rPr>
        <w:t>Arabian Cement is worth EGP 66.53 a share on the cash-flow lens this study publishes, against a market price of EGP 77.00 on 3 September 2026 — -13.6%. The other reads span EGP 45.65 to EGP 65.57 and are published beside it rather than averaged into it, because they disagree for reasons a reader should see.</w:t>
      </w:r>
    </w:p>
    <w:p>
      <w:pPr>
        <w:spacing w:after="120" w:before="0"/>
      </w:pPr>
      <w:r>
        <w:rPr>
          <w:b w:val="0"/>
          <w:i w:val="0"/>
          <w:color w:val="1C3A36"/>
          <w:sz w:val="21"/>
        </w:rPr>
        <w:t>The shape of the range matters more than its width, and it is not symmetric. On the primary lens the bear corner is EGP 24.61 and the bull corner EGP 67.08 — barely above the central. Both corners move one business driver across the span this company's own audited accounts have printed, the EBITDA margin from 22.00% in FY2023 to 39.25% in FY2025, with the macro path held completely still. Essentially the whole range is downside: if the margin reverts to what this company earned in FY2023 the value is EGP 24.61. An earlier edition published a symmetric band of two margin points around the forecast and concealed that completely.</w:t>
      </w:r>
    </w:p>
    <w:p>
      <w:pPr>
        <w:spacing w:after="120" w:before="0"/>
      </w:pPr>
      <w:r>
        <w:rPr>
          <w:b w:val="0"/>
          <w:i w:val="0"/>
          <w:color w:val="1C3A36"/>
          <w:sz w:val="21"/>
        </w:rPr>
        <w:t>The disagreement with the market is not about the business, and the forecast itself is the evidence. It opens at an EBITDA margin of 39.03% against 39.25% in FY2025, audited — the best year this company has ever filed — and rises to 40.40% by the end of the window. There is essentially no operating upside left in it: a reader looking for the cautious assumption that produces this discount will not find one on the margin line. Section 1.11 sets out what a buyer at EGP 77.00 has to believe instead, and section 1.4 is where that belief has to live.</w:t>
      </w:r>
    </w:p>
    <w:p>
      <w:pPr>
        <w:spacing w:after="120" w:before="0"/>
      </w:pPr>
      <w:r>
        <w:rPr>
          <w:b w:val="0"/>
          <w:i w:val="0"/>
          <w:color w:val="1C3A36"/>
          <w:sz w:val="21"/>
        </w:rPr>
        <w:t>Three things about the company matter more than anything else in the model. It is one plant — about 5.0 million tonnes of cement a year in Suez governorate, one product, one country, and no diversification anywhere to absorb a shock. It holds more cash than debt: EGP 1,971mn against EGP 1,283mn of interest-bearing borrowings at 30 June 2026, which is why the enterprise-to-equity bridge adds rather than subtracts. And it has just filed the best year the Egyptian industry has had in more than a decade — audited profit up 210% on a 42.6% revenue step — with 12.6 million tonnes of dormant national capacity queuing to restart inside the forecast window.</w:t>
      </w:r>
    </w:p>
    <w:p>
      <w:pPr>
        <w:spacing w:after="120" w:before="0"/>
      </w:pPr>
      <w:r>
        <w:rPr>
          <w:b w:val="0"/>
          <w:i w:val="0"/>
          <w:color w:val="1C3A36"/>
          <w:sz w:val="21"/>
        </w:rPr>
        <w:t>What would change the answer is stated in section 7 and not buried: a cost of capital that normalises faster than the central bank's published path would raise this value materially, and beta is the input it would arrive through — the study's own most consequential contested judgement, worth +12.0% of value and published both ways rather than averaged.</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296"/>
        <w:gridCol w:w="1469"/>
        <w:gridCol w:w="1699"/>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699"/>
            <w:shd w:val="clear" w:color="auto" w:fill="EAF0EE"/>
          </w:tcPr>
          <w:p>
            <w:pPr>
              <w:spacing w:after="20"/>
            </w:pPr>
            <w:r>
              <w:rPr>
                <w:b/>
                <w:color w:val="1C3A36"/>
                <w:sz w:val="18"/>
              </w:rPr>
              <w:t>Terminal value % of EV</w:t>
            </w:r>
          </w:p>
        </w:tc>
      </w:tr>
      <w:tr>
        <w:tc>
          <w:tcPr>
            <w:tcW w:type="dxa" w:w="3672"/>
            <w:shd w:val="clear" w:color="auto" w:fill="F6F1E6"/>
          </w:tcPr>
          <w:p>
            <w:pPr>
              <w:spacing w:after="20"/>
            </w:pPr>
            <w:r>
              <w:rPr>
                <w:b/>
                <w:color w:val="1C3A36"/>
                <w:sz w:val="18"/>
              </w:rPr>
              <w:t>DCF (cash flow)</w:t>
            </w:r>
          </w:p>
        </w:tc>
        <w:tc>
          <w:tcPr>
            <w:tcW w:type="dxa" w:w="1944"/>
            <w:shd w:val="clear" w:color="auto" w:fill="F6F1E6"/>
          </w:tcPr>
          <w:p>
            <w:pPr>
              <w:spacing w:after="20"/>
              <w:jc w:val="right"/>
            </w:pPr>
            <w:r>
              <w:rPr>
                <w:b/>
                <w:color w:val="1C3A36"/>
                <w:sz w:val="18"/>
              </w:rPr>
              <w:t>66.53</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c>
          <w:tcPr>
            <w:tcW w:type="dxa" w:w="1699"/>
            <w:shd w:val="clear" w:color="auto" w:fill="F6F1E6"/>
          </w:tcPr>
          <w:p>
            <w:pPr>
              <w:spacing w:after="20"/>
              <w:jc w:val="right"/>
            </w:pPr>
            <w:r>
              <w:rPr>
                <w:b/>
                <w:color w:val="1C3A36"/>
                <w:sz w:val="18"/>
              </w:rPr>
              <w:t>53.5%</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45.65</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c>
          <w:tcPr>
            <w:tcW w:type="dxa" w:w="1699"/>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65.57</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c>
          <w:tcPr>
            <w:tcW w:type="dxa" w:w="1699"/>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49.64</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c>
          <w:tcPr>
            <w:tcW w:type="dxa" w:w="1699"/>
          </w:tcPr>
          <w:p>
            <w:pPr>
              <w:spacing w:after="20"/>
              <w:jc w:val="right"/>
            </w:pPr>
            <w:r>
              <w:rPr>
                <w:color w:val="1C3A36"/>
                <w:sz w:val="18"/>
              </w:rPr>
              <w:t>—</w:t>
            </w:r>
          </w:p>
        </w:tc>
      </w:tr>
      <w:tr>
        <w:tc>
          <w:tcPr>
            <w:tcW w:type="dxa" w:w="3672"/>
          </w:tcPr>
          <w:p>
            <w:pPr>
              <w:spacing w:after="20"/>
            </w:pPr>
            <w:r>
              <w:rPr>
                <w:color w:val="1C3A36"/>
                <w:sz w:val="18"/>
              </w:rPr>
              <w:t>Range across the reads</w:t>
            </w:r>
          </w:p>
        </w:tc>
        <w:tc>
          <w:tcPr>
            <w:tcW w:type="dxa" w:w="1944"/>
          </w:tcPr>
          <w:p>
            <w:pPr>
              <w:spacing w:after="20"/>
              <w:jc w:val="right"/>
            </w:pPr>
            <w:r>
              <w:rPr>
                <w:color w:val="1C3A36"/>
                <w:sz w:val="18"/>
              </w:rPr>
              <w:t>45.65 – 65.57</w:t>
            </w:r>
          </w:p>
        </w:tc>
        <w:tc>
          <w:tcPr>
            <w:tcW w:type="dxa" w:w="1296"/>
          </w:tcPr>
          <w:p>
            <w:pPr>
              <w:spacing w:after="20"/>
              <w:jc w:val="right"/>
            </w:pPr>
            <w:r>
              <w:rPr>
                <w:color w:val="1C3A36"/>
                <w:sz w:val="18"/>
              </w:rPr>
              <w:t>—</w:t>
            </w:r>
          </w:p>
        </w:tc>
        <w:tc>
          <w:tcPr>
            <w:tcW w:type="dxa" w:w="1469"/>
          </w:tcPr>
          <w:p>
            <w:pPr>
              <w:spacing w:after="20"/>
              <w:jc w:val="right"/>
            </w:pPr>
            <w:r>
              <w:rPr>
                <w:color w:val="1C3A36"/>
                <w:sz w:val="18"/>
              </w:rPr>
              <w:t>-40.7% to -14.8%</w:t>
            </w:r>
          </w:p>
        </w:tc>
        <w:tc>
          <w:tcPr>
            <w:tcW w:type="dxa" w:w="1699"/>
          </w:tcPr>
          <w:p>
            <w:pPr>
              <w:spacing w:after="20"/>
              <w:jc w:val="right"/>
            </w:pPr>
            <w:r>
              <w:rPr>
                <w:color w:val="1C3A36"/>
                <w:sz w:val="18"/>
              </w:rPr>
              <w:t>—</w:t>
            </w:r>
          </w:p>
        </w:tc>
      </w:tr>
      <w:tr>
        <w:tc>
          <w:tcPr>
            <w:tcW w:type="dxa" w:w="3672"/>
          </w:tcPr>
          <w:p>
            <w:pPr>
              <w:spacing w:after="20"/>
            </w:pPr>
            <w:r>
              <w:rPr>
                <w:color w:val="1C3A36"/>
                <w:sz w:val="18"/>
              </w:rPr>
              <w:t>Market price, latest known close (3 September 2026)</w:t>
            </w:r>
          </w:p>
        </w:tc>
        <w:tc>
          <w:tcPr>
            <w:tcW w:type="dxa" w:w="1944"/>
          </w:tcPr>
          <w:p>
            <w:pPr>
              <w:spacing w:after="20"/>
              <w:jc w:val="right"/>
            </w:pPr>
            <w:r>
              <w:rPr>
                <w:color w:val="1C3A36"/>
                <w:sz w:val="18"/>
              </w:rPr>
              <w:t>77.00</w:t>
            </w:r>
          </w:p>
        </w:tc>
        <w:tc>
          <w:tcPr>
            <w:tcW w:type="dxa" w:w="1296"/>
          </w:tcPr>
          <w:p>
            <w:pPr>
              <w:spacing w:after="20"/>
              <w:jc w:val="right"/>
            </w:pPr>
            <w:r>
              <w:rPr>
                <w:color w:val="1C3A36"/>
                <w:sz w:val="18"/>
              </w:rPr>
              <w:t>—</w:t>
            </w:r>
          </w:p>
        </w:tc>
        <w:tc>
          <w:tcPr>
            <w:tcW w:type="dxa" w:w="1469"/>
          </w:tcPr>
          <w:p>
            <w:pPr>
              <w:spacing w:after="20"/>
              <w:jc w:val="right"/>
            </w:pPr>
            <w:r>
              <w:rPr>
                <w:color w:val="1C3A36"/>
                <w:sz w:val="18"/>
              </w:rPr>
              <w:t>—</w:t>
            </w:r>
          </w:p>
        </w:tc>
        <w:tc>
          <w:tcPr>
            <w:tcW w:type="dxa" w:w="1699"/>
          </w:tcPr>
          <w:p>
            <w:pPr>
              <w:spacing w:after="20"/>
              <w:jc w:val="right"/>
            </w:pPr>
            <w:r>
              <w:rPr>
                <w:color w:val="1C3A36"/>
                <w:sz w:val="18"/>
              </w:rPr>
              <w:t>—</w:t>
            </w:r>
          </w:p>
        </w:tc>
      </w:tr>
    </w:tbl>
    <w:p>
      <w:pPr>
        <w:spacing w:after="40"/>
      </w:pPr>
    </w:p>
    <w:p>
      <w:pPr>
        <w:spacing w:after="200" w:before="0"/>
      </w:pPr>
      <w:r>
        <w:rPr>
          <w:b w:val="0"/>
          <w:i/>
          <w:color w:val="6E7B77"/>
          <w:sz w:val="17"/>
        </w:rPr>
        <w:t>The cash-flow lens IS the value this study publishes. The others are cross-checks, shown at the same size so a reader can see where they disagree with it rather than an average that hides the disagreement. A previous edition blended all four at fixed weights of 50, 20, 22 and 8 per cent and published EGP 58.56; those weights were chosen rather than tested, and averaging four methods makes a fifth one nobody has checked. Normalised earnings is shown as a diagnostic and is not a valuation of this company: it capitalises a mid-cycle margin at a nominal rate, and section 1.7 shows growth destroying value here.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Company overview</w:t>
      </w:r>
    </w:p>
    <w:p>
      <w:pPr>
        <w:spacing w:after="120" w:before="0"/>
      </w:pPr>
      <w:r>
        <w:rPr>
          <w:b w:val="0"/>
          <w:i w:val="0"/>
          <w:color w:val="1C3A36"/>
          <w:sz w:val="21"/>
        </w:rPr>
        <w:t>Arabian Cement Company S.A.E. runs two production lines at a single site in Suez governorate with a nameplate capacity of about 5.0 million tonnes of grey cement a year, roughly 6.6% of Egypt's nominal capacity. It has been listed on the Egyptian Exchange since May 2014. Every figure about the company in this study is read from its own audited and reviewed accounts; nothing about its reported history comes from a data vendor or a broker.</w:t>
      </w:r>
    </w:p>
    <w:p>
      <w:pPr>
        <w:spacing w:after="120" w:before="0"/>
      </w:pPr>
      <w:r>
        <w:rPr>
          <w:b w:val="0"/>
          <w:i w:val="0"/>
          <w:color w:val="1C3A36"/>
          <w:sz w:val="21"/>
        </w:rPr>
        <w:t>What it sells is close to a commodity, and that is the first fact the lens follows from. Essentially all revenue is cement and clinker out of one plant, so there are no parts to sum: this is valued as a single operating company. Of the 4.9 million tonnes it sold in FY2025, 26.8% left as raw clinker for export — the lowest-value and highest-carbon thing it ships — and the rest as cement into a domestic market it cannot differentiate itself within.</w:t>
      </w:r>
    </w:p>
    <w:p>
      <w:pPr>
        <w:spacing w:after="120" w:before="0"/>
      </w:pPr>
      <w:r>
        <w:rPr>
          <w:b w:val="0"/>
          <w:i w:val="0"/>
          <w:color w:val="1C3A36"/>
          <w:sz w:val="21"/>
        </w:rPr>
        <w:t>The balance sheet is the unusual part and it works in the shareholder's favour. At 30 June 2026 the company held EGP 1,971mn of cash against EGP 1,283mn of interest-bearing debt, so it is net cash. Section 1.7 sets out how that reaches equity value, and section 1.4 why a debt book that changed currency inside the period is measured against its facility notes rather than against a trailing effective rate the accounts cannot produce.</w:t>
      </w:r>
    </w:p>
    <w:p>
      <w:pPr>
        <w:spacing w:after="120" w:before="0"/>
      </w:pPr>
      <w:r>
        <w:rPr>
          <w:b w:val="0"/>
          <w:i w:val="0"/>
          <w:color w:val="1C3A36"/>
          <w:sz w:val="21"/>
        </w:rPr>
        <w:t>The sector context is what the forecast turns on, and it was corrected in this edition. Egypt sold about 72.6 million tonnes against roughly 76 million tonnes of nameplate — a market running near 96%, which is NOT the structurally slack market earlier editions of this study described. The oversupply risk is prospective: it lives in the 12.6 million tonne restart programme and in a production quota that was suspended in May 2025 rather than repealed, either of which would meet a market with little spare demand to absorb it.</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read and ONE of them is the answer. A discounted cash-flow model built up from tonnes and costs is the primary for this class, and the figure this study publishes is that lens and nothing else: EGP 66.53. Relative multiples, normalised earnings power and replacement cost are CROSS-CHECKS, published in the same table so a reader can see where they disagree — they span EGP 45.65 to EGP 65.57 — and none of them is averaged into the answer. There are no weights in this model to report. An earlier edition blended the four at 50/20/22/8 and would have read EGP 58.56; those weights had never cleared any out-of-sample test, and a number produced by averaging several methods is not more robust than the best of them — it is a new method with free parameters nobody tested, importing every weakness of the weakest lens at whatever weight somebody typed. Where several methods disagree the honest thing is to publish the disagreement and say which one the answer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The cost stack and the margin it produces</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 (EGP mn)</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6,130</w:t>
            </w:r>
          </w:p>
        </w:tc>
        <w:tc>
          <w:tcPr>
            <w:tcW w:type="dxa" w:w="1872"/>
          </w:tcPr>
          <w:p>
            <w:pPr>
              <w:spacing w:after="20"/>
              <w:jc w:val="right"/>
            </w:pPr>
            <w:r>
              <w:rPr>
                <w:color w:val="1C3A36"/>
                <w:sz w:val="18"/>
              </w:rPr>
              <w:t>8,393</w:t>
            </w:r>
          </w:p>
        </w:tc>
      </w:tr>
      <w:tr>
        <w:tc>
          <w:tcPr>
            <w:tcW w:type="dxa" w:w="3744"/>
          </w:tcPr>
          <w:p>
            <w:pPr>
              <w:spacing w:after="20"/>
            </w:pPr>
            <w:r>
              <w:rPr>
                <w:color w:val="1C3A36"/>
                <w:sz w:val="18"/>
              </w:rPr>
              <w:t>Transportation (EGP mn)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824</w:t>
            </w:r>
          </w:p>
        </w:tc>
        <w:tc>
          <w:tcPr>
            <w:tcW w:type="dxa" w:w="1872"/>
          </w:tcPr>
          <w:p>
            <w:pPr>
              <w:spacing w:after="20"/>
              <w:jc w:val="right"/>
            </w:pPr>
            <w:r>
              <w:rPr>
                <w:color w:val="1C3A36"/>
                <w:sz w:val="18"/>
              </w:rPr>
              <w:t>1,186</w:t>
            </w:r>
          </w:p>
        </w:tc>
      </w:tr>
      <w:tr>
        <w:tc>
          <w:tcPr>
            <w:tcW w:type="dxa" w:w="3744"/>
          </w:tcPr>
          <w:p>
            <w:pPr>
              <w:spacing w:after="20"/>
            </w:pPr>
            <w:r>
              <w:rPr>
                <w:color w:val="1C3A36"/>
                <w:sz w:val="18"/>
              </w:rPr>
              <w:t>Overheads and administration (EGP mn)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1,101</w:t>
            </w:r>
          </w:p>
        </w:tc>
        <w:tc>
          <w:tcPr>
            <w:tcW w:type="dxa" w:w="1872"/>
          </w:tcPr>
          <w:p>
            <w:pPr>
              <w:spacing w:after="20"/>
              <w:jc w:val="right"/>
            </w:pPr>
            <w:r>
              <w:rPr>
                <w:color w:val="1C3A36"/>
                <w:sz w:val="18"/>
              </w:rPr>
              <w:t>1,585</w:t>
            </w:r>
          </w:p>
        </w:tc>
      </w:tr>
      <w:tr>
        <w:tc>
          <w:tcPr>
            <w:tcW w:type="dxa" w:w="3744"/>
          </w:tcPr>
          <w:p>
            <w:pPr>
              <w:spacing w:after="20"/>
            </w:pPr>
            <w:r>
              <w:rPr>
                <w:color w:val="1C3A36"/>
                <w:sz w:val="18"/>
              </w:rPr>
              <w:t>Provisions and credit losses (EGP mn)</w:t>
            </w:r>
          </w:p>
        </w:tc>
        <w:tc>
          <w:tcPr>
            <w:tcW w:type="dxa" w:w="1872"/>
          </w:tcPr>
          <w:p>
            <w:pPr>
              <w:spacing w:after="20"/>
              <w:jc w:val="right"/>
            </w:pPr>
            <w:r>
              <w:rPr>
                <w:color w:val="1C3A36"/>
                <w:sz w:val="18"/>
              </w:rPr>
              <w:t>78</w:t>
            </w:r>
          </w:p>
        </w:tc>
        <w:tc>
          <w:tcPr>
            <w:tcW w:type="dxa" w:w="1872"/>
          </w:tcPr>
          <w:p>
            <w:pPr>
              <w:spacing w:after="20"/>
              <w:jc w:val="right"/>
            </w:pPr>
            <w:r>
              <w:rPr>
                <w:color w:val="1C3A36"/>
                <w:sz w:val="18"/>
              </w:rPr>
              <w:t>84</w:t>
            </w:r>
          </w:p>
        </w:tc>
        <w:tc>
          <w:tcPr>
            <w:tcW w:type="dxa" w:w="1872"/>
          </w:tcPr>
          <w:p>
            <w:pPr>
              <w:spacing w:after="20"/>
              <w:jc w:val="right"/>
            </w:pPr>
            <w:r>
              <w:rPr>
                <w:color w:val="1C3A36"/>
                <w:sz w:val="18"/>
              </w:rPr>
              <w:t>119</w:t>
            </w:r>
          </w:p>
        </w:tc>
      </w:tr>
      <w:tr>
        <w:tc>
          <w:tcPr>
            <w:tcW w:type="dxa" w:w="3744"/>
            <w:shd w:val="clear" w:color="auto" w:fill="F6F1E6"/>
          </w:tcPr>
          <w:p>
            <w:pPr>
              <w:spacing w:after="20"/>
            </w:pPr>
            <w:r>
              <w:rPr>
                <w:b/>
                <w:color w:val="1C3A36"/>
                <w:sz w:val="18"/>
              </w:rPr>
              <w:t>Total cash cost (EGP per tonne of cement)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1,676</w:t>
            </w:r>
          </w:p>
        </w:tc>
        <w:tc>
          <w:tcPr>
            <w:tcW w:type="dxa" w:w="1872"/>
            <w:shd w:val="clear" w:color="auto" w:fill="F6F1E6"/>
          </w:tcPr>
          <w:p>
            <w:pPr>
              <w:spacing w:after="20"/>
              <w:jc w:val="right"/>
            </w:pPr>
            <w:r>
              <w:rPr>
                <w:b/>
                <w:color w:val="1C3A36"/>
                <w:sz w:val="18"/>
              </w:rPr>
              <w:t>2,265</w:t>
            </w:r>
          </w:p>
        </w:tc>
      </w:tr>
      <w:tr>
        <w:tc>
          <w:tcPr>
            <w:tcW w:type="dxa" w:w="3744"/>
          </w:tcPr>
          <w:p>
            <w:pPr>
              <w:spacing w:after="20"/>
            </w:pPr>
            <w:r>
              <w:rPr>
                <w:color w:val="1C3A36"/>
                <w:sz w:val="18"/>
              </w:rPr>
              <w:t>Blended realised price (EGP per tonne of cement)</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2,777</w:t>
            </w:r>
          </w:p>
        </w:tc>
        <w:tc>
          <w:tcPr>
            <w:tcW w:type="dxa" w:w="1872"/>
          </w:tcPr>
          <w:p>
            <w:pPr>
              <w:spacing w:after="20"/>
              <w:jc w:val="right"/>
            </w:pPr>
            <w:r>
              <w:rPr>
                <w:color w:val="1C3A36"/>
                <w:sz w:val="18"/>
              </w:rPr>
              <w:t>3,842</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5,210</w:t>
            </w:r>
          </w:p>
        </w:tc>
        <w:tc>
          <w:tcPr>
            <w:tcW w:type="dxa" w:w="1872"/>
            <w:shd w:val="clear" w:color="auto" w:fill="F6F1E6"/>
          </w:tcPr>
          <w:p>
            <w:pPr>
              <w:spacing w:after="20"/>
              <w:jc w:val="right"/>
            </w:pPr>
            <w:r>
              <w:rPr>
                <w:b/>
                <w:color w:val="1C3A36"/>
                <w:sz w:val="18"/>
              </w:rPr>
              <w:t>7,650</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39.0%</w:t>
            </w:r>
          </w:p>
        </w:tc>
        <w:tc>
          <w:tcPr>
            <w:tcW w:type="dxa" w:w="1872"/>
            <w:shd w:val="clear" w:color="auto" w:fill="F6F1E6"/>
          </w:tcPr>
          <w:p>
            <w:pPr>
              <w:spacing w:after="20"/>
              <w:jc w:val="right"/>
            </w:pPr>
            <w:r>
              <w:rPr>
                <w:b/>
                <w:color w:val="1C3A36"/>
                <w:sz w:val="18"/>
              </w:rPr>
              <w:t>40.4%</w:t>
            </w:r>
          </w:p>
        </w:tc>
      </w:tr>
    </w:tbl>
    <w:p>
      <w:pPr>
        <w:spacing w:after="40"/>
      </w:pPr>
    </w:p>
    <w:p>
      <w:pPr>
        <w:spacing w:after="200" w:before="0"/>
      </w:pPr>
      <w:r>
        <w:rPr>
          <w:b w:val="0"/>
          <w:i/>
          <w:color w:val="6E7B77"/>
          <w:sz w:val="17"/>
        </w:rPr>
        <w:t>Table 3 — The cost stack and the margin it produces. EBITDA is an OUTPUT of this build, not an input to it, and the table foots: revenue less the four cost lines IS the EBITDA printed at the foot. THE FOUR COST LINES ARE TOTALS IN EGP MILLIONS, NOT per-tonne rates — materials and fuel are driven by CLINKER produced, because the kiln burns the fuel, while transportation and overheads are driven by cement despatched, so no single per-tonne figure describes them all. Provisions and credit losses are an operating charge above operating profit in the audited statements, so they belong in this bridge, but they are not a cost of making a tonne and are therefore excluded from the per-tonne cash cost above.</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reproduces audited FY2025 revenue to +0.000% and audited FY2025 EBITDA to +0.000%. It is not forced to: the volume is derived from the revenue note and the cost lines are the printed ones, so a wrong price assumption would show up as a non-zero residual.</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and assets under construction a further EGP 392mn; the EGP 2,914mn together, on 5.0Mt of capacity, is about USD 12 per annual tonne — against a replacement cost of USD 130. The book is carrying the plant at 8.9%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3.23 per tonne of installed capacity — about EGP 890mn in FY2026 against a book charge of EGP 344mn. Setting capex equal to book depreciation would flatter free cash flow by construction; the cost of refusing to do so is computed in section 1.9 and is worth +6.2%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68"/>
        <w:gridCol w:w="1152"/>
        <w:gridCol w:w="2088"/>
        <w:gridCol w:w="1728"/>
      </w:tblGrid>
      <w:tr>
        <w:tc>
          <w:tcPr>
            <w:tcW w:type="dxa" w:w="3024"/>
            <w:shd w:val="clear" w:color="auto" w:fill="EAF0EE"/>
          </w:tcPr>
          <w:p>
            <w:pPr>
              <w:spacing w:after="20"/>
            </w:pPr>
            <w:r>
              <w:rPr>
                <w:b/>
                <w:color w:val="1C3A36"/>
                <w:sz w:val="18"/>
              </w:rPr>
              <w:t>Facility</w:t>
            </w:r>
          </w:p>
        </w:tc>
        <w:tc>
          <w:tcPr>
            <w:tcW w:type="dxa" w:w="1368"/>
            <w:shd w:val="clear" w:color="auto" w:fill="EAF0EE"/>
          </w:tcPr>
          <w:p>
            <w:pPr>
              <w:spacing w:after="20"/>
            </w:pPr>
            <w:r>
              <w:rPr>
                <w:b/>
                <w:color w:val="1C3A36"/>
                <w:sz w:val="18"/>
              </w:rPr>
              <w:t>Balance (EGP mn)</w:t>
            </w:r>
          </w:p>
        </w:tc>
        <w:tc>
          <w:tcPr>
            <w:tcW w:type="dxa" w:w="1152"/>
            <w:shd w:val="clear" w:color="auto" w:fill="EAF0EE"/>
          </w:tcPr>
          <w:p>
            <w:pPr>
              <w:spacing w:after="20"/>
            </w:pPr>
            <w:r>
              <w:rPr>
                <w:b/>
                <w:color w:val="1C3A36"/>
                <w:sz w:val="18"/>
              </w:rPr>
              <w:t>Currency</w:t>
            </w:r>
          </w:p>
        </w:tc>
        <w:tc>
          <w:tcPr>
            <w:tcW w:type="dxa" w:w="2088"/>
            <w:shd w:val="clear" w:color="auto" w:fill="EAF0EE"/>
          </w:tcPr>
          <w:p>
            <w:pPr>
              <w:spacing w:after="20"/>
            </w:pPr>
            <w:r>
              <w:rPr>
                <w:b/>
                <w:color w:val="1C3A36"/>
                <w:sz w:val="18"/>
              </w:rPr>
              <w:t>Contractual rate</w:t>
            </w:r>
          </w:p>
        </w:tc>
        <w:tc>
          <w:tcPr>
            <w:tcW w:type="dxa" w:w="1728"/>
            <w:shd w:val="clear" w:color="auto" w:fill="EAF0EE"/>
          </w:tcPr>
          <w:p>
            <w:pPr>
              <w:spacing w:after="20"/>
            </w:pPr>
            <w:r>
              <w:rPr>
                <w:b/>
                <w:color w:val="1C3A36"/>
                <w:sz w:val="18"/>
              </w:rPr>
              <w:t>Pound-equivalent cost</w:t>
            </w:r>
          </w:p>
        </w:tc>
      </w:tr>
      <w:tr>
        <w:tc>
          <w:tcPr>
            <w:tcW w:type="dxa" w:w="3024"/>
          </w:tcPr>
          <w:p>
            <w:pPr>
              <w:spacing w:after="20"/>
            </w:pPr>
            <w:r>
              <w:rPr>
                <w:color w:val="1C3A36"/>
                <w:sz w:val="18"/>
              </w:rPr>
              <w:t>CIB credit facilities</w:t>
            </w:r>
          </w:p>
        </w:tc>
        <w:tc>
          <w:tcPr>
            <w:tcW w:type="dxa" w:w="1368"/>
          </w:tcPr>
          <w:p>
            <w:pPr>
              <w:spacing w:after="20"/>
              <w:jc w:val="right"/>
            </w:pPr>
            <w:r>
              <w:rPr>
                <w:color w:val="1C3A36"/>
                <w:sz w:val="18"/>
              </w:rPr>
              <w:t>100</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corridor + 0.6% = 20.60%</w:t>
            </w:r>
          </w:p>
        </w:tc>
        <w:tc>
          <w:tcPr>
            <w:tcW w:type="dxa" w:w="1728"/>
          </w:tcPr>
          <w:p>
            <w:pPr>
              <w:spacing w:after="20"/>
              <w:jc w:val="right"/>
            </w:pPr>
            <w:r>
              <w:rPr>
                <w:color w:val="1C3A36"/>
                <w:sz w:val="18"/>
              </w:rPr>
              <w:t>20.60%</w:t>
            </w:r>
          </w:p>
        </w:tc>
      </w:tr>
      <w:tr>
        <w:tc>
          <w:tcPr>
            <w:tcW w:type="dxa" w:w="3024"/>
          </w:tcPr>
          <w:p>
            <w:pPr>
              <w:spacing w:after="20"/>
            </w:pPr>
            <w:r>
              <w:rPr>
                <w:color w:val="1C3A36"/>
                <w:sz w:val="18"/>
              </w:rPr>
              <w:t>National Bank of Egypt / KfW</w:t>
            </w:r>
          </w:p>
        </w:tc>
        <w:tc>
          <w:tcPr>
            <w:tcW w:type="dxa" w:w="1368"/>
          </w:tcPr>
          <w:p>
            <w:pPr>
              <w:spacing w:after="20"/>
              <w:jc w:val="right"/>
            </w:pPr>
            <w:r>
              <w:rPr>
                <w:color w:val="1C3A36"/>
                <w:sz w:val="18"/>
              </w:rPr>
              <w:t>146</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+ 3.00% = 5.49%</w:t>
            </w:r>
          </w:p>
        </w:tc>
        <w:tc>
          <w:tcPr>
            <w:tcW w:type="dxa" w:w="1728"/>
          </w:tcPr>
          <w:p>
            <w:pPr>
              <w:spacing w:after="20"/>
              <w:jc w:val="right"/>
            </w:pPr>
            <w:r>
              <w:rPr>
                <w:color w:val="1C3A36"/>
                <w:sz w:val="18"/>
              </w:rPr>
              <w:t>11.49%</w:t>
            </w:r>
          </w:p>
        </w:tc>
      </w:tr>
      <w:tr>
        <w:tc>
          <w:tcPr>
            <w:tcW w:type="dxa" w:w="3024"/>
          </w:tcPr>
          <w:p>
            <w:pPr>
              <w:spacing w:after="20"/>
            </w:pPr>
            <w:r>
              <w:rPr>
                <w:color w:val="1C3A36"/>
                <w:sz w:val="18"/>
              </w:rPr>
              <w:t>European Bank for Reconstruction and Development</w:t>
            </w:r>
          </w:p>
        </w:tc>
        <w:tc>
          <w:tcPr>
            <w:tcW w:type="dxa" w:w="1368"/>
          </w:tcPr>
          <w:p>
            <w:pPr>
              <w:spacing w:after="20"/>
              <w:jc w:val="right"/>
            </w:pPr>
            <w:r>
              <w:rPr>
                <w:color w:val="1C3A36"/>
                <w:sz w:val="18"/>
              </w:rPr>
              <w:t>888</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+ 4.35% = 6.84%</w:t>
            </w:r>
          </w:p>
        </w:tc>
        <w:tc>
          <w:tcPr>
            <w:tcW w:type="dxa" w:w="1728"/>
          </w:tcPr>
          <w:p>
            <w:pPr>
              <w:spacing w:after="20"/>
              <w:jc w:val="right"/>
            </w:pPr>
            <w:r>
              <w:rPr>
                <w:color w:val="1C3A36"/>
                <w:sz w:val="18"/>
              </w:rPr>
              <w:t>12.84%</w:t>
            </w:r>
          </w:p>
        </w:tc>
      </w:tr>
      <w:tr>
        <w:tc>
          <w:tcPr>
            <w:tcW w:type="dxa" w:w="3024"/>
          </w:tcPr>
          <w:p>
            <w:pPr>
              <w:spacing w:after="20"/>
            </w:pPr>
            <w:r>
              <w:rPr>
                <w:color w:val="1C3A36"/>
                <w:sz w:val="18"/>
              </w:rPr>
              <w:t>Lease liabilities</w:t>
            </w:r>
          </w:p>
        </w:tc>
        <w:tc>
          <w:tcPr>
            <w:tcW w:type="dxa" w:w="1368"/>
          </w:tcPr>
          <w:p>
            <w:pPr>
              <w:spacing w:after="20"/>
              <w:jc w:val="right"/>
            </w:pPr>
            <w:r>
              <w:rPr>
                <w:color w:val="1C3A36"/>
                <w:sz w:val="18"/>
              </w:rPr>
              <w:t>1.2</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marginal pound rate = 20.60%</w:t>
            </w:r>
          </w:p>
        </w:tc>
        <w:tc>
          <w:tcPr>
            <w:tcW w:type="dxa" w:w="1728"/>
          </w:tcPr>
          <w:p>
            <w:pPr>
              <w:spacing w:after="20"/>
              <w:jc w:val="right"/>
            </w:pPr>
            <w:r>
              <w:rPr>
                <w:color w:val="1C3A36"/>
                <w:sz w:val="18"/>
              </w:rPr>
              <w:t>20.60%</w:t>
            </w:r>
          </w:p>
        </w:tc>
      </w:tr>
      <w:tr>
        <w:tc>
          <w:tcPr>
            <w:tcW w:type="dxa" w:w="3024"/>
            <w:shd w:val="clear" w:color="auto" w:fill="F6F1E6"/>
          </w:tcPr>
          <w:p>
            <w:pPr>
              <w:spacing w:after="20"/>
            </w:pPr>
            <w:r>
              <w:rPr>
                <w:b/>
                <w:color w:val="1C3A36"/>
                <w:sz w:val="18"/>
              </w:rPr>
              <w:t>Weighted average</w:t>
            </w:r>
          </w:p>
        </w:tc>
        <w:tc>
          <w:tcPr>
            <w:tcW w:type="dxa" w:w="1368"/>
            <w:shd w:val="clear" w:color="auto" w:fill="F6F1E6"/>
          </w:tcPr>
          <w:p>
            <w:pPr>
              <w:spacing w:after="20"/>
              <w:jc w:val="right"/>
            </w:pPr>
            <w:r>
              <w:rPr>
                <w:b/>
                <w:color w:val="1C3A36"/>
                <w:sz w:val="18"/>
              </w:rPr>
              <w:t>1,135</w:t>
            </w:r>
          </w:p>
        </w:tc>
        <w:tc>
          <w:tcPr>
            <w:tcW w:type="dxa" w:w="1152"/>
            <w:shd w:val="clear" w:color="auto" w:fill="F6F1E6"/>
          </w:tcPr>
          <w:p>
            <w:pPr>
              <w:spacing w:after="20"/>
              <w:jc w:val="right"/>
            </w:pPr>
            <w:r>
              <w:rPr>
                <w:b/>
                <w:color w:val="1C3A36"/>
                <w:sz w:val="18"/>
              </w:rPr>
              <w:t>91% EUR</w:t>
            </w:r>
          </w:p>
        </w:tc>
        <w:tc>
          <w:tcPr>
            <w:tcW w:type="dxa" w:w="2088"/>
            <w:shd w:val="clear" w:color="auto" w:fill="F6F1E6"/>
          </w:tcPr>
          <w:p>
            <w:pPr>
              <w:spacing w:after="20"/>
              <w:jc w:val="right"/>
            </w:pPr>
            <w:r>
              <w:rPr>
                <w:b/>
                <w:color w:val="1C3A36"/>
                <w:sz w:val="18"/>
              </w:rPr>
              <w:t>7.89%</w:t>
            </w:r>
          </w:p>
        </w:tc>
        <w:tc>
          <w:tcPr>
            <w:tcW w:type="dxa" w:w="1728"/>
            <w:shd w:val="clear" w:color="auto" w:fill="F6F1E6"/>
          </w:tcPr>
          <w:p>
            <w:pPr>
              <w:spacing w:after="20"/>
              <w:jc w:val="right"/>
            </w:pPr>
            <w:r>
              <w:rPr>
                <w:b/>
                <w:color w:val="1C3A36"/>
                <w:sz w:val="18"/>
              </w:rPr>
              <w:t>13.36%</w:t>
            </w:r>
          </w:p>
        </w:tc>
      </w:tr>
    </w:tbl>
    <w:p>
      <w:pPr>
        <w:spacing w:after="40"/>
      </w:pPr>
    </w:p>
    <w:p>
      <w:pPr>
        <w:spacing w:after="200" w:before="0"/>
      </w:pPr>
      <w:r>
        <w:rPr>
          <w:b w:val="0"/>
          <w:i/>
          <w:color w:val="6E7B77"/>
          <w:sz w:val="17"/>
        </w:rPr>
        <w:t>Table 5 — The debt book, facility by facility, from the audited borrowings note, and the rate ADOPTED is the last column. A euro loan is not a cheap loan to a company that earns pounds: the contractual coupon has to carry the expected 6% annual pound depreciation against the euro before it can be compared with a pound rate or applied to pound cash flows. Both columns weight to the figures shown, from these four lines and nothing pasted; the contractual weighted average is published beside the adopted one so the reader can see the whole of the difference.</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adopted 13.36%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A marginal forward-looking rate is the right one for a discount rate, and the gap is disclosed so the reader can disagree.</w:t>
      </w:r>
    </w:p>
    <w:p>
      <w:pPr>
        <w:spacing w:after="120" w:before="0"/>
      </w:pPr>
      <w:r>
        <w:rPr>
          <w:b w:val="0"/>
          <w:i w:val="0"/>
          <w:color w:val="1C3A36"/>
          <w:sz w:val="21"/>
        </w:rPr>
        <w:t>One caution belongs next to that number, and it runs the other way from the one a reader might expect. The alternative here is the CONTRACTED euro rate — the coupon as written, 7.89% blended — and adopting it would mean the euro debt is NOT compensated for pound depreciation beyond what this study's own currency path already assumes. This study does not adopt it. Loading the euro legs with 6% annual pound depreciation under interest parity, which is what a company earning pounds actually bears on a euro loan, is what produces the adopted 13.36% — 1.7 times the contracted figure. The cheaper alternative is computed as a VALUE and not merely described: it is worth +0.2% of the cash-flow lens, because debt is only 3.8% of the capital structure. A large swing in a small weight is still a small effect, and saying so is not the same as dismissing it. The adopted rate is the MORE conservative of the two.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12.50%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12.50%</w:t>
            </w:r>
          </w:p>
        </w:tc>
      </w:tr>
      <w:tr>
        <w:tc>
          <w:tcPr>
            <w:tcW w:type="dxa" w:w="4176"/>
          </w:tcPr>
          <w:p>
            <w:pPr>
              <w:spacing w:after="20"/>
            </w:pPr>
            <w:r>
              <w:rPr>
                <w:color w:val="1C3A36"/>
                <w:sz w:val="18"/>
              </w:rPr>
              <w:t>Beta</w:t>
            </w:r>
          </w:p>
        </w:tc>
        <w:tc>
          <w:tcPr>
            <w:tcW w:type="dxa" w:w="2592"/>
          </w:tcPr>
          <w:p>
            <w:pPr>
              <w:spacing w:after="20"/>
              <w:jc w:val="right"/>
            </w:pPr>
            <w:r>
              <w:rPr>
                <w:color w:val="1C3A36"/>
                <w:sz w:val="18"/>
              </w:rPr>
              <w:t>0.928</w:t>
            </w:r>
          </w:p>
        </w:tc>
        <w:tc>
          <w:tcPr>
            <w:tcW w:type="dxa" w:w="2592"/>
          </w:tcPr>
          <w:p>
            <w:pPr>
              <w:spacing w:after="20"/>
              <w:jc w:val="right"/>
            </w:pPr>
            <w:r>
              <w:rPr>
                <w:color w:val="1C3A36"/>
                <w:sz w:val="18"/>
              </w:rPr>
              <w:t>1.074</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28.28%</w:t>
            </w:r>
          </w:p>
        </w:tc>
        <w:tc>
          <w:tcPr>
            <w:tcW w:type="dxa" w:w="2592"/>
          </w:tcPr>
          <w:p>
            <w:pPr>
              <w:spacing w:after="20"/>
              <w:jc w:val="right"/>
            </w:pPr>
            <w:r>
              <w:rPr>
                <w:color w:val="1C3A36"/>
                <w:sz w:val="18"/>
              </w:rPr>
              <w:t>20.02%</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10.35%</w:t>
            </w:r>
          </w:p>
        </w:tc>
        <w:tc>
          <w:tcPr>
            <w:tcW w:type="dxa" w:w="2592"/>
          </w:tcPr>
          <w:p>
            <w:pPr>
              <w:spacing w:after="20"/>
              <w:jc w:val="right"/>
            </w:pPr>
            <w:r>
              <w:rPr>
                <w:color w:val="1C3A36"/>
                <w:sz w:val="18"/>
              </w:rPr>
              <w:t>11.62%</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3.78%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27.60%</w:t>
            </w:r>
          </w:p>
        </w:tc>
        <w:tc>
          <w:tcPr>
            <w:tcW w:type="dxa" w:w="2592"/>
            <w:shd w:val="clear" w:color="auto" w:fill="F6F1E6"/>
          </w:tcPr>
          <w:p>
            <w:pPr>
              <w:spacing w:after="20"/>
              <w:jc w:val="right"/>
            </w:pPr>
            <w:r>
              <w:rPr>
                <w:b/>
                <w:color w:val="1C3A36"/>
                <w:sz w:val="18"/>
              </w:rPr>
              <w:t>18.34%</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31.68% instead of 28.28%.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27.60%</w:t>
            </w:r>
          </w:p>
        </w:tc>
        <w:tc>
          <w:tcPr>
            <w:tcW w:type="dxa" w:w="1526"/>
          </w:tcPr>
          <w:p>
            <w:pPr>
              <w:spacing w:after="20"/>
              <w:jc w:val="right"/>
            </w:pPr>
            <w:r>
              <w:rPr>
                <w:color w:val="1C3A36"/>
                <w:sz w:val="18"/>
              </w:rPr>
              <w:t>24.09%</w:t>
            </w:r>
          </w:p>
        </w:tc>
        <w:tc>
          <w:tcPr>
            <w:tcW w:type="dxa" w:w="1526"/>
          </w:tcPr>
          <w:p>
            <w:pPr>
              <w:spacing w:after="20"/>
              <w:jc w:val="right"/>
            </w:pPr>
            <w:r>
              <w:rPr>
                <w:color w:val="1C3A36"/>
                <w:sz w:val="18"/>
              </w:rPr>
              <w:t>21.29%</w:t>
            </w:r>
          </w:p>
        </w:tc>
        <w:tc>
          <w:tcPr>
            <w:tcW w:type="dxa" w:w="1526"/>
          </w:tcPr>
          <w:p>
            <w:pPr>
              <w:spacing w:after="20"/>
              <w:jc w:val="right"/>
            </w:pPr>
            <w:r>
              <w:rPr>
                <w:color w:val="1C3A36"/>
                <w:sz w:val="18"/>
              </w:rPr>
              <w:t>19.60%</w:t>
            </w:r>
          </w:p>
        </w:tc>
        <w:tc>
          <w:tcPr>
            <w:tcW w:type="dxa" w:w="1526"/>
          </w:tcPr>
          <w:p>
            <w:pPr>
              <w:spacing w:after="20"/>
              <w:jc w:val="right"/>
            </w:pPr>
            <w:r>
              <w:rPr>
                <w:color w:val="1C3A36"/>
                <w:sz w:val="18"/>
              </w:rPr>
              <w:t>18.34%</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0.9409</w:t>
            </w:r>
          </w:p>
        </w:tc>
        <w:tc>
          <w:tcPr>
            <w:tcW w:type="dxa" w:w="1526"/>
          </w:tcPr>
          <w:p>
            <w:pPr>
              <w:spacing w:after="20"/>
              <w:jc w:val="right"/>
            </w:pPr>
            <w:r>
              <w:rPr>
                <w:color w:val="1C3A36"/>
                <w:sz w:val="18"/>
              </w:rPr>
              <w:t>0.7947</w:t>
            </w:r>
          </w:p>
        </w:tc>
        <w:tc>
          <w:tcPr>
            <w:tcW w:type="dxa" w:w="1526"/>
          </w:tcPr>
          <w:p>
            <w:pPr>
              <w:spacing w:after="20"/>
              <w:jc w:val="right"/>
            </w:pPr>
            <w:r>
              <w:rPr>
                <w:color w:val="1C3A36"/>
                <w:sz w:val="18"/>
              </w:rPr>
              <w:t>0.6478</w:t>
            </w:r>
          </w:p>
        </w:tc>
        <w:tc>
          <w:tcPr>
            <w:tcW w:type="dxa" w:w="1526"/>
          </w:tcPr>
          <w:p>
            <w:pPr>
              <w:spacing w:after="20"/>
              <w:jc w:val="right"/>
            </w:pPr>
            <w:r>
              <w:rPr>
                <w:color w:val="1C3A36"/>
                <w:sz w:val="18"/>
              </w:rPr>
              <w:t>0.5378</w:t>
            </w:r>
          </w:p>
        </w:tc>
        <w:tc>
          <w:tcPr>
            <w:tcW w:type="dxa" w:w="1526"/>
          </w:tcPr>
          <w:p>
            <w:pPr>
              <w:spacing w:after="20"/>
              <w:jc w:val="right"/>
            </w:pPr>
            <w:r>
              <w:rPr>
                <w:color w:val="1C3A36"/>
                <w:sz w:val="18"/>
              </w:rPr>
              <w:t>0.4521</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year five's own cumulative factor — one date, one price of time.</w:t>
      </w:r>
    </w:p>
    <w:p>
      <w:pPr>
        <w:spacing w:after="80" w:before="200"/>
      </w:pPr>
      <w:r>
        <w:rPr>
          <w:b/>
          <w:i w:val="0"/>
          <w:color w:val="1C3A36"/>
          <w:sz w:val="24"/>
        </w:rPr>
        <w:t>1.5  Beta, and why it is a peer estimate rather than a regression</w:t>
      </w:r>
    </w:p>
    <w:p>
      <w:pPr>
        <w:spacing w:after="120" w:before="0"/>
      </w:pPr>
      <w:r>
        <w:rPr>
          <w:b w:val="0"/>
          <w:i w:val="0"/>
          <w:color w:val="1C3A36"/>
          <w:sz w:val="21"/>
        </w:rPr>
        <w:t>This edition changes the beta, and the change is worth setting out plainly because it is the single largest driver of the difference between this valuation and the previous one.</w:t>
      </w:r>
    </w:p>
    <w:p>
      <w:pPr>
        <w:spacing w:after="120" w:before="0"/>
      </w:pPr>
      <w:r>
        <w:rPr>
          <w:b w:val="0"/>
          <w:i w:val="0"/>
          <w:color w:val="1C3A36"/>
          <w:sz w:val="21"/>
        </w:rPr>
        <w:t>The only market index against which an Egyptian Exchange listing can properly be measured is the EGX30. Measured against it, over 4.89 years of weekly returns to 2026-07-16, Arabian Cement returns a beta of 0.698 on 253 observations — with an R-squared of 4.7% and a standard error of 0.228. An R-squared of 4.7% means the index explains under a twentieth of this share's movement. That is below the threshold at which a regression is treated as usable, so the regression is NOT adopted, and its diagnostics are printed here rather than tucked away.</w:t>
      </w:r>
    </w:p>
    <w:p>
      <w:pPr>
        <w:spacing w:after="120" w:before="0"/>
      </w:pPr>
      <w:r>
        <w:rPr>
          <w:b w:val="0"/>
          <w:i w:val="0"/>
          <w:color w:val="1C3A36"/>
          <w:sz w:val="21"/>
        </w:rPr>
        <w:t>Earlier editions of this study reported a beta of 0.628 with a materially better R-squared. That figure was measured against a basket assembled from the other Egyptian companies this house follows, rather than against the market. A basket of covered names will always appear to explain a covered name better than the market does, because it is partly made of companies like it; the better statistic was the artefact, not the evidence. It is withdrawn.</w:t>
      </w:r>
    </w:p>
    <w:p>
      <w:pPr>
        <w:spacing w:after="120" w:before="0"/>
      </w:pPr>
      <w:r>
        <w:rPr>
          <w:b w:val="0"/>
          <w:i w:val="0"/>
          <w:color w:val="1C3A36"/>
          <w:sz w:val="21"/>
        </w:rPr>
        <w:t>What replaces it is the ordinary fallback when a company's own history cannot carry the estimate: the betas of comparable Egyptian companies. The peer set was named before any of it was measured — Lecico, Egypt Aluminium, Orascom Construction and Egyptian Chemical Industries, the country's building-materials and construction complex — and their betas against the EGX30 are 0.815, 0.919, 0.936, 1.030. The median, 0.928, is adopted. Sinai Cement is the closest business match of all and is deliberately NOT used: its own regression is weaker still, and a second unusable number does not make a usable one. It is reported here as evidence about how thinly this sector trades rather than as an input.</w:t>
      </w:r>
    </w:p>
    <w:p>
      <w:pPr>
        <w:spacing w:after="120" w:before="0"/>
      </w:pPr>
      <w:r>
        <w:rPr>
          <w:b w:val="0"/>
          <w:i w:val="0"/>
          <w:color w:val="1C3A36"/>
          <w:sz w:val="21"/>
        </w:rPr>
        <w:t>One step could not be completed and it is flagged rather than passed over. The proper construction strips each peer's own borrowing out of its beta and then adds back the borrowing of the company being valued. That needs each peer's balance sheet, which this study has not sourced, so the peers' betas are used as published. The direction of the omission is not in doubt: Arabian Cement holds more cash than debt while its peers carry borrowings, so completing the step could only LOWER the beta, lower the discount rate and RAISE the value. The figure adopted here is therefore the cautious end of the range, and the valuation is shown across the whole peer spread rather than at a point.</w:t>
      </w:r>
    </w:p>
    <w:p>
      <w:pPr>
        <w:spacing w:after="120" w:before="0"/>
      </w:pPr>
      <w:r>
        <w:rPr>
          <w:b w:val="0"/>
          <w:i w:val="0"/>
          <w:color w:val="1C3A36"/>
          <w:sz w:val="21"/>
        </w:rPr>
        <w:t>The consequence is large and is published as a value rather than described: on the withdrawn basket figure the cash-flow lens would read 74.54 against 66.53 on the adopted one, a difference of +12.0%.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23"/>
        <w:gridCol w:w="1391"/>
        <w:gridCol w:w="1391"/>
        <w:gridCol w:w="1391"/>
        <w:gridCol w:w="1391"/>
        <w:gridCol w:w="1391"/>
      </w:tblGrid>
      <w:tr>
        <w:tc>
          <w:tcPr>
            <w:tcW w:type="dxa" w:w="3123"/>
            <w:shd w:val="clear" w:color="auto" w:fill="EAF0EE"/>
          </w:tcPr>
          <w:p>
            <w:pPr>
              <w:spacing w:after="20"/>
            </w:pPr>
            <w:r>
              <w:rPr>
                <w:b/>
                <w:color w:val="1C3A36"/>
                <w:sz w:val="18"/>
              </w:rPr>
              <w:t>Beta</w:t>
            </w:r>
          </w:p>
        </w:tc>
        <w:tc>
          <w:tcPr>
            <w:tcW w:type="dxa" w:w="1391"/>
            <w:shd w:val="clear" w:color="auto" w:fill="EAF0EE"/>
          </w:tcPr>
          <w:p>
            <w:pPr>
              <w:spacing w:after="20"/>
            </w:pPr>
            <w:r>
              <w:rPr>
                <w:b/>
                <w:color w:val="1C3A36"/>
                <w:sz w:val="18"/>
              </w:rPr>
              <w:t>0.60</w:t>
            </w:r>
          </w:p>
        </w:tc>
        <w:tc>
          <w:tcPr>
            <w:tcW w:type="dxa" w:w="1391"/>
            <w:shd w:val="clear" w:color="auto" w:fill="EAF0EE"/>
          </w:tcPr>
          <w:p>
            <w:pPr>
              <w:spacing w:after="20"/>
            </w:pPr>
            <w:r>
              <w:rPr>
                <w:b/>
                <w:color w:val="1C3A36"/>
                <w:sz w:val="18"/>
              </w:rPr>
              <w:t>0.80</w:t>
            </w:r>
          </w:p>
        </w:tc>
        <w:tc>
          <w:tcPr>
            <w:tcW w:type="dxa" w:w="1391"/>
            <w:shd w:val="clear" w:color="auto" w:fill="EAF0EE"/>
          </w:tcPr>
          <w:p>
            <w:pPr>
              <w:spacing w:after="20"/>
            </w:pPr>
            <w:r>
              <w:rPr>
                <w:b/>
                <w:color w:val="1C3A36"/>
                <w:sz w:val="18"/>
              </w:rPr>
              <w:t>1.00</w:t>
            </w:r>
          </w:p>
        </w:tc>
        <w:tc>
          <w:tcPr>
            <w:tcW w:type="dxa" w:w="1391"/>
            <w:shd w:val="clear" w:color="auto" w:fill="EAF0EE"/>
          </w:tcPr>
          <w:p>
            <w:pPr>
              <w:spacing w:after="20"/>
            </w:pPr>
            <w:r>
              <w:rPr>
                <w:b/>
                <w:color w:val="1C3A36"/>
                <w:sz w:val="18"/>
              </w:rPr>
              <w:t>1.15</w:t>
            </w:r>
          </w:p>
        </w:tc>
        <w:tc>
          <w:tcPr>
            <w:tcW w:type="dxa" w:w="1391"/>
            <w:shd w:val="clear" w:color="auto" w:fill="EAF0EE"/>
          </w:tcPr>
          <w:p>
            <w:pPr>
              <w:spacing w:after="20"/>
            </w:pPr>
            <w:r>
              <w:rPr>
                <w:b/>
                <w:color w:val="1C3A36"/>
                <w:sz w:val="18"/>
              </w:rPr>
              <w:t>1.30</w:t>
            </w:r>
          </w:p>
        </w:tc>
      </w:tr>
      <w:tr>
        <w:tc>
          <w:tcPr>
            <w:tcW w:type="dxa" w:w="3123"/>
          </w:tcPr>
          <w:p>
            <w:pPr>
              <w:spacing w:after="20"/>
            </w:pPr>
            <w:r>
              <w:rPr>
                <w:color w:val="1C3A36"/>
                <w:sz w:val="18"/>
              </w:rPr>
              <w:t>Fair value per share (EGP)</w:t>
            </w:r>
          </w:p>
        </w:tc>
        <w:tc>
          <w:tcPr>
            <w:tcW w:type="dxa" w:w="1391"/>
          </w:tcPr>
          <w:p>
            <w:pPr>
              <w:spacing w:after="20"/>
              <w:jc w:val="right"/>
            </w:pPr>
            <w:r>
              <w:rPr>
                <w:color w:val="1C3A36"/>
                <w:sz w:val="18"/>
              </w:rPr>
              <w:t>79.16</w:t>
            </w:r>
          </w:p>
        </w:tc>
        <w:tc>
          <w:tcPr>
            <w:tcW w:type="dxa" w:w="1391"/>
          </w:tcPr>
          <w:p>
            <w:pPr>
              <w:spacing w:after="20"/>
              <w:jc w:val="right"/>
            </w:pPr>
            <w:r>
              <w:rPr>
                <w:color w:val="1C3A36"/>
                <w:sz w:val="18"/>
              </w:rPr>
              <w:t>70.35</w:t>
            </w:r>
          </w:p>
        </w:tc>
        <w:tc>
          <w:tcPr>
            <w:tcW w:type="dxa" w:w="1391"/>
          </w:tcPr>
          <w:p>
            <w:pPr>
              <w:spacing w:after="20"/>
              <w:jc w:val="right"/>
            </w:pPr>
            <w:r>
              <w:rPr>
                <w:color w:val="1C3A36"/>
                <w:sz w:val="18"/>
              </w:rPr>
              <w:t>63.47</w:t>
            </w:r>
          </w:p>
        </w:tc>
        <w:tc>
          <w:tcPr>
            <w:tcW w:type="dxa" w:w="1391"/>
          </w:tcPr>
          <w:p>
            <w:pPr>
              <w:spacing w:after="20"/>
              <w:jc w:val="right"/>
            </w:pPr>
            <w:r>
              <w:rPr>
                <w:color w:val="1C3A36"/>
                <w:sz w:val="18"/>
              </w:rPr>
              <w:t>59.24</w:t>
            </w:r>
          </w:p>
        </w:tc>
        <w:tc>
          <w:tcPr>
            <w:tcW w:type="dxa" w:w="1391"/>
          </w:tcPr>
          <w:p>
            <w:pPr>
              <w:spacing w:after="20"/>
              <w:jc w:val="right"/>
            </w:pPr>
            <w:r>
              <w:rPr>
                <w:color w:val="1C3A36"/>
                <w:sz w:val="18"/>
              </w:rPr>
              <w:t>55.59</w:t>
            </w:r>
          </w:p>
        </w:tc>
      </w:tr>
    </w:tbl>
    <w:p>
      <w:pPr>
        <w:spacing w:after="40"/>
      </w:pPr>
    </w:p>
    <w:p>
      <w:pPr>
        <w:spacing w:after="200" w:before="0"/>
      </w:pPr>
      <w:r>
        <w:rPr>
          <w:b w:val="0"/>
          <w:i/>
          <w:color w:val="6E7B77"/>
          <w:sz w:val="17"/>
        </w:rPr>
        <w:t>Table 8 — Fair value across the fixed comparability anchors, which span the regression's own confidence interval.</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13,349</w:t>
            </w:r>
          </w:p>
        </w:tc>
        <w:tc>
          <w:tcPr>
            <w:tcW w:type="dxa" w:w="1325"/>
          </w:tcPr>
          <w:p>
            <w:pPr>
              <w:spacing w:after="20"/>
              <w:jc w:val="right"/>
            </w:pPr>
            <w:r>
              <w:rPr>
                <w:color w:val="1C3A36"/>
                <w:sz w:val="17"/>
              </w:rPr>
              <w:t>14,985</w:t>
            </w:r>
          </w:p>
        </w:tc>
        <w:tc>
          <w:tcPr>
            <w:tcW w:type="dxa" w:w="1325"/>
          </w:tcPr>
          <w:p>
            <w:pPr>
              <w:spacing w:after="20"/>
              <w:jc w:val="right"/>
            </w:pPr>
            <w:r>
              <w:rPr>
                <w:color w:val="1C3A36"/>
                <w:sz w:val="17"/>
              </w:rPr>
              <w:t>16,440</w:t>
            </w:r>
          </w:p>
        </w:tc>
        <w:tc>
          <w:tcPr>
            <w:tcW w:type="dxa" w:w="1325"/>
          </w:tcPr>
          <w:p>
            <w:pPr>
              <w:spacing w:after="20"/>
              <w:jc w:val="right"/>
            </w:pPr>
            <w:r>
              <w:rPr>
                <w:color w:val="1C3A36"/>
                <w:sz w:val="17"/>
              </w:rPr>
              <w:t>17,688</w:t>
            </w:r>
          </w:p>
        </w:tc>
        <w:tc>
          <w:tcPr>
            <w:tcW w:type="dxa" w:w="1325"/>
          </w:tcPr>
          <w:p>
            <w:pPr>
              <w:spacing w:after="20"/>
              <w:jc w:val="right"/>
            </w:pPr>
            <w:r>
              <w:rPr>
                <w:color w:val="1C3A36"/>
                <w:sz w:val="17"/>
              </w:rPr>
              <w:t>18,934</w:t>
            </w:r>
          </w:p>
        </w:tc>
      </w:tr>
      <w:tr>
        <w:tc>
          <w:tcPr>
            <w:tcW w:type="dxa" w:w="3024"/>
          </w:tcPr>
          <w:p>
            <w:pPr>
              <w:spacing w:after="20"/>
            </w:pPr>
            <w:r>
              <w:rPr>
                <w:color w:val="1C3A36"/>
                <w:sz w:val="17"/>
              </w:rPr>
              <w:t>EBITDA</w:t>
            </w:r>
          </w:p>
        </w:tc>
        <w:tc>
          <w:tcPr>
            <w:tcW w:type="dxa" w:w="1325"/>
          </w:tcPr>
          <w:p>
            <w:pPr>
              <w:spacing w:after="20"/>
              <w:jc w:val="right"/>
            </w:pPr>
            <w:r>
              <w:rPr>
                <w:color w:val="1C3A36"/>
                <w:sz w:val="17"/>
              </w:rPr>
              <w:t>5,210</w:t>
            </w:r>
          </w:p>
        </w:tc>
        <w:tc>
          <w:tcPr>
            <w:tcW w:type="dxa" w:w="1325"/>
          </w:tcPr>
          <w:p>
            <w:pPr>
              <w:spacing w:after="20"/>
              <w:jc w:val="right"/>
            </w:pPr>
            <w:r>
              <w:rPr>
                <w:color w:val="1C3A36"/>
                <w:sz w:val="17"/>
              </w:rPr>
              <w:t>5,918</w:t>
            </w:r>
          </w:p>
        </w:tc>
        <w:tc>
          <w:tcPr>
            <w:tcW w:type="dxa" w:w="1325"/>
          </w:tcPr>
          <w:p>
            <w:pPr>
              <w:spacing w:after="20"/>
              <w:jc w:val="right"/>
            </w:pPr>
            <w:r>
              <w:rPr>
                <w:color w:val="1C3A36"/>
                <w:sz w:val="17"/>
              </w:rPr>
              <w:t>6,574</w:t>
            </w:r>
          </w:p>
        </w:tc>
        <w:tc>
          <w:tcPr>
            <w:tcW w:type="dxa" w:w="1325"/>
          </w:tcPr>
          <w:p>
            <w:pPr>
              <w:spacing w:after="20"/>
              <w:jc w:val="right"/>
            </w:pPr>
            <w:r>
              <w:rPr>
                <w:color w:val="1C3A36"/>
                <w:sz w:val="17"/>
              </w:rPr>
              <w:t>7,111</w:t>
            </w:r>
          </w:p>
        </w:tc>
        <w:tc>
          <w:tcPr>
            <w:tcW w:type="dxa" w:w="1325"/>
          </w:tcPr>
          <w:p>
            <w:pPr>
              <w:spacing w:after="20"/>
              <w:jc w:val="right"/>
            </w:pPr>
            <w:r>
              <w:rPr>
                <w:color w:val="1C3A36"/>
                <w:sz w:val="17"/>
              </w:rPr>
              <w:t>7,650</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39.0%</w:t>
            </w:r>
          </w:p>
        </w:tc>
        <w:tc>
          <w:tcPr>
            <w:tcW w:type="dxa" w:w="1325"/>
          </w:tcPr>
          <w:p>
            <w:pPr>
              <w:spacing w:after="20"/>
              <w:jc w:val="right"/>
            </w:pPr>
            <w:r>
              <w:rPr>
                <w:color w:val="1C3A36"/>
                <w:sz w:val="17"/>
              </w:rPr>
              <w:t>39.5%</w:t>
            </w:r>
          </w:p>
        </w:tc>
        <w:tc>
          <w:tcPr>
            <w:tcW w:type="dxa" w:w="1325"/>
          </w:tcPr>
          <w:p>
            <w:pPr>
              <w:spacing w:after="20"/>
              <w:jc w:val="right"/>
            </w:pPr>
            <w:r>
              <w:rPr>
                <w:color w:val="1C3A36"/>
                <w:sz w:val="17"/>
              </w:rPr>
              <w:t>40.0%</w:t>
            </w:r>
          </w:p>
        </w:tc>
        <w:tc>
          <w:tcPr>
            <w:tcW w:type="dxa" w:w="1325"/>
          </w:tcPr>
          <w:p>
            <w:pPr>
              <w:spacing w:after="20"/>
              <w:jc w:val="right"/>
            </w:pPr>
            <w:r>
              <w:rPr>
                <w:color w:val="1C3A36"/>
                <w:sz w:val="17"/>
              </w:rPr>
              <w:t>40.2%</w:t>
            </w:r>
          </w:p>
        </w:tc>
        <w:tc>
          <w:tcPr>
            <w:tcW w:type="dxa" w:w="1325"/>
          </w:tcPr>
          <w:p>
            <w:pPr>
              <w:spacing w:after="20"/>
              <w:jc w:val="right"/>
            </w:pPr>
            <w:r>
              <w:rPr>
                <w:color w:val="1C3A36"/>
                <w:sz w:val="17"/>
              </w:rPr>
              <w:t>40.4%</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EBIT</w:t>
            </w:r>
          </w:p>
        </w:tc>
        <w:tc>
          <w:tcPr>
            <w:tcW w:type="dxa" w:w="1325"/>
          </w:tcPr>
          <w:p>
            <w:pPr>
              <w:spacing w:after="20"/>
              <w:jc w:val="right"/>
            </w:pPr>
            <w:r>
              <w:rPr>
                <w:color w:val="1C3A36"/>
                <w:sz w:val="17"/>
              </w:rPr>
              <w:t>4,916</w:t>
            </w:r>
          </w:p>
        </w:tc>
        <w:tc>
          <w:tcPr>
            <w:tcW w:type="dxa" w:w="1325"/>
          </w:tcPr>
          <w:p>
            <w:pPr>
              <w:spacing w:after="20"/>
              <w:jc w:val="right"/>
            </w:pPr>
            <w:r>
              <w:rPr>
                <w:color w:val="1C3A36"/>
                <w:sz w:val="17"/>
              </w:rPr>
              <w:t>5,556</w:t>
            </w:r>
          </w:p>
        </w:tc>
        <w:tc>
          <w:tcPr>
            <w:tcW w:type="dxa" w:w="1325"/>
          </w:tcPr>
          <w:p>
            <w:pPr>
              <w:spacing w:after="20"/>
              <w:jc w:val="right"/>
            </w:pPr>
            <w:r>
              <w:rPr>
                <w:color w:val="1C3A36"/>
                <w:sz w:val="17"/>
              </w:rPr>
              <w:t>6,140</w:t>
            </w:r>
          </w:p>
        </w:tc>
        <w:tc>
          <w:tcPr>
            <w:tcW w:type="dxa" w:w="1325"/>
          </w:tcPr>
          <w:p>
            <w:pPr>
              <w:spacing w:after="20"/>
              <w:jc w:val="right"/>
            </w:pPr>
            <w:r>
              <w:rPr>
                <w:color w:val="1C3A36"/>
                <w:sz w:val="17"/>
              </w:rPr>
              <w:t>6,606</w:t>
            </w:r>
          </w:p>
        </w:tc>
        <w:tc>
          <w:tcPr>
            <w:tcW w:type="dxa" w:w="1325"/>
          </w:tcPr>
          <w:p>
            <w:pPr>
              <w:spacing w:after="20"/>
              <w:jc w:val="right"/>
            </w:pPr>
            <w:r>
              <w:rPr>
                <w:color w:val="1C3A36"/>
                <w:sz w:val="17"/>
              </w:rPr>
              <w:t>7,069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3,745</w:t>
            </w:r>
          </w:p>
        </w:tc>
        <w:tc>
          <w:tcPr>
            <w:tcW w:type="dxa" w:w="1325"/>
          </w:tcPr>
          <w:p>
            <w:pPr>
              <w:spacing w:after="20"/>
              <w:jc w:val="right"/>
            </w:pPr>
            <w:r>
              <w:rPr>
                <w:color w:val="1C3A36"/>
                <w:sz w:val="17"/>
              </w:rPr>
              <w:t>4,232</w:t>
            </w:r>
          </w:p>
        </w:tc>
        <w:tc>
          <w:tcPr>
            <w:tcW w:type="dxa" w:w="1325"/>
          </w:tcPr>
          <w:p>
            <w:pPr>
              <w:spacing w:after="20"/>
              <w:jc w:val="right"/>
            </w:pPr>
            <w:r>
              <w:rPr>
                <w:color w:val="1C3A36"/>
                <w:sz w:val="17"/>
              </w:rPr>
              <w:t>4,677</w:t>
            </w:r>
          </w:p>
        </w:tc>
        <w:tc>
          <w:tcPr>
            <w:tcW w:type="dxa" w:w="1325"/>
          </w:tcPr>
          <w:p>
            <w:pPr>
              <w:spacing w:after="20"/>
              <w:jc w:val="right"/>
            </w:pPr>
            <w:r>
              <w:rPr>
                <w:color w:val="1C3A36"/>
                <w:sz w:val="17"/>
              </w:rPr>
              <w:t>5,032</w:t>
            </w:r>
          </w:p>
        </w:tc>
        <w:tc>
          <w:tcPr>
            <w:tcW w:type="dxa" w:w="1325"/>
          </w:tcPr>
          <w:p>
            <w:pPr>
              <w:spacing w:after="20"/>
              <w:jc w:val="right"/>
            </w:pPr>
            <w:r>
              <w:rPr>
                <w:color w:val="1C3A36"/>
                <w:sz w:val="17"/>
              </w:rPr>
              <w:t>5,385</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shd w:val="clear" w:color="auto" w:fill="F6F1E6"/>
          </w:tcPr>
          <w:p>
            <w:pPr>
              <w:spacing w:after="20"/>
            </w:pPr>
            <w:r>
              <w:rPr>
                <w:b/>
                <w:color w:val="1C3A36"/>
                <w:sz w:val="17"/>
              </w:rPr>
              <w:t>Free cash flow to the firm</w:t>
            </w:r>
          </w:p>
        </w:tc>
        <w:tc>
          <w:tcPr>
            <w:tcW w:type="dxa" w:w="1325"/>
            <w:shd w:val="clear" w:color="auto" w:fill="F6F1E6"/>
          </w:tcPr>
          <w:p>
            <w:pPr>
              <w:spacing w:after="20"/>
              <w:jc w:val="right"/>
            </w:pPr>
            <w:r>
              <w:rPr>
                <w:b/>
                <w:color w:val="1C3A36"/>
                <w:sz w:val="17"/>
              </w:rPr>
              <w:t>1,545</w:t>
            </w:r>
          </w:p>
        </w:tc>
        <w:tc>
          <w:tcPr>
            <w:tcW w:type="dxa" w:w="1325"/>
            <w:shd w:val="clear" w:color="auto" w:fill="F6F1E6"/>
          </w:tcPr>
          <w:p>
            <w:pPr>
              <w:spacing w:after="20"/>
              <w:jc w:val="right"/>
            </w:pPr>
            <w:r>
              <w:rPr>
                <w:b/>
                <w:color w:val="1C3A36"/>
                <w:sz w:val="17"/>
              </w:rPr>
              <w:t>3,480</w:t>
            </w:r>
          </w:p>
        </w:tc>
        <w:tc>
          <w:tcPr>
            <w:tcW w:type="dxa" w:w="1325"/>
            <w:shd w:val="clear" w:color="auto" w:fill="F6F1E6"/>
          </w:tcPr>
          <w:p>
            <w:pPr>
              <w:spacing w:after="20"/>
              <w:jc w:val="right"/>
            </w:pPr>
            <w:r>
              <w:rPr>
                <w:b/>
                <w:color w:val="1C3A36"/>
                <w:sz w:val="17"/>
              </w:rPr>
              <w:t>3,960</w:t>
            </w:r>
          </w:p>
        </w:tc>
        <w:tc>
          <w:tcPr>
            <w:tcW w:type="dxa" w:w="1325"/>
            <w:shd w:val="clear" w:color="auto" w:fill="F6F1E6"/>
          </w:tcPr>
          <w:p>
            <w:pPr>
              <w:spacing w:after="20"/>
              <w:jc w:val="right"/>
            </w:pPr>
            <w:r>
              <w:rPr>
                <w:b/>
                <w:color w:val="1C3A36"/>
                <w:sz w:val="17"/>
              </w:rPr>
              <w:t>4,362</w:t>
            </w:r>
          </w:p>
        </w:tc>
        <w:tc>
          <w:tcPr>
            <w:tcW w:type="dxa" w:w="1325"/>
            <w:shd w:val="clear" w:color="auto" w:fill="F6F1E6"/>
          </w:tcPr>
          <w:p>
            <w:pPr>
              <w:spacing w:after="20"/>
              <w:jc w:val="right"/>
            </w:pPr>
            <w:r>
              <w:rPr>
                <w:b/>
                <w:color w:val="1C3A36"/>
                <w:sz w:val="17"/>
              </w:rPr>
              <w:t>4,747</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0.9409</w:t>
            </w:r>
          </w:p>
        </w:tc>
        <w:tc>
          <w:tcPr>
            <w:tcW w:type="dxa" w:w="1325"/>
          </w:tcPr>
          <w:p>
            <w:pPr>
              <w:spacing w:after="20"/>
              <w:jc w:val="right"/>
            </w:pPr>
            <w:r>
              <w:rPr>
                <w:color w:val="1C3A36"/>
                <w:sz w:val="17"/>
              </w:rPr>
              <w:t>0.7947</w:t>
            </w:r>
          </w:p>
        </w:tc>
        <w:tc>
          <w:tcPr>
            <w:tcW w:type="dxa" w:w="1325"/>
          </w:tcPr>
          <w:p>
            <w:pPr>
              <w:spacing w:after="20"/>
              <w:jc w:val="right"/>
            </w:pPr>
            <w:r>
              <w:rPr>
                <w:color w:val="1C3A36"/>
                <w:sz w:val="17"/>
              </w:rPr>
              <w:t>0.6478</w:t>
            </w:r>
          </w:p>
        </w:tc>
        <w:tc>
          <w:tcPr>
            <w:tcW w:type="dxa" w:w="1325"/>
          </w:tcPr>
          <w:p>
            <w:pPr>
              <w:spacing w:after="20"/>
              <w:jc w:val="right"/>
            </w:pPr>
            <w:r>
              <w:rPr>
                <w:color w:val="1C3A36"/>
                <w:sz w:val="17"/>
              </w:rPr>
              <w:t>0.5378</w:t>
            </w:r>
          </w:p>
        </w:tc>
        <w:tc>
          <w:tcPr>
            <w:tcW w:type="dxa" w:w="1325"/>
          </w:tcPr>
          <w:p>
            <w:pPr>
              <w:spacing w:after="20"/>
              <w:jc w:val="right"/>
            </w:pPr>
            <w:r>
              <w:rPr>
                <w:color w:val="1C3A36"/>
                <w:sz w:val="17"/>
              </w:rPr>
              <w:t>0.4521</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1,454</w:t>
            </w:r>
          </w:p>
        </w:tc>
        <w:tc>
          <w:tcPr>
            <w:tcW w:type="dxa" w:w="1325"/>
            <w:shd w:val="clear" w:color="auto" w:fill="F6F1E6"/>
          </w:tcPr>
          <w:p>
            <w:pPr>
              <w:spacing w:after="20"/>
              <w:jc w:val="right"/>
            </w:pPr>
            <w:r>
              <w:rPr>
                <w:b/>
                <w:color w:val="1C3A36"/>
                <w:sz w:val="17"/>
              </w:rPr>
              <w:t>2,766</w:t>
            </w:r>
          </w:p>
        </w:tc>
        <w:tc>
          <w:tcPr>
            <w:tcW w:type="dxa" w:w="1325"/>
            <w:shd w:val="clear" w:color="auto" w:fill="F6F1E6"/>
          </w:tcPr>
          <w:p>
            <w:pPr>
              <w:spacing w:after="20"/>
              <w:jc w:val="right"/>
            </w:pPr>
            <w:r>
              <w:rPr>
                <w:b/>
                <w:color w:val="1C3A36"/>
                <w:sz w:val="17"/>
              </w:rPr>
              <w:t>2,565</w:t>
            </w:r>
          </w:p>
        </w:tc>
        <w:tc>
          <w:tcPr>
            <w:tcW w:type="dxa" w:w="1325"/>
            <w:shd w:val="clear" w:color="auto" w:fill="F6F1E6"/>
          </w:tcPr>
          <w:p>
            <w:pPr>
              <w:spacing w:after="20"/>
              <w:jc w:val="right"/>
            </w:pPr>
            <w:r>
              <w:rPr>
                <w:b/>
                <w:color w:val="1C3A36"/>
                <w:sz w:val="17"/>
              </w:rPr>
              <w:t>2,346</w:t>
            </w:r>
          </w:p>
        </w:tc>
        <w:tc>
          <w:tcPr>
            <w:tcW w:type="dxa" w:w="1325"/>
            <w:shd w:val="clear" w:color="auto" w:fill="F6F1E6"/>
          </w:tcPr>
          <w:p>
            <w:pPr>
              <w:spacing w:after="20"/>
              <w:jc w:val="right"/>
            </w:pPr>
            <w:r>
              <w:rPr>
                <w:b/>
                <w:color w:val="1C3A36"/>
                <w:sz w:val="17"/>
              </w:rPr>
              <w:t>2,146</w:t>
            </w:r>
          </w:p>
        </w:tc>
      </w:tr>
    </w:tbl>
    <w:p>
      <w:pPr>
        <w:spacing w:after="40"/>
      </w:pPr>
    </w:p>
    <w:p>
      <w:pPr>
        <w:spacing w:after="200" w:before="0"/>
      </w:pPr>
      <w:r>
        <w:rPr>
          <w:b w:val="0"/>
          <w:i/>
          <w:color w:val="6E7B77"/>
          <w:sz w:val="17"/>
        </w:rPr>
        <w:t>Table 9 — The full build from revenue to present value. FY2026 carries only the five months not yet earned at the valuation date; the seven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Local prices are assumed to grow 51.7% in total across the five years while pound costs grow 56.6% — a real erosion of about 3%. The EBITDA margin therefore falls from the audited 39.3% to 40.4% by FY2030, still well above the 23.1% of FY2024 and far above the 22.0% of FY2023. The claim is not that the business deteriorates; it is that part of the 2025 step-change gives back as dormant capacity returns and energy reform continues. A reader who thinks the industry passes cost through faster should read the margin sensitivity in section 7: two points of margin is worth about EGP 4.92 a share.</w:t>
      </w:r>
    </w:p>
    <w:p>
      <w:pPr>
        <w:spacing w:after="120" w:before="0"/>
      </w:pPr>
      <w:r>
        <w:rPr>
          <w:b w:val="0"/>
          <w:i w:val="0"/>
          <w:color w:val="1C3A36"/>
          <w:sz w:val="21"/>
        </w:rPr>
        <w:t>That path is set below the cost path in every year, and this revision changed how it is judged rather than only where it sits. The prior edition justified it against headline inflation of 56.6% — but that is the input-price index, not the cost the model actually charges. Netting the alternative-fuel saving off the materials line, the cash cost per tonne the model charges grows 46.9%, so the real erosion is -3.1% rather than the figure previously printed. The comparison is now made against the cost the model charges.</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Holding that exit flat through 2026 would by itself produce a full-year average 7.2% higher, so the 8.0% carried here is less than a point above a path in which prices stop rising altogether. That is the sense in which this forecast is conservative, and it can now be checked rather than asserted.</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3,842mn for FY2026, +1.8% below the simple annualisation.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11,277</w:t>
            </w:r>
          </w:p>
        </w:tc>
        <w:tc>
          <w:tcPr>
            <w:tcW w:type="dxa" w:w="2160"/>
          </w:tcPr>
          <w:p>
            <w:pPr>
              <w:spacing w:after="20"/>
              <w:jc w:val="right"/>
            </w:pPr>
            <w:r>
              <w:rPr>
                <w:color w:val="1C3A36"/>
                <w:sz w:val="18"/>
              </w:rPr>
              <w:t>30.08</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12,976</w:t>
            </w:r>
          </w:p>
        </w:tc>
        <w:tc>
          <w:tcPr>
            <w:tcW w:type="dxa" w:w="2160"/>
          </w:tcPr>
          <w:p>
            <w:pPr>
              <w:spacing w:after="20"/>
              <w:jc w:val="right"/>
            </w:pPr>
            <w:r>
              <w:rPr>
                <w:color w:val="1C3A36"/>
                <w:sz w:val="18"/>
              </w:rPr>
              <w:t>34.62</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24,253</w:t>
            </w:r>
          </w:p>
        </w:tc>
        <w:tc>
          <w:tcPr>
            <w:tcW w:type="dxa" w:w="2160"/>
            <w:shd w:val="clear" w:color="auto" w:fill="F6F1E6"/>
          </w:tcPr>
          <w:p>
            <w:pPr>
              <w:spacing w:after="20"/>
              <w:jc w:val="right"/>
            </w:pPr>
            <w:r>
              <w:rPr>
                <w:b/>
                <w:color w:val="1C3A36"/>
                <w:sz w:val="18"/>
              </w:rPr>
              <w:t>64.70</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687</w:t>
            </w:r>
          </w:p>
        </w:tc>
        <w:tc>
          <w:tcPr>
            <w:tcW w:type="dxa" w:w="2160"/>
          </w:tcPr>
          <w:p>
            <w:pPr>
              <w:spacing w:after="20"/>
              <w:jc w:val="right"/>
            </w:pPr>
            <w:r>
              <w:rPr>
                <w:color w:val="1C3A36"/>
                <w:sz w:val="18"/>
              </w:rPr>
              <w:t>1.83</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24,940</w:t>
            </w:r>
          </w:p>
        </w:tc>
        <w:tc>
          <w:tcPr>
            <w:tcW w:type="dxa" w:w="2160"/>
            <w:shd w:val="clear" w:color="auto" w:fill="F6F1E6"/>
          </w:tcPr>
          <w:p>
            <w:pPr>
              <w:spacing w:after="20"/>
              <w:jc w:val="right"/>
            </w:pPr>
            <w:r>
              <w:rPr>
                <w:b/>
                <w:color w:val="1C3A36"/>
                <w:sz w:val="18"/>
              </w:rPr>
              <w:t>66.53</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53.5%</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latest known close (3 September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77.00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-13.6%</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valuation date is 30 June 2026 and the bridge stands on the balance sheet OF THAT DATE rather than on a roll-forward: cash of EGP 1,971mn less interest-bearing debt of EGP 1,283mn is net cash of EGP 687mn, or EGP 1.83 a share. The previous edition had no balance sheet for its own valuation date and had to build one — FY2025 cash, plus the cash the business would generate to that date, less the declared dividend — which came out EGP 1,253mn too generous, EGP 3.34 a share, because a projection cannot see six months of stock-building, receivables and capital spending that had in fact happened. A disclosed balance sheet beats a projection of one.</w:t>
      </w:r>
    </w:p>
    <w:p>
      <w:pPr>
        <w:spacing w:after="120" w:before="0"/>
      </w:pPr>
      <w:r>
        <w:rPr>
          <w:b w:val="0"/>
          <w:i w:val="0"/>
          <w:color w:val="1C3A36"/>
          <w:sz w:val="21"/>
        </w:rPr>
        <w:t>Minority interests are deducted, and the audited figure is the reason this line is now immaterial: EGP 216,054 at 30 June 2026, or 0.0009% of equity value. The subsidiaries are 99% to 99.99% owned.</w:t>
      </w:r>
    </w:p>
    <w:p>
      <w:pPr>
        <w:spacing w:after="120" w:before="0"/>
      </w:pPr>
      <w:r>
        <w:rPr>
          <w:b w:val="0"/>
          <w:i w:val="0"/>
          <w:color w:val="1C3A36"/>
          <w:sz w:val="21"/>
        </w:rPr>
        <w:t>At 53.5% of enterprise value, the terminal value carries less of this valuation than the two-thirds to four-fifths a long-horizon discounted cash-flow model usually ends up with, and that is a consequence of the 27.6% explicit-window discount rate rather than a design choice — at that rate the fifth forecast year is already discounted to 45%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7%,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51,191mn, being 5.0Mt at USD 130 a tonne. On that basis the return on capital in the terminal year is 11.3%.</w:t>
      </w:r>
    </w:p>
    <w:p>
      <w:pPr>
        <w:spacing w:after="120" w:before="0"/>
      </w:pPr>
      <w:r>
        <w:rPr>
          <w:b w:val="0"/>
          <w:i w:val="0"/>
          <w:color w:val="1C3A36"/>
          <w:sz w:val="21"/>
        </w:rPr>
        <w:t>WHAT THE TERMINAL CHARGES, AND WHY IT CHANGED IN THIS EDITION. Earlier revisions derived the terminal reinvestment from that return — growth divided by return on capital, which came to 62.2% of terminal profit. Substituting the definitions, that construction collapses to a fixed charge of growth multiplied by invested capital: EGP 3,583mn a year, for ever. Read as a programme for replacing the plant it implies doing so every 14.3 years — which is one divided by the growth rate, and so a fact about the inflation path rather than about the kiln. The reinvestment identity is a statement about REAL growth, and this model’s terminal real growth is zero, so the charge was buying no capacity at all.</w:t>
      </w:r>
    </w:p>
    <w:p>
      <w:pPr>
        <w:spacing w:after="120" w:before="0"/>
      </w:pPr>
      <w:r>
        <w:rPr>
          <w:b w:val="0"/>
          <w:i w:val="0"/>
          <w:color w:val="1C3A36"/>
          <w:sz w:val="21"/>
        </w:rPr>
        <w:t>This edition charges what holding the plant actually costs: capital maintenance over the useful life ARCC’s own audited accounts disclose — 20 years for machinery and equipment and for other installations — which is EGP 2,560mn a year against replacement cost, plus the working capital that inflation requires, less the book depreciation already inside terminal profit. That is the same definition of free cash flow the explicit window uses; the earlier terminal used a different one, and a model should not carry two. Three implied asset lives previously sat inside this one and disagreed by a factor of nearly three: the terminal’s 14.3 years, the explicit window’s own capital spending at 40.2 years, and the disclosed 20. The sourced figure sits between the model’s own two conventions. The explicit window and the terminal may still differ, and here they do for an economic reason: kiln 2 sits in assets under construction, so a young plant genuinely spends less than replacement depreciation for a while, while the terminal is perpetuity, where every asset must be replaced at current cost.</w:t>
      </w:r>
    </w:p>
    <w:p>
      <w:pPr>
        <w:spacing w:after="120" w:before="0"/>
      </w:pPr>
      <w:r>
        <w:rPr>
          <w:b w:val="0"/>
          <w:i w:val="0"/>
          <w:color w:val="1C3A36"/>
          <w:sz w:val="21"/>
        </w:rPr>
        <w:t>Growth in the terminal is charged at what growth costs — the capital a REAL increase in capacity requires, at the replacement cost of that capacity — and this model takes no real growth, so it charges none for it. Whether it should is the ordinary question: does a new tonne earn more than it costs? Terminal profit over invested capital is 10.52% against a terminal rate of 18.3% — 782 basis points BELOW it. Growth therefore DESTROYS value: the cash-flow lens is EGP 70.79 at 3% terminal growth and EGP 66.53 at 7%, so four extra points of perpetual growth take the value DOWN by 6.0%.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24.60%</w:t>
            </w:r>
          </w:p>
        </w:tc>
        <w:tc>
          <w:tcPr>
            <w:tcW w:type="dxa" w:w="1469"/>
          </w:tcPr>
          <w:p>
            <w:pPr>
              <w:spacing w:after="20"/>
              <w:jc w:val="right"/>
            </w:pPr>
            <w:r>
              <w:rPr>
                <w:color w:val="1C3A36"/>
                <w:sz w:val="18"/>
              </w:rPr>
              <w:t>73.15</w:t>
            </w:r>
          </w:p>
        </w:tc>
        <w:tc>
          <w:tcPr>
            <w:tcW w:type="dxa" w:w="1469"/>
          </w:tcPr>
          <w:p>
            <w:pPr>
              <w:spacing w:after="20"/>
              <w:jc w:val="right"/>
            </w:pPr>
            <w:r>
              <w:rPr>
                <w:color w:val="1C3A36"/>
                <w:sz w:val="18"/>
              </w:rPr>
              <w:t>72.39</w:t>
            </w:r>
          </w:p>
        </w:tc>
        <w:tc>
          <w:tcPr>
            <w:tcW w:type="dxa" w:w="1469"/>
          </w:tcPr>
          <w:p>
            <w:pPr>
              <w:spacing w:after="20"/>
              <w:jc w:val="right"/>
            </w:pPr>
            <w:r>
              <w:rPr>
                <w:color w:val="1C3A36"/>
                <w:sz w:val="18"/>
              </w:rPr>
              <w:t>71.43</w:t>
            </w:r>
          </w:p>
        </w:tc>
        <w:tc>
          <w:tcPr>
            <w:tcW w:type="dxa" w:w="1469"/>
          </w:tcPr>
          <w:p>
            <w:pPr>
              <w:spacing w:after="20"/>
              <w:jc w:val="right"/>
            </w:pPr>
            <w:r>
              <w:rPr>
                <w:color w:val="1C3A36"/>
                <w:sz w:val="18"/>
              </w:rPr>
              <w:t>70.23</w:t>
            </w:r>
          </w:p>
        </w:tc>
        <w:tc>
          <w:tcPr>
            <w:tcW w:type="dxa" w:w="1469"/>
          </w:tcPr>
          <w:p>
            <w:pPr>
              <w:spacing w:after="20"/>
              <w:jc w:val="right"/>
            </w:pPr>
            <w:r>
              <w:rPr>
                <w:color w:val="1C3A36"/>
                <w:sz w:val="18"/>
              </w:rPr>
              <w:t>68.72</w:t>
            </w:r>
          </w:p>
        </w:tc>
      </w:tr>
      <w:tr>
        <w:tc>
          <w:tcPr>
            <w:tcW w:type="dxa" w:w="2477"/>
          </w:tcPr>
          <w:p>
            <w:pPr>
              <w:spacing w:after="20"/>
            </w:pPr>
            <w:r>
              <w:rPr>
                <w:color w:val="1C3A36"/>
                <w:sz w:val="18"/>
              </w:rPr>
              <w:t>26.10%</w:t>
            </w:r>
          </w:p>
        </w:tc>
        <w:tc>
          <w:tcPr>
            <w:tcW w:type="dxa" w:w="1469"/>
          </w:tcPr>
          <w:p>
            <w:pPr>
              <w:spacing w:after="20"/>
              <w:jc w:val="right"/>
            </w:pPr>
            <w:r>
              <w:rPr>
                <w:color w:val="1C3A36"/>
                <w:sz w:val="18"/>
              </w:rPr>
              <w:t>71.96</w:t>
            </w:r>
          </w:p>
        </w:tc>
        <w:tc>
          <w:tcPr>
            <w:tcW w:type="dxa" w:w="1469"/>
          </w:tcPr>
          <w:p>
            <w:pPr>
              <w:spacing w:after="20"/>
              <w:jc w:val="right"/>
            </w:pPr>
            <w:r>
              <w:rPr>
                <w:color w:val="1C3A36"/>
                <w:sz w:val="18"/>
              </w:rPr>
              <w:t>71.21</w:t>
            </w:r>
          </w:p>
        </w:tc>
        <w:tc>
          <w:tcPr>
            <w:tcW w:type="dxa" w:w="1469"/>
          </w:tcPr>
          <w:p>
            <w:pPr>
              <w:spacing w:after="20"/>
              <w:jc w:val="right"/>
            </w:pPr>
            <w:r>
              <w:rPr>
                <w:color w:val="1C3A36"/>
                <w:sz w:val="18"/>
              </w:rPr>
              <w:t>70.27</w:t>
            </w:r>
          </w:p>
        </w:tc>
        <w:tc>
          <w:tcPr>
            <w:tcW w:type="dxa" w:w="1469"/>
          </w:tcPr>
          <w:p>
            <w:pPr>
              <w:spacing w:after="20"/>
              <w:jc w:val="right"/>
            </w:pPr>
            <w:r>
              <w:rPr>
                <w:color w:val="1C3A36"/>
                <w:sz w:val="18"/>
              </w:rPr>
              <w:t>69.09</w:t>
            </w:r>
          </w:p>
        </w:tc>
        <w:tc>
          <w:tcPr>
            <w:tcW w:type="dxa" w:w="1469"/>
          </w:tcPr>
          <w:p>
            <w:pPr>
              <w:spacing w:after="20"/>
              <w:jc w:val="right"/>
            </w:pPr>
            <w:r>
              <w:rPr>
                <w:color w:val="1C3A36"/>
                <w:sz w:val="18"/>
              </w:rPr>
              <w:t>67.61</w:t>
            </w:r>
          </w:p>
        </w:tc>
      </w:tr>
      <w:tr>
        <w:tc>
          <w:tcPr>
            <w:tcW w:type="dxa" w:w="2477"/>
          </w:tcPr>
          <w:p>
            <w:pPr>
              <w:spacing w:after="20"/>
            </w:pPr>
            <w:r>
              <w:rPr>
                <w:color w:val="1C3A36"/>
                <w:sz w:val="18"/>
              </w:rPr>
              <w:t>27.60%</w:t>
            </w:r>
          </w:p>
        </w:tc>
        <w:tc>
          <w:tcPr>
            <w:tcW w:type="dxa" w:w="1469"/>
          </w:tcPr>
          <w:p>
            <w:pPr>
              <w:spacing w:after="20"/>
              <w:jc w:val="right"/>
            </w:pPr>
            <w:r>
              <w:rPr>
                <w:color w:val="1C3A36"/>
                <w:sz w:val="18"/>
              </w:rPr>
              <w:t>70.79</w:t>
            </w:r>
          </w:p>
        </w:tc>
        <w:tc>
          <w:tcPr>
            <w:tcW w:type="dxa" w:w="1469"/>
          </w:tcPr>
          <w:p>
            <w:pPr>
              <w:spacing w:after="20"/>
              <w:jc w:val="right"/>
            </w:pPr>
            <w:r>
              <w:rPr>
                <w:color w:val="1C3A36"/>
                <w:sz w:val="18"/>
              </w:rPr>
              <w:t>70.06</w:t>
            </w:r>
          </w:p>
        </w:tc>
        <w:tc>
          <w:tcPr>
            <w:tcW w:type="dxa" w:w="1469"/>
          </w:tcPr>
          <w:p>
            <w:pPr>
              <w:spacing w:after="20"/>
              <w:jc w:val="right"/>
            </w:pPr>
            <w:r>
              <w:rPr>
                <w:color w:val="1C3A36"/>
                <w:sz w:val="18"/>
              </w:rPr>
              <w:t>69.14</w:t>
            </w:r>
          </w:p>
        </w:tc>
        <w:tc>
          <w:tcPr>
            <w:tcW w:type="dxa" w:w="1469"/>
          </w:tcPr>
          <w:p>
            <w:pPr>
              <w:spacing w:after="20"/>
              <w:jc w:val="right"/>
            </w:pPr>
            <w:r>
              <w:rPr>
                <w:color w:val="1C3A36"/>
                <w:sz w:val="18"/>
              </w:rPr>
              <w:t>67.98</w:t>
            </w:r>
          </w:p>
        </w:tc>
        <w:tc>
          <w:tcPr>
            <w:tcW w:type="dxa" w:w="1469"/>
          </w:tcPr>
          <w:p>
            <w:pPr>
              <w:spacing w:after="20"/>
              <w:jc w:val="right"/>
            </w:pPr>
            <w:r>
              <w:rPr>
                <w:color w:val="1C3A36"/>
                <w:sz w:val="18"/>
              </w:rPr>
              <w:t>66.53</w:t>
            </w:r>
          </w:p>
        </w:tc>
      </w:tr>
      <w:tr>
        <w:tc>
          <w:tcPr>
            <w:tcW w:type="dxa" w:w="2477"/>
          </w:tcPr>
          <w:p>
            <w:pPr>
              <w:spacing w:after="20"/>
            </w:pPr>
            <w:r>
              <w:rPr>
                <w:color w:val="1C3A36"/>
                <w:sz w:val="18"/>
              </w:rPr>
              <w:t>29.10%</w:t>
            </w:r>
          </w:p>
        </w:tc>
        <w:tc>
          <w:tcPr>
            <w:tcW w:type="dxa" w:w="1469"/>
          </w:tcPr>
          <w:p>
            <w:pPr>
              <w:spacing w:after="20"/>
              <w:jc w:val="right"/>
            </w:pPr>
            <w:r>
              <w:rPr>
                <w:color w:val="1C3A36"/>
                <w:sz w:val="18"/>
              </w:rPr>
              <w:t>69.65</w:t>
            </w:r>
          </w:p>
        </w:tc>
        <w:tc>
          <w:tcPr>
            <w:tcW w:type="dxa" w:w="1469"/>
          </w:tcPr>
          <w:p>
            <w:pPr>
              <w:spacing w:after="20"/>
              <w:jc w:val="right"/>
            </w:pPr>
            <w:r>
              <w:rPr>
                <w:color w:val="1C3A36"/>
                <w:sz w:val="18"/>
              </w:rPr>
              <w:t>68.94</w:t>
            </w:r>
          </w:p>
        </w:tc>
        <w:tc>
          <w:tcPr>
            <w:tcW w:type="dxa" w:w="1469"/>
          </w:tcPr>
          <w:p>
            <w:pPr>
              <w:spacing w:after="20"/>
              <w:jc w:val="right"/>
            </w:pPr>
            <w:r>
              <w:rPr>
                <w:color w:val="1C3A36"/>
                <w:sz w:val="18"/>
              </w:rPr>
              <w:t>68.03</w:t>
            </w:r>
          </w:p>
        </w:tc>
        <w:tc>
          <w:tcPr>
            <w:tcW w:type="dxa" w:w="1469"/>
          </w:tcPr>
          <w:p>
            <w:pPr>
              <w:spacing w:after="20"/>
              <w:jc w:val="right"/>
            </w:pPr>
            <w:r>
              <w:rPr>
                <w:color w:val="1C3A36"/>
                <w:sz w:val="18"/>
              </w:rPr>
              <w:t>66.90</w:t>
            </w:r>
          </w:p>
        </w:tc>
        <w:tc>
          <w:tcPr>
            <w:tcW w:type="dxa" w:w="1469"/>
          </w:tcPr>
          <w:p>
            <w:pPr>
              <w:spacing w:after="20"/>
              <w:jc w:val="right"/>
            </w:pPr>
            <w:r>
              <w:rPr>
                <w:color w:val="1C3A36"/>
                <w:sz w:val="18"/>
              </w:rPr>
              <w:t>65.47</w:t>
            </w:r>
          </w:p>
        </w:tc>
      </w:tr>
      <w:tr>
        <w:tc>
          <w:tcPr>
            <w:tcW w:type="dxa" w:w="2477"/>
          </w:tcPr>
          <w:p>
            <w:pPr>
              <w:spacing w:after="20"/>
            </w:pPr>
            <w:r>
              <w:rPr>
                <w:color w:val="1C3A36"/>
                <w:sz w:val="18"/>
              </w:rPr>
              <w:t>30.60%</w:t>
            </w:r>
          </w:p>
        </w:tc>
        <w:tc>
          <w:tcPr>
            <w:tcW w:type="dxa" w:w="1469"/>
          </w:tcPr>
          <w:p>
            <w:pPr>
              <w:spacing w:after="20"/>
              <w:jc w:val="right"/>
            </w:pPr>
            <w:r>
              <w:rPr>
                <w:color w:val="1C3A36"/>
                <w:sz w:val="18"/>
              </w:rPr>
              <w:t>68.55</w:t>
            </w:r>
          </w:p>
        </w:tc>
        <w:tc>
          <w:tcPr>
            <w:tcW w:type="dxa" w:w="1469"/>
          </w:tcPr>
          <w:p>
            <w:pPr>
              <w:spacing w:after="20"/>
              <w:jc w:val="right"/>
            </w:pPr>
            <w:r>
              <w:rPr>
                <w:color w:val="1C3A36"/>
                <w:sz w:val="18"/>
              </w:rPr>
              <w:t>67.84</w:t>
            </w:r>
          </w:p>
        </w:tc>
        <w:tc>
          <w:tcPr>
            <w:tcW w:type="dxa" w:w="1469"/>
          </w:tcPr>
          <w:p>
            <w:pPr>
              <w:spacing w:after="20"/>
              <w:jc w:val="right"/>
            </w:pPr>
            <w:r>
              <w:rPr>
                <w:color w:val="1C3A36"/>
                <w:sz w:val="18"/>
              </w:rPr>
              <w:t>66.96</w:t>
            </w:r>
          </w:p>
        </w:tc>
        <w:tc>
          <w:tcPr>
            <w:tcW w:type="dxa" w:w="1469"/>
          </w:tcPr>
          <w:p>
            <w:pPr>
              <w:spacing w:after="20"/>
              <w:jc w:val="right"/>
            </w:pPr>
            <w:r>
              <w:rPr>
                <w:color w:val="1C3A36"/>
                <w:sz w:val="18"/>
              </w:rPr>
              <w:t>65.84</w:t>
            </w:r>
          </w:p>
        </w:tc>
        <w:tc>
          <w:tcPr>
            <w:tcW w:type="dxa" w:w="1469"/>
          </w:tcPr>
          <w:p>
            <w:pPr>
              <w:spacing w:after="20"/>
              <w:jc w:val="right"/>
            </w:pPr>
            <w:r>
              <w:rPr>
                <w:color w:val="1C3A36"/>
                <w:sz w:val="18"/>
              </w:rPr>
              <w:t>64.45</w:t>
            </w:r>
          </w:p>
        </w:tc>
      </w:tr>
    </w:tbl>
    <w:p>
      <w:pPr>
        <w:spacing w:after="40"/>
      </w:pPr>
    </w:p>
    <w:p>
      <w:pPr>
        <w:spacing w:after="200" w:before="0"/>
      </w:pPr>
      <w:r>
        <w:rPr>
          <w:b w:val="0"/>
          <w:i/>
          <w:color w:val="6E7B77"/>
          <w:sz w:val="17"/>
        </w:rPr>
        <w:t>Table 11 — Fair value per share across the explicit-window cost of capital and terminal growth. Growth is the WEAKER of the two levers here and it points DOWN: across a row the value moves EGP 4.43, against EGP 4.60 down a column. The paragraphs above set out why the growth axis is nearly flat — on a replacement-cost denominator this plant sits within -782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16.3%</w:t>
            </w:r>
          </w:p>
        </w:tc>
        <w:tc>
          <w:tcPr>
            <w:tcW w:type="dxa" w:w="1469"/>
            <w:shd w:val="clear" w:color="auto" w:fill="EAF0EE"/>
          </w:tcPr>
          <w:p>
            <w:pPr>
              <w:spacing w:after="20"/>
            </w:pPr>
            <w:r>
              <w:rPr>
                <w:b/>
                <w:color w:val="1C3A36"/>
                <w:sz w:val="18"/>
              </w:rPr>
              <w:t>17.3%</w:t>
            </w:r>
          </w:p>
        </w:tc>
        <w:tc>
          <w:tcPr>
            <w:tcW w:type="dxa" w:w="1469"/>
            <w:shd w:val="clear" w:color="auto" w:fill="EAF0EE"/>
          </w:tcPr>
          <w:p>
            <w:pPr>
              <w:spacing w:after="20"/>
            </w:pPr>
            <w:r>
              <w:rPr>
                <w:b/>
                <w:color w:val="1C3A36"/>
                <w:sz w:val="18"/>
              </w:rPr>
              <w:t>18.3%</w:t>
            </w:r>
          </w:p>
        </w:tc>
        <w:tc>
          <w:tcPr>
            <w:tcW w:type="dxa" w:w="1469"/>
            <w:shd w:val="clear" w:color="auto" w:fill="EAF0EE"/>
          </w:tcPr>
          <w:p>
            <w:pPr>
              <w:spacing w:after="20"/>
            </w:pPr>
            <w:r>
              <w:rPr>
                <w:b/>
                <w:color w:val="1C3A36"/>
                <w:sz w:val="18"/>
              </w:rPr>
              <w:t>19.3%</w:t>
            </w:r>
          </w:p>
        </w:tc>
        <w:tc>
          <w:tcPr>
            <w:tcW w:type="dxa" w:w="1469"/>
            <w:shd w:val="clear" w:color="auto" w:fill="EAF0EE"/>
          </w:tcPr>
          <w:p>
            <w:pPr>
              <w:spacing w:after="20"/>
            </w:pPr>
            <w:r>
              <w:rPr>
                <w:b/>
                <w:color w:val="1C3A36"/>
                <w:sz w:val="18"/>
              </w:rPr>
              <w:t>20.3%</w:t>
            </w:r>
          </w:p>
        </w:tc>
      </w:tr>
      <w:tr>
        <w:tc>
          <w:tcPr>
            <w:tcW w:type="dxa" w:w="2477"/>
          </w:tcPr>
          <w:p>
            <w:pPr>
              <w:spacing w:after="20"/>
            </w:pPr>
            <w:r>
              <w:rPr>
                <w:color w:val="1C3A36"/>
                <w:sz w:val="18"/>
              </w:rPr>
              <w:t>24.60%</w:t>
            </w:r>
          </w:p>
        </w:tc>
        <w:tc>
          <w:tcPr>
            <w:tcW w:type="dxa" w:w="1469"/>
          </w:tcPr>
          <w:p>
            <w:pPr>
              <w:spacing w:after="20"/>
              <w:jc w:val="right"/>
            </w:pPr>
            <w:r>
              <w:rPr>
                <w:color w:val="1C3A36"/>
                <w:sz w:val="18"/>
              </w:rPr>
              <w:t>79.15</w:t>
            </w:r>
          </w:p>
        </w:tc>
        <w:tc>
          <w:tcPr>
            <w:tcW w:type="dxa" w:w="1469"/>
          </w:tcPr>
          <w:p>
            <w:pPr>
              <w:spacing w:after="20"/>
              <w:jc w:val="right"/>
            </w:pPr>
            <w:r>
              <w:rPr>
                <w:color w:val="1C3A36"/>
                <w:sz w:val="18"/>
              </w:rPr>
              <w:t>73.44</w:t>
            </w:r>
          </w:p>
        </w:tc>
        <w:tc>
          <w:tcPr>
            <w:tcW w:type="dxa" w:w="1469"/>
          </w:tcPr>
          <w:p>
            <w:pPr>
              <w:spacing w:after="20"/>
              <w:jc w:val="right"/>
            </w:pPr>
            <w:r>
              <w:rPr>
                <w:color w:val="1C3A36"/>
                <w:sz w:val="18"/>
              </w:rPr>
              <w:t>68.72</w:t>
            </w:r>
          </w:p>
        </w:tc>
        <w:tc>
          <w:tcPr>
            <w:tcW w:type="dxa" w:w="1469"/>
          </w:tcPr>
          <w:p>
            <w:pPr>
              <w:spacing w:after="20"/>
              <w:jc w:val="right"/>
            </w:pPr>
            <w:r>
              <w:rPr>
                <w:color w:val="1C3A36"/>
                <w:sz w:val="18"/>
              </w:rPr>
              <w:t>64.76</w:t>
            </w:r>
          </w:p>
        </w:tc>
        <w:tc>
          <w:tcPr>
            <w:tcW w:type="dxa" w:w="1469"/>
          </w:tcPr>
          <w:p>
            <w:pPr>
              <w:spacing w:after="20"/>
              <w:jc w:val="right"/>
            </w:pPr>
            <w:r>
              <w:rPr>
                <w:color w:val="1C3A36"/>
                <w:sz w:val="18"/>
              </w:rPr>
              <w:t>61.38</w:t>
            </w:r>
          </w:p>
        </w:tc>
      </w:tr>
      <w:tr>
        <w:tc>
          <w:tcPr>
            <w:tcW w:type="dxa" w:w="2477"/>
          </w:tcPr>
          <w:p>
            <w:pPr>
              <w:spacing w:after="20"/>
            </w:pPr>
            <w:r>
              <w:rPr>
                <w:color w:val="1C3A36"/>
                <w:sz w:val="18"/>
              </w:rPr>
              <w:t>26.10%</w:t>
            </w:r>
          </w:p>
        </w:tc>
        <w:tc>
          <w:tcPr>
            <w:tcW w:type="dxa" w:w="1469"/>
          </w:tcPr>
          <w:p>
            <w:pPr>
              <w:spacing w:after="20"/>
              <w:jc w:val="right"/>
            </w:pPr>
            <w:r>
              <w:rPr>
                <w:color w:val="1C3A36"/>
                <w:sz w:val="18"/>
              </w:rPr>
              <w:t>77.83</w:t>
            </w:r>
          </w:p>
        </w:tc>
        <w:tc>
          <w:tcPr>
            <w:tcW w:type="dxa" w:w="1469"/>
          </w:tcPr>
          <w:p>
            <w:pPr>
              <w:spacing w:after="20"/>
              <w:jc w:val="right"/>
            </w:pPr>
            <w:r>
              <w:rPr>
                <w:color w:val="1C3A36"/>
                <w:sz w:val="18"/>
              </w:rPr>
              <w:t>72.24</w:t>
            </w:r>
          </w:p>
        </w:tc>
        <w:tc>
          <w:tcPr>
            <w:tcW w:type="dxa" w:w="1469"/>
          </w:tcPr>
          <w:p>
            <w:pPr>
              <w:spacing w:after="20"/>
              <w:jc w:val="right"/>
            </w:pPr>
            <w:r>
              <w:rPr>
                <w:color w:val="1C3A36"/>
                <w:sz w:val="18"/>
              </w:rPr>
              <w:t>67.61</w:t>
            </w:r>
          </w:p>
        </w:tc>
        <w:tc>
          <w:tcPr>
            <w:tcW w:type="dxa" w:w="1469"/>
          </w:tcPr>
          <w:p>
            <w:pPr>
              <w:spacing w:after="20"/>
              <w:jc w:val="right"/>
            </w:pPr>
            <w:r>
              <w:rPr>
                <w:color w:val="1C3A36"/>
                <w:sz w:val="18"/>
              </w:rPr>
              <w:t>63.73</w:t>
            </w:r>
          </w:p>
        </w:tc>
        <w:tc>
          <w:tcPr>
            <w:tcW w:type="dxa" w:w="1469"/>
          </w:tcPr>
          <w:p>
            <w:pPr>
              <w:spacing w:after="20"/>
              <w:jc w:val="right"/>
            </w:pPr>
            <w:r>
              <w:rPr>
                <w:color w:val="1C3A36"/>
                <w:sz w:val="18"/>
              </w:rPr>
              <w:t>60.42</w:t>
            </w:r>
          </w:p>
        </w:tc>
      </w:tr>
      <w:tr>
        <w:tc>
          <w:tcPr>
            <w:tcW w:type="dxa" w:w="2477"/>
          </w:tcPr>
          <w:p>
            <w:pPr>
              <w:spacing w:after="20"/>
            </w:pPr>
            <w:r>
              <w:rPr>
                <w:color w:val="1C3A36"/>
                <w:sz w:val="18"/>
              </w:rPr>
              <w:t>27.60%</w:t>
            </w:r>
          </w:p>
        </w:tc>
        <w:tc>
          <w:tcPr>
            <w:tcW w:type="dxa" w:w="1469"/>
          </w:tcPr>
          <w:p>
            <w:pPr>
              <w:spacing w:after="20"/>
              <w:jc w:val="right"/>
            </w:pPr>
            <w:r>
              <w:rPr>
                <w:color w:val="1C3A36"/>
                <w:sz w:val="18"/>
              </w:rPr>
              <w:t>76.55</w:t>
            </w:r>
          </w:p>
        </w:tc>
        <w:tc>
          <w:tcPr>
            <w:tcW w:type="dxa" w:w="1469"/>
          </w:tcPr>
          <w:p>
            <w:pPr>
              <w:spacing w:after="20"/>
              <w:jc w:val="right"/>
            </w:pPr>
            <w:r>
              <w:rPr>
                <w:color w:val="1C3A36"/>
                <w:sz w:val="18"/>
              </w:rPr>
              <w:t>71.06</w:t>
            </w:r>
          </w:p>
        </w:tc>
        <w:tc>
          <w:tcPr>
            <w:tcW w:type="dxa" w:w="1469"/>
          </w:tcPr>
          <w:p>
            <w:pPr>
              <w:spacing w:after="20"/>
              <w:jc w:val="right"/>
            </w:pPr>
            <w:r>
              <w:rPr>
                <w:color w:val="1C3A36"/>
                <w:sz w:val="18"/>
              </w:rPr>
              <w:t>66.53</w:t>
            </w:r>
          </w:p>
        </w:tc>
        <w:tc>
          <w:tcPr>
            <w:tcW w:type="dxa" w:w="1469"/>
          </w:tcPr>
          <w:p>
            <w:pPr>
              <w:spacing w:after="20"/>
              <w:jc w:val="right"/>
            </w:pPr>
            <w:r>
              <w:rPr>
                <w:color w:val="1C3A36"/>
                <w:sz w:val="18"/>
              </w:rPr>
              <w:t>62.72</w:t>
            </w:r>
          </w:p>
        </w:tc>
        <w:tc>
          <w:tcPr>
            <w:tcW w:type="dxa" w:w="1469"/>
          </w:tcPr>
          <w:p>
            <w:pPr>
              <w:spacing w:after="20"/>
              <w:jc w:val="right"/>
            </w:pPr>
            <w:r>
              <w:rPr>
                <w:color w:val="1C3A36"/>
                <w:sz w:val="18"/>
              </w:rPr>
              <w:t>59.47</w:t>
            </w:r>
          </w:p>
        </w:tc>
      </w:tr>
      <w:tr>
        <w:tc>
          <w:tcPr>
            <w:tcW w:type="dxa" w:w="2477"/>
          </w:tcPr>
          <w:p>
            <w:pPr>
              <w:spacing w:after="20"/>
            </w:pPr>
            <w:r>
              <w:rPr>
                <w:color w:val="1C3A36"/>
                <w:sz w:val="18"/>
              </w:rPr>
              <w:t>29.10%</w:t>
            </w:r>
          </w:p>
        </w:tc>
        <w:tc>
          <w:tcPr>
            <w:tcW w:type="dxa" w:w="1469"/>
          </w:tcPr>
          <w:p>
            <w:pPr>
              <w:spacing w:after="20"/>
              <w:jc w:val="right"/>
            </w:pPr>
            <w:r>
              <w:rPr>
                <w:color w:val="1C3A36"/>
                <w:sz w:val="18"/>
              </w:rPr>
              <w:t>75.30</w:t>
            </w:r>
          </w:p>
        </w:tc>
        <w:tc>
          <w:tcPr>
            <w:tcW w:type="dxa" w:w="1469"/>
          </w:tcPr>
          <w:p>
            <w:pPr>
              <w:spacing w:after="20"/>
              <w:jc w:val="right"/>
            </w:pPr>
            <w:r>
              <w:rPr>
                <w:color w:val="1C3A36"/>
                <w:sz w:val="18"/>
              </w:rPr>
              <w:t>69.92</w:t>
            </w:r>
          </w:p>
        </w:tc>
        <w:tc>
          <w:tcPr>
            <w:tcW w:type="dxa" w:w="1469"/>
          </w:tcPr>
          <w:p>
            <w:pPr>
              <w:spacing w:after="20"/>
              <w:jc w:val="right"/>
            </w:pPr>
            <w:r>
              <w:rPr>
                <w:color w:val="1C3A36"/>
                <w:sz w:val="18"/>
              </w:rPr>
              <w:t>65.47</w:t>
            </w:r>
          </w:p>
        </w:tc>
        <w:tc>
          <w:tcPr>
            <w:tcW w:type="dxa" w:w="1469"/>
          </w:tcPr>
          <w:p>
            <w:pPr>
              <w:spacing w:after="20"/>
              <w:jc w:val="right"/>
            </w:pPr>
            <w:r>
              <w:rPr>
                <w:color w:val="1C3A36"/>
                <w:sz w:val="18"/>
              </w:rPr>
              <w:t>61.74</w:t>
            </w:r>
          </w:p>
        </w:tc>
        <w:tc>
          <w:tcPr>
            <w:tcW w:type="dxa" w:w="1469"/>
          </w:tcPr>
          <w:p>
            <w:pPr>
              <w:spacing w:after="20"/>
              <w:jc w:val="right"/>
            </w:pPr>
            <w:r>
              <w:rPr>
                <w:color w:val="1C3A36"/>
                <w:sz w:val="18"/>
              </w:rPr>
              <w:t>58.56</w:t>
            </w:r>
          </w:p>
        </w:tc>
      </w:tr>
      <w:tr>
        <w:tc>
          <w:tcPr>
            <w:tcW w:type="dxa" w:w="2477"/>
          </w:tcPr>
          <w:p>
            <w:pPr>
              <w:spacing w:after="20"/>
            </w:pPr>
            <w:r>
              <w:rPr>
                <w:color w:val="1C3A36"/>
                <w:sz w:val="18"/>
              </w:rPr>
              <w:t>30.60%</w:t>
            </w:r>
          </w:p>
        </w:tc>
        <w:tc>
          <w:tcPr>
            <w:tcW w:type="dxa" w:w="1469"/>
          </w:tcPr>
          <w:p>
            <w:pPr>
              <w:spacing w:after="20"/>
              <w:jc w:val="right"/>
            </w:pPr>
            <w:r>
              <w:rPr>
                <w:color w:val="1C3A36"/>
                <w:sz w:val="18"/>
              </w:rPr>
              <w:t>74.08</w:t>
            </w:r>
          </w:p>
        </w:tc>
        <w:tc>
          <w:tcPr>
            <w:tcW w:type="dxa" w:w="1469"/>
          </w:tcPr>
          <w:p>
            <w:pPr>
              <w:spacing w:after="20"/>
              <w:jc w:val="right"/>
            </w:pPr>
            <w:r>
              <w:rPr>
                <w:color w:val="1C3A36"/>
                <w:sz w:val="18"/>
              </w:rPr>
              <w:t>68.80</w:t>
            </w:r>
          </w:p>
        </w:tc>
        <w:tc>
          <w:tcPr>
            <w:tcW w:type="dxa" w:w="1469"/>
          </w:tcPr>
          <w:p>
            <w:pPr>
              <w:spacing w:after="20"/>
              <w:jc w:val="right"/>
            </w:pPr>
            <w:r>
              <w:rPr>
                <w:color w:val="1C3A36"/>
                <w:sz w:val="18"/>
              </w:rPr>
              <w:t>64.45</w:t>
            </w:r>
          </w:p>
        </w:tc>
        <w:tc>
          <w:tcPr>
            <w:tcW w:type="dxa" w:w="1469"/>
          </w:tcPr>
          <w:p>
            <w:pPr>
              <w:spacing w:after="20"/>
              <w:jc w:val="right"/>
            </w:pPr>
            <w:r>
              <w:rPr>
                <w:color w:val="1C3A36"/>
                <w:sz w:val="18"/>
              </w:rPr>
              <w:t>60.78</w:t>
            </w:r>
          </w:p>
        </w:tc>
        <w:tc>
          <w:tcPr>
            <w:tcW w:type="dxa" w:w="1469"/>
          </w:tcPr>
          <w:p>
            <w:pPr>
              <w:spacing w:after="20"/>
              <w:jc w:val="right"/>
            </w:pPr>
            <w:r>
              <w:rPr>
                <w:color w:val="1C3A36"/>
                <w:sz w:val="18"/>
              </w:rPr>
              <w:t>57.66</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is why this lens carries 20% and not more.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112.0 per annual tonne. This lens carries only 8%,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the POUND-EQUIVALENT cost of a euro debt book (adopted) vs the contracted euro rate</w:t>
            </w:r>
          </w:p>
        </w:tc>
        <w:tc>
          <w:tcPr>
            <w:tcW w:type="dxa" w:w="1512"/>
          </w:tcPr>
          <w:p>
            <w:pPr>
              <w:spacing w:after="20"/>
              <w:jc w:val="right"/>
            </w:pPr>
            <w:r>
              <w:rPr>
                <w:color w:val="1C3A36"/>
                <w:sz w:val="17"/>
              </w:rPr>
              <w:t>13.36%</w:t>
            </w:r>
          </w:p>
        </w:tc>
        <w:tc>
          <w:tcPr>
            <w:tcW w:type="dxa" w:w="1728"/>
          </w:tcPr>
          <w:p>
            <w:pPr>
              <w:spacing w:after="20"/>
              <w:jc w:val="right"/>
            </w:pPr>
            <w:r>
              <w:rPr>
                <w:color w:val="1C3A36"/>
                <w:sz w:val="17"/>
              </w:rPr>
              <w:t>7.89%</w:t>
            </w:r>
          </w:p>
        </w:tc>
        <w:tc>
          <w:tcPr>
            <w:tcW w:type="dxa" w:w="2448"/>
          </w:tcPr>
          <w:p>
            <w:pPr>
              <w:spacing w:after="20"/>
              <w:jc w:val="right"/>
            </w:pPr>
            <w:r>
              <w:rPr>
                <w:color w:val="1C3A36"/>
                <w:sz w:val="17"/>
              </w:rPr>
              <w:t>66.64  (+0.2%)</w:t>
            </w:r>
          </w:p>
        </w:tc>
      </w:tr>
      <w:tr>
        <w:tc>
          <w:tcPr>
            <w:tcW w:type="dxa" w:w="3672"/>
          </w:tcPr>
          <w:p>
            <w:pPr>
              <w:spacing w:after="20"/>
            </w:pPr>
            <w:r>
              <w:rPr>
                <w:color w:val="1C3A36"/>
                <w:sz w:val="17"/>
              </w:rPr>
              <w:t>Beta: same-country peer median (adopted, tier 2) vs the own-stock regression against the EGX30 that is too weak to use: its R-squared of 0.047 leaves the slope indistinguishable from noise</w:t>
            </w:r>
          </w:p>
        </w:tc>
        <w:tc>
          <w:tcPr>
            <w:tcW w:type="dxa" w:w="1512"/>
          </w:tcPr>
          <w:p>
            <w:pPr>
              <w:spacing w:after="20"/>
              <w:jc w:val="right"/>
            </w:pPr>
            <w:r>
              <w:rPr>
                <w:color w:val="1C3A36"/>
                <w:sz w:val="17"/>
              </w:rPr>
              <w:t>0.928</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74.54  (+12.0%)</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3.23/t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70.62  (+6.2%)</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77.00. Both models reproduce FY2025 revenue, cost of sales, gross profit, D&amp;A, capex and net cash to the pound, so the whole EGP 3.22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-6.69</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+9.77</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+11.67</w:t>
            </w:r>
          </w:p>
        </w:tc>
        <w:tc>
          <w:tcPr>
            <w:tcW w:type="dxa" w:w="4320"/>
          </w:tcPr>
          <w:p>
            <w:pPr>
              <w:spacing w:after="20"/>
              <w:jc w:val="right"/>
            </w:pPr>
            <w:r>
              <w:rPr>
                <w:color w:val="1C3A36"/>
                <w:sz w:val="17"/>
              </w:rPr>
              <w:t>growth must fund itself: 56.8% back in</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-6.19</w:t>
            </w:r>
          </w:p>
        </w:tc>
        <w:tc>
          <w:tcPr>
            <w:tcW w:type="dxa" w:w="4320"/>
          </w:tcPr>
          <w:p>
            <w:pPr>
              <w:spacing w:after="20"/>
              <w:jc w:val="right"/>
            </w:pPr>
            <w:r>
              <w:rPr>
                <w:color w:val="1C3A36"/>
                <w:sz w:val="17"/>
              </w:rPr>
              <w:t>their flat 20.06% vs our 24.5%→14.5%</w:t>
            </w:r>
          </w:p>
        </w:tc>
      </w:tr>
      <w:tr>
        <w:tc>
          <w:tcPr>
            <w:tcW w:type="dxa" w:w="3816"/>
          </w:tcPr>
          <w:p>
            <w:pPr>
              <w:spacing w:after="20"/>
            </w:pPr>
            <w:r>
              <w:rPr>
                <w:color w:val="1C3A36"/>
                <w:sz w:val="17"/>
              </w:rPr>
              <w:t>Valuation date 1 Jan → 6 Aug</w:t>
            </w:r>
          </w:p>
        </w:tc>
        <w:tc>
          <w:tcPr>
            <w:tcW w:type="dxa" w:w="1224"/>
          </w:tcPr>
          <w:p>
            <w:pPr>
              <w:spacing w:after="20"/>
              <w:jc w:val="right"/>
            </w:pPr>
            <w:r>
              <w:rPr>
                <w:color w:val="1C3A36"/>
                <w:sz w:val="17"/>
              </w:rPr>
              <w:t>-3.96</w:t>
            </w:r>
          </w:p>
        </w:tc>
        <w:tc>
          <w:tcPr>
            <w:tcW w:type="dxa" w:w="4320"/>
          </w:tcPr>
          <w:p>
            <w:pPr>
              <w:spacing w:after="20"/>
              <w:jc w:val="right"/>
            </w:pPr>
            <w:r>
              <w:rPr>
                <w:color w:val="1C3A36"/>
                <w:sz w:val="17"/>
              </w:rPr>
              <w:t>-5.33 out of window, +1.37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Share count, reconciliation</w:t>
            </w:r>
          </w:p>
        </w:tc>
        <w:tc>
          <w:tcPr>
            <w:tcW w:type="dxa" w:w="1224"/>
          </w:tcPr>
          <w:p>
            <w:pPr>
              <w:spacing w:after="20"/>
              <w:jc w:val="right"/>
            </w:pPr>
            <w:r>
              <w:rPr>
                <w:color w:val="1C3A36"/>
                <w:sz w:val="17"/>
              </w:rPr>
              <w:t>-0.04</w:t>
            </w:r>
          </w:p>
        </w:tc>
        <w:tc>
          <w:tcPr>
            <w:tcW w:type="dxa" w:w="4320"/>
          </w:tcPr>
          <w:p>
            <w:pPr>
              <w:spacing w:after="20"/>
              <w:jc w:val="right"/>
            </w:pPr>
            <w:r>
              <w:rPr>
                <w:color w:val="1C3A36"/>
                <w:sz w:val="17"/>
              </w:rPr>
              <w:t>374.867 vs 375.0, and the full re-run</w:t>
            </w:r>
          </w:p>
        </w:tc>
      </w:tr>
      <w:tr>
        <w:tc>
          <w:tcPr>
            <w:tcW w:type="dxa" w:w="3816"/>
          </w:tcPr>
          <w:p>
            <w:pPr>
              <w:spacing w:after="20"/>
            </w:pPr>
            <w:r>
              <w:rPr>
                <w:color w:val="1C3A36"/>
                <w:sz w:val="17"/>
              </w:rPr>
              <w:t>END — this study's central</w:t>
            </w:r>
          </w:p>
        </w:tc>
        <w:tc>
          <w:tcPr>
            <w:tcW w:type="dxa" w:w="1224"/>
          </w:tcPr>
          <w:p>
            <w:pPr>
              <w:spacing w:after="20"/>
              <w:jc w:val="right"/>
            </w:pPr>
            <w:r>
              <w:rPr>
                <w:color w:val="1C3A36"/>
                <w:sz w:val="17"/>
              </w:rPr>
              <w:t>66.53</w:t>
            </w:r>
          </w:p>
        </w:tc>
        <w:tc>
          <w:tcPr>
            <w:tcW w:type="dxa" w:w="4320"/>
          </w:tcPr>
          <w:p>
            <w:pPr>
              <w:spacing w:after="20"/>
              <w:jc w:val="right"/>
            </w:pPr>
            <w:r>
              <w:rPr>
                <w:color w:val="1C3A36"/>
                <w:sz w:val="17"/>
              </w:rPr>
              <w:t>the cash-flow lens, published alone</w:t>
            </w:r>
          </w:p>
        </w:tc>
      </w:tr>
    </w:tbl>
    <w:p>
      <w:pPr>
        <w:spacing w:after="40"/>
      </w:pPr>
    </w:p>
    <w:p>
      <w:pPr>
        <w:spacing w:after="200" w:before="0"/>
      </w:pPr>
      <w:r>
        <w:rPr>
          <w:b w:val="0"/>
          <w:i/>
          <w:color w:val="6E7B77"/>
          <w:sz w:val="17"/>
        </w:rPr>
        <w:t>Table 14 — The reconciliation bridge. Bars sum to the gap exactly (-3.22 vs -3.22).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-6.77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+3.58. The remaining -0.04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(-6.69,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(+9.77,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(+11.67, EFG off mark). They grow FY2030 FCF at 2.5% forever with no reinvestment charge. A perpetuity growing at g on returns of ROIC must plough back g/ROIC. At our terminal ROIC of 8.81% that is 56.8% of profit. CAVEAT: the 8.81% rests on replacement capital of 50,481 = 5.0Mt x USD 130/t x 50.30 x 1.544, and the USD 130/t is our least-verified single input.</w:t>
      </w:r>
    </w:p>
    <w:p>
      <w:pPr>
        <w:spacing w:after="120" w:before="0"/>
      </w:pPr>
      <w:r>
        <w:rPr>
          <w:b w:val="0"/>
          <w:i w:val="0"/>
          <w:color w:val="1C3A36"/>
          <w:sz w:val="19"/>
        </w:rPr>
        <w:t>Discount rate (-6.19, open — no referee). Their flat 20.06% is applied to FY2026 while the Egyptian 1-year T-bill yields 22.95% — below the risk-free rate, which is hard to defend. But it is correspondingly too HIGH late: their year-5 factor of 0.4813 is harsher than our 0.4876. The two errors very nearly cancel and the whole bar is EGP 0.16, so neither convention is worth arguing over.</w:t>
      </w:r>
    </w:p>
    <w:p>
      <w:pPr>
        <w:spacing w:after="120" w:before="0"/>
      </w:pPr>
      <w:r>
        <w:rPr>
          <w:b w:val="0"/>
          <w:i w:val="0"/>
          <w:color w:val="1C3A36"/>
          <w:sz w:val="19"/>
        </w:rPr>
        <w:t>Valuation date 1 Jan → 6 Aug (-3.96, EFG off mark). A price is what you pay today. Only the remainder of the current fiscal year sits inside the discounted window, so the rest of that year's free cash flow leaves it -- and arrives in the bridge as cash already earned. This step REMOVES value on net. The +1.37 of accumulated cash is INSIDE the answer;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Share count, reconciliation (-0.04, method, not error). Not an error on either side, and not a lens weighting: this study's central IS the cash-flow lens, published alongside the other reads rather than averaged with them. Two things sit in this step. The share count (374.867mn against their 375.0mn), and the residual between walking one driver at a time down this bridge and running the whole model at once, which is what the published central is. A previous edition weighted four lenses 50/20/22/8 and this step carried those weights; the weights are retired and so is the description.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39.2%</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39.2%</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36.0%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+1.96pt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35.6%</w:t>
            </w:r>
          </w:p>
        </w:tc>
        <w:tc>
          <w:tcPr>
            <w:tcW w:type="dxa" w:w="1872"/>
          </w:tcPr>
          <w:p>
            <w:pPr>
              <w:spacing w:after="20"/>
              <w:jc w:val="right"/>
            </w:pPr>
            <w:r>
              <w:rPr>
                <w:color w:val="1C3A36"/>
                <w:sz w:val="17"/>
              </w:rPr>
              <w:t>40.6%</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+3.85pt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35.4%</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+4.26pt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35.1%</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+4.63pt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35.0%</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+4.67pt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368"/>
        <w:gridCol w:w="1368"/>
        <w:gridCol w:w="1368"/>
      </w:tblGrid>
      <w:tr>
        <w:tc>
          <w:tcPr>
            <w:tcW w:type="dxa" w:w="5184"/>
            <w:shd w:val="clear" w:color="auto" w:fill="EAF0EE"/>
          </w:tcPr>
          <w:p>
            <w:pPr>
              <w:spacing w:after="20"/>
            </w:pPr>
            <w:r>
              <w:rPr>
                <w:b/>
                <w:color w:val="1C3A36"/>
                <w:sz w:val="17"/>
              </w:rPr>
              <w:t>Scenario</w:t>
            </w:r>
          </w:p>
        </w:tc>
        <w:tc>
          <w:tcPr>
            <w:tcW w:type="dxa" w:w="1368"/>
            <w:shd w:val="clear" w:color="auto" w:fill="EAF0EE"/>
          </w:tcPr>
          <w:p>
            <w:pPr>
              <w:spacing w:after="20"/>
            </w:pPr>
            <w:r>
              <w:rPr>
                <w:b/>
                <w:color w:val="1C3A36"/>
                <w:sz w:val="17"/>
              </w:rPr>
              <w:t>DCF lens</w:t>
            </w:r>
          </w:p>
        </w:tc>
        <w:tc>
          <w:tcPr>
            <w:tcW w:type="dxa" w:w="1368"/>
            <w:shd w:val="clear" w:color="auto" w:fill="EAF0EE"/>
          </w:tcPr>
          <w:p>
            <w:pPr>
              <w:spacing w:after="20"/>
            </w:pPr>
            <w:r>
              <w:rPr>
                <w:b/>
                <w:color w:val="1C3A36"/>
                <w:sz w:val="17"/>
              </w:rPr>
              <w:t>Central</w:t>
            </w:r>
          </w:p>
        </w:tc>
        <w:tc>
          <w:tcPr>
            <w:tcW w:type="dxa" w:w="1368"/>
            <w:shd w:val="clear" w:color="auto" w:fill="EAF0EE"/>
          </w:tcPr>
          <w:p>
            <w:pPr>
              <w:spacing w:after="20"/>
            </w:pPr>
            <w:r>
              <w:rPr>
                <w:b/>
                <w:color w:val="1C3A36"/>
                <w:sz w:val="17"/>
              </w:rPr>
              <w:t>vs spot</w:t>
            </w:r>
          </w:p>
        </w:tc>
      </w:tr>
      <w:tr>
        <w:tc>
          <w:tcPr>
            <w:tcW w:type="dxa" w:w="5184"/>
          </w:tcPr>
          <w:p>
            <w:pPr>
              <w:spacing w:after="20"/>
            </w:pPr>
            <w:r>
              <w:rPr>
                <w:color w:val="1C3A36"/>
                <w:sz w:val="17"/>
              </w:rPr>
              <w:t>Testahil base — our margin, our volumes</w:t>
            </w:r>
          </w:p>
        </w:tc>
        <w:tc>
          <w:tcPr>
            <w:tcW w:type="dxa" w:w="1368"/>
          </w:tcPr>
          <w:p>
            <w:pPr>
              <w:spacing w:after="20"/>
              <w:jc w:val="right"/>
            </w:pPr>
            <w:r>
              <w:rPr>
                <w:color w:val="1C3A36"/>
                <w:sz w:val="17"/>
              </w:rPr>
              <w:t>55.40</w:t>
            </w:r>
          </w:p>
        </w:tc>
        <w:tc>
          <w:tcPr>
            <w:tcW w:type="dxa" w:w="1368"/>
          </w:tcPr>
          <w:p>
            <w:pPr>
              <w:spacing w:after="20"/>
              <w:jc w:val="right"/>
            </w:pPr>
            <w:r>
              <w:rPr>
                <w:color w:val="1C3A36"/>
                <w:sz w:val="17"/>
              </w:rPr>
              <w:t>54.65</w:t>
            </w:r>
          </w:p>
        </w:tc>
        <w:tc>
          <w:tcPr>
            <w:tcW w:type="dxa" w:w="1368"/>
          </w:tcPr>
          <w:p>
            <w:pPr>
              <w:spacing w:after="20"/>
              <w:jc w:val="right"/>
            </w:pPr>
            <w:r>
              <w:rPr>
                <w:color w:val="1C3A36"/>
                <w:sz w:val="17"/>
              </w:rPr>
              <w:t>-29.0%</w:t>
            </w:r>
          </w:p>
        </w:tc>
      </w:tr>
      <w:tr>
        <w:tc>
          <w:tcPr>
            <w:tcW w:type="dxa" w:w="5184"/>
          </w:tcPr>
          <w:p>
            <w:pPr>
              <w:spacing w:after="20"/>
            </w:pPr>
            <w:r>
              <w:rPr>
                <w:color w:val="1C3A36"/>
                <w:sz w:val="17"/>
              </w:rPr>
              <w:t>Half way between the two margin paths</w:t>
            </w:r>
          </w:p>
        </w:tc>
        <w:tc>
          <w:tcPr>
            <w:tcW w:type="dxa" w:w="1368"/>
          </w:tcPr>
          <w:p>
            <w:pPr>
              <w:spacing w:after="20"/>
              <w:jc w:val="right"/>
            </w:pPr>
            <w:r>
              <w:rPr>
                <w:color w:val="1C3A36"/>
                <w:sz w:val="17"/>
              </w:rPr>
              <w:t>61.75</w:t>
            </w:r>
          </w:p>
        </w:tc>
        <w:tc>
          <w:tcPr>
            <w:tcW w:type="dxa" w:w="1368"/>
          </w:tcPr>
          <w:p>
            <w:pPr>
              <w:spacing w:after="20"/>
              <w:jc w:val="right"/>
            </w:pPr>
            <w:r>
              <w:rPr>
                <w:color w:val="1C3A36"/>
                <w:sz w:val="17"/>
              </w:rPr>
              <w:t>57.83</w:t>
            </w:r>
          </w:p>
        </w:tc>
        <w:tc>
          <w:tcPr>
            <w:tcW w:type="dxa" w:w="1368"/>
          </w:tcPr>
          <w:p>
            <w:pPr>
              <w:spacing w:after="20"/>
              <w:jc w:val="right"/>
            </w:pPr>
            <w:r>
              <w:rPr>
                <w:color w:val="1C3A36"/>
                <w:sz w:val="17"/>
              </w:rPr>
              <w:t>-24.9%</w:t>
            </w:r>
          </w:p>
        </w:tc>
      </w:tr>
      <w:tr>
        <w:tc>
          <w:tcPr>
            <w:tcW w:type="dxa" w:w="5184"/>
          </w:tcPr>
          <w:p>
            <w:pPr>
              <w:spacing w:after="20"/>
            </w:pPr>
            <w:r>
              <w:rPr>
                <w:color w:val="1C3A36"/>
                <w:sz w:val="17"/>
              </w:rPr>
              <w:t>EFG margin, OUR volumes</w:t>
            </w:r>
          </w:p>
        </w:tc>
        <w:tc>
          <w:tcPr>
            <w:tcW w:type="dxa" w:w="1368"/>
          </w:tcPr>
          <w:p>
            <w:pPr>
              <w:spacing w:after="20"/>
              <w:jc w:val="right"/>
            </w:pPr>
            <w:r>
              <w:rPr>
                <w:color w:val="1C3A36"/>
                <w:sz w:val="17"/>
              </w:rPr>
              <w:t>68.10</w:t>
            </w:r>
          </w:p>
        </w:tc>
        <w:tc>
          <w:tcPr>
            <w:tcW w:type="dxa" w:w="1368"/>
          </w:tcPr>
          <w:p>
            <w:pPr>
              <w:spacing w:after="20"/>
              <w:jc w:val="right"/>
            </w:pPr>
            <w:r>
              <w:rPr>
                <w:color w:val="1C3A36"/>
                <w:sz w:val="17"/>
              </w:rPr>
              <w:t>61.00</w:t>
            </w:r>
          </w:p>
        </w:tc>
        <w:tc>
          <w:tcPr>
            <w:tcW w:type="dxa" w:w="1368"/>
          </w:tcPr>
          <w:p>
            <w:pPr>
              <w:spacing w:after="20"/>
              <w:jc w:val="right"/>
            </w:pPr>
            <w:r>
              <w:rPr>
                <w:color w:val="1C3A36"/>
                <w:sz w:val="17"/>
              </w:rPr>
              <w:t>-20.8%</w:t>
            </w:r>
          </w:p>
        </w:tc>
      </w:tr>
      <w:tr>
        <w:tc>
          <w:tcPr>
            <w:tcW w:type="dxa" w:w="5184"/>
          </w:tcPr>
          <w:p>
            <w:pPr>
              <w:spacing w:after="20"/>
            </w:pPr>
            <w:r>
              <w:rPr>
                <w:color w:val="1C3A36"/>
                <w:sz w:val="17"/>
              </w:rPr>
              <w:t>EFG margin, EFG volumes — their view whole</w:t>
            </w:r>
          </w:p>
        </w:tc>
        <w:tc>
          <w:tcPr>
            <w:tcW w:type="dxa" w:w="1368"/>
          </w:tcPr>
          <w:p>
            <w:pPr>
              <w:spacing w:after="20"/>
              <w:jc w:val="right"/>
            </w:pPr>
            <w:r>
              <w:rPr>
                <w:color w:val="1C3A36"/>
                <w:sz w:val="17"/>
              </w:rPr>
              <w:t>50.83</w:t>
            </w:r>
          </w:p>
        </w:tc>
        <w:tc>
          <w:tcPr>
            <w:tcW w:type="dxa" w:w="1368"/>
          </w:tcPr>
          <w:p>
            <w:pPr>
              <w:spacing w:after="20"/>
              <w:jc w:val="right"/>
            </w:pPr>
            <w:r>
              <w:rPr>
                <w:color w:val="1C3A36"/>
                <w:sz w:val="17"/>
              </w:rPr>
              <w:t>52.37</w:t>
            </w:r>
          </w:p>
        </w:tc>
        <w:tc>
          <w:tcPr>
            <w:tcW w:type="dxa" w:w="1368"/>
          </w:tcPr>
          <w:p>
            <w:pPr>
              <w:spacing w:after="20"/>
              <w:jc w:val="right"/>
            </w:pPr>
            <w:r>
              <w:rPr>
                <w:color w:val="1C3A36"/>
                <w:sz w:val="17"/>
              </w:rPr>
              <w:t>-32.0%</w:t>
            </w:r>
          </w:p>
        </w:tc>
      </w:tr>
      <w:tr>
        <w:tc>
          <w:tcPr>
            <w:tcW w:type="dxa" w:w="5184"/>
          </w:tcPr>
          <w:p>
            <w:pPr>
              <w:spacing w:after="20"/>
            </w:pPr>
            <w:r>
              <w:rPr>
                <w:color w:val="1C3A36"/>
                <w:sz w:val="17"/>
              </w:rPr>
              <w:t>EFG margin, our volumes, mid-cycle lifted too</w:t>
            </w:r>
          </w:p>
        </w:tc>
        <w:tc>
          <w:tcPr>
            <w:tcW w:type="dxa" w:w="1368"/>
          </w:tcPr>
          <w:p>
            <w:pPr>
              <w:spacing w:after="20"/>
              <w:jc w:val="right"/>
            </w:pPr>
            <w:r>
              <w:rPr>
                <w:color w:val="1C3A36"/>
                <w:sz w:val="17"/>
              </w:rPr>
              <w:t>68.10</w:t>
            </w:r>
          </w:p>
        </w:tc>
        <w:tc>
          <w:tcPr>
            <w:tcW w:type="dxa" w:w="1368"/>
          </w:tcPr>
          <w:p>
            <w:pPr>
              <w:spacing w:after="20"/>
              <w:jc w:val="right"/>
            </w:pPr>
            <w:r>
              <w:rPr>
                <w:color w:val="1C3A36"/>
                <w:sz w:val="17"/>
              </w:rPr>
              <w:t>66.21</w:t>
            </w:r>
          </w:p>
        </w:tc>
        <w:tc>
          <w:tcPr>
            <w:tcW w:type="dxa" w:w="1368"/>
          </w:tcPr>
          <w:p>
            <w:pPr>
              <w:spacing w:after="20"/>
              <w:jc w:val="right"/>
            </w:pPr>
            <w:r>
              <w:rPr>
                <w:color w:val="1C3A36"/>
                <w:sz w:val="17"/>
              </w:rPr>
              <w:t>-14.0%</w:t>
            </w:r>
          </w:p>
        </w:tc>
      </w:tr>
    </w:tbl>
    <w:p>
      <w:pPr>
        <w:spacing w:after="40"/>
      </w:pPr>
    </w:p>
    <w:p>
      <w:pPr>
        <w:spacing w:after="200" w:before="0"/>
      </w:pPr>
      <w:r>
        <w:rPr>
          <w:b w:val="0"/>
          <w:i/>
          <w:color w:val="6E7B77"/>
          <w:sz w:val="17"/>
        </w:rPr>
        <w:t>Table 16 — What EFG’s margin view is worth, held against both volume assumptions. Their margin on OUR volumes clears spot; their margin AND their volumes, taken together, does not.</w:t>
      </w:r>
    </w:p>
    <w:p>
      <w:pPr>
        <w:spacing w:after="80" w:before="200"/>
      </w:pPr>
      <w:r>
        <w:rPr>
          <w:b/>
          <w:i w:val="0"/>
          <w:color w:val="1C3A36"/>
          <w:sz w:val="24"/>
        </w:rPr>
        <w:t>1.11  What a buyer at EGP 77.00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77.00 sits between this study’s central of EGP 66.53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57.83, -24.9%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spot</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-21.6%</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-19.5%</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-18.2%</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-29.5%</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-31.2%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-37.5%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-21.6%</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-54.5%</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and it is labelled illustrative because its own calibration record says it should be.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current price</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2026-08-06 close of EGP 59.00 — the last session in the price history this map was simulated from, which is EARLIER than the 3 September 2026 close of EGP 77.00 the valuation is struck against. Those are two clocks and they are supposed to be: a fresh price moves the valuation without re-running the simulation. Read every percentile below against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Over 44 resolved three-month forecasts on this share the price finished inside the ninety-per-cent band 93% of the time, and inside the fifty-per-cent band 59% of the time. The count is printed beside the percentage because a percentage without its count is the number that misleads. No flag is earned on a two-sided test at the five-per-cent level: the bands held about as often as they promised, and nothing further is claimed for them. No valuation conclusion in this study rests on the map.</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296"/>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r>
      <w:tr>
        <w:tc>
          <w:tcPr>
            <w:tcW w:type="dxa" w:w="2880"/>
            <w:shd w:val="clear" w:color="auto" w:fill="F6F1E6"/>
          </w:tcPr>
          <w:p>
            <w:pPr>
              <w:spacing w:after="20"/>
            </w:pPr>
            <w:r>
              <w:rPr>
                <w:b/>
                <w:color w:val="1C3A36"/>
                <w:sz w:val="18"/>
              </w:rPr>
              <w:t>DCF (cash flow)</w:t>
            </w:r>
          </w:p>
        </w:tc>
        <w:tc>
          <w:tcPr>
            <w:tcW w:type="dxa" w:w="1440"/>
            <w:shd w:val="clear" w:color="auto" w:fill="F6F1E6"/>
          </w:tcPr>
          <w:p>
            <w:pPr>
              <w:spacing w:after="20"/>
              <w:jc w:val="right"/>
            </w:pPr>
            <w:r>
              <w:rPr>
                <w:b/>
                <w:color w:val="1C3A36"/>
                <w:sz w:val="18"/>
              </w:rPr>
              <w:t>24.61</w:t>
            </w:r>
          </w:p>
        </w:tc>
        <w:tc>
          <w:tcPr>
            <w:tcW w:type="dxa" w:w="1440"/>
            <w:shd w:val="clear" w:color="auto" w:fill="F6F1E6"/>
          </w:tcPr>
          <w:p>
            <w:pPr>
              <w:spacing w:after="20"/>
              <w:jc w:val="right"/>
            </w:pPr>
            <w:r>
              <w:rPr>
                <w:b/>
                <w:color w:val="1C3A36"/>
                <w:sz w:val="18"/>
              </w:rPr>
              <w:t>66.53</w:t>
            </w:r>
          </w:p>
        </w:tc>
        <w:tc>
          <w:tcPr>
            <w:tcW w:type="dxa" w:w="1440"/>
            <w:shd w:val="clear" w:color="auto" w:fill="F6F1E6"/>
          </w:tcPr>
          <w:p>
            <w:pPr>
              <w:spacing w:after="20"/>
              <w:jc w:val="right"/>
            </w:pPr>
            <w:r>
              <w:rPr>
                <w:b/>
                <w:color w:val="1C3A36"/>
                <w:sz w:val="18"/>
              </w:rPr>
              <w:t>67.08</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41.09</w:t>
            </w:r>
          </w:p>
        </w:tc>
        <w:tc>
          <w:tcPr>
            <w:tcW w:type="dxa" w:w="1440"/>
          </w:tcPr>
          <w:p>
            <w:pPr>
              <w:spacing w:after="20"/>
              <w:jc w:val="right"/>
            </w:pPr>
            <w:r>
              <w:rPr>
                <w:color w:val="1C3A36"/>
                <w:sz w:val="18"/>
              </w:rPr>
              <w:t>45.65</w:t>
            </w:r>
          </w:p>
        </w:tc>
        <w:tc>
          <w:tcPr>
            <w:tcW w:type="dxa" w:w="1440"/>
          </w:tcPr>
          <w:p>
            <w:pPr>
              <w:spacing w:after="20"/>
              <w:jc w:val="right"/>
            </w:pPr>
            <w:r>
              <w:rPr>
                <w:color w:val="1C3A36"/>
                <w:sz w:val="18"/>
              </w:rPr>
              <w:t>50.22</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59.01</w:t>
            </w:r>
          </w:p>
        </w:tc>
        <w:tc>
          <w:tcPr>
            <w:tcW w:type="dxa" w:w="1440"/>
          </w:tcPr>
          <w:p>
            <w:pPr>
              <w:spacing w:after="20"/>
              <w:jc w:val="right"/>
            </w:pPr>
            <w:r>
              <w:rPr>
                <w:color w:val="1C3A36"/>
                <w:sz w:val="18"/>
              </w:rPr>
              <w:t>65.57</w:t>
            </w:r>
          </w:p>
        </w:tc>
        <w:tc>
          <w:tcPr>
            <w:tcW w:type="dxa" w:w="1440"/>
          </w:tcPr>
          <w:p>
            <w:pPr>
              <w:spacing w:after="20"/>
              <w:jc w:val="right"/>
            </w:pPr>
            <w:r>
              <w:rPr>
                <w:color w:val="1C3A36"/>
                <w:sz w:val="18"/>
              </w:rPr>
              <w:t>72.13</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44.68</w:t>
            </w:r>
          </w:p>
        </w:tc>
        <w:tc>
          <w:tcPr>
            <w:tcW w:type="dxa" w:w="1440"/>
          </w:tcPr>
          <w:p>
            <w:pPr>
              <w:spacing w:after="20"/>
              <w:jc w:val="right"/>
            </w:pPr>
            <w:r>
              <w:rPr>
                <w:color w:val="1C3A36"/>
                <w:sz w:val="18"/>
              </w:rPr>
              <w:t>49.64</w:t>
            </w:r>
          </w:p>
        </w:tc>
        <w:tc>
          <w:tcPr>
            <w:tcW w:type="dxa" w:w="1440"/>
          </w:tcPr>
          <w:p>
            <w:pPr>
              <w:spacing w:after="20"/>
              <w:jc w:val="right"/>
            </w:pPr>
            <w:r>
              <w:rPr>
                <w:color w:val="1C3A36"/>
                <w:sz w:val="18"/>
              </w:rPr>
              <w:t>54.60</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r>
    </w:tbl>
    <w:p>
      <w:pPr>
        <w:spacing w:after="40"/>
      </w:pPr>
    </w:p>
    <w:p>
      <w:pPr>
        <w:spacing w:after="200" w:before="0"/>
      </w:pPr>
      <w:r>
        <w:rPr>
          <w:b w:val="0"/>
          <w:i/>
          <w:color w:val="6E7B77"/>
          <w:sz w:val="17"/>
        </w:rPr>
        <w:t>Table 19 — Each lens as a range. The disagreement between them is information, not noise.</w:t>
      </w:r>
    </w:p>
    <w:p>
      <w:pPr>
        <w:spacing w:after="120" w:before="0"/>
      </w:pPr>
      <w:r>
        <w:rPr>
          <w:b w:val="0"/>
          <w:i w:val="0"/>
          <w:color w:val="1C3A36"/>
          <w:sz w:val="21"/>
        </w:rPr>
        <w:t>The lenses do not agree, and the pattern of their disagreement is the most useful thing in this study. EVERY lens sits BELOW the market price: Relative multiples, Asset / replacement cost and DCF (cash flow), at EGP 45.65 and EGP 65.57 and EGP 66.53. Not one read in this study reaches what the shares trade at, which is a stronger statement than any single lens makes and is the thing to weigh first.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This edition does not resolve that by weighting. A previous one blended the four readings at 50%/20%/22%/8% and published the average, EGP 58.56; but those weights were chosen rather than tested, and an average of four methods is a fifth method nobody has checked, carrying every weakness of the weakest at whatever weight somebody typed. The value published here is the cash-flow lens alone, EGP 66.53 against EGP 77.00 — -13.6% — and the other readings are printed beside it so the disagreement is visible rather than averaged away. A reader who believes replacement cost is a floor rather than a ceiling can read EGP 65.57 off the same table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The share is above its entire moving-average stack on a rising 200-day and 98% of of its 52-week intraday high — 98% OF that high, and 165% of the way UP the range, which are different statistics and the earlier edition ran them together — while the two multiple-based lenses put fair value below the current price and the two forward-looking ones put it above. Momentum sits with the cash-flow case here rather than against it, and the disagreement that remains is between that case and the multiple the market is prepared to pay.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3,328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2232"/>
        <w:gridCol w:w="1296"/>
        <w:gridCol w:w="3672"/>
      </w:tblGrid>
      <w:tr>
        <w:tc>
          <w:tcPr>
            <w:tcW w:type="dxa" w:w="1584"/>
            <w:shd w:val="clear" w:color="auto" w:fill="EAF0EE"/>
          </w:tcPr>
          <w:p>
            <w:pPr>
              <w:spacing w:after="20"/>
            </w:pPr>
            <w:r>
              <w:rPr>
                <w:b/>
                <w:color w:val="1C3A36"/>
                <w:sz w:val="17"/>
              </w:rPr>
              <w:t>Zone</w:t>
            </w:r>
          </w:p>
        </w:tc>
        <w:tc>
          <w:tcPr>
            <w:tcW w:type="dxa" w:w="2232"/>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672"/>
            <w:shd w:val="clear" w:color="auto" w:fill="EAF0EE"/>
          </w:tcPr>
          <w:p>
            <w:pPr>
              <w:spacing w:after="20"/>
            </w:pPr>
            <w:r>
              <w:rPr>
                <w:b/>
                <w:color w:val="1C3A36"/>
                <w:sz w:val="17"/>
              </w:rPr>
              <w:t>What it would mean</w:t>
            </w:r>
          </w:p>
        </w:tc>
      </w:tr>
      <w:tr>
        <w:tc>
          <w:tcPr>
            <w:tcW w:type="dxa" w:w="1584"/>
          </w:tcPr>
          <w:p>
            <w:pPr>
              <w:spacing w:after="20"/>
            </w:pPr>
            <w:r>
              <w:rPr>
                <w:color w:val="1C3A36"/>
                <w:sz w:val="17"/>
              </w:rPr>
              <w:t>Lower tail</w:t>
            </w:r>
          </w:p>
        </w:tc>
        <w:tc>
          <w:tcPr>
            <w:tcW w:type="dxa" w:w="2232"/>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break of the 48.10 support zone, most plausibly on a faster-than-assumed capacity restart</w:t>
            </w:r>
          </w:p>
        </w:tc>
      </w:tr>
      <w:tr>
        <w:tc>
          <w:tcPr>
            <w:tcW w:type="dxa" w:w="1584"/>
          </w:tcPr>
          <w:p>
            <w:pPr>
              <w:spacing w:after="20"/>
            </w:pPr>
            <w:r>
              <w:rPr>
                <w:color w:val="1C3A36"/>
                <w:sz w:val="17"/>
              </w:rPr>
              <w:t>Below spot</w:t>
            </w:r>
          </w:p>
        </w:tc>
        <w:tc>
          <w:tcPr>
            <w:tcW w:type="dxa" w:w="2232"/>
          </w:tcPr>
          <w:p>
            <w:pPr>
              <w:spacing w:after="20"/>
              <w:jc w:val="right"/>
            </w:pPr>
            <w:r>
              <w:rPr>
                <w:color w:val="1C3A36"/>
                <w:sz w:val="17"/>
              </w:rPr>
              <w:t>43.92 – 77.00</w:t>
            </w:r>
          </w:p>
        </w:tc>
        <w:tc>
          <w:tcPr>
            <w:tcW w:type="dxa" w:w="1296"/>
          </w:tcPr>
          <w:p>
            <w:pPr>
              <w:spacing w:after="20"/>
              <w:jc w:val="right"/>
            </w:pPr>
            <w:r>
              <w:rPr>
                <w:color w:val="1C3A36"/>
                <w:sz w:val="17"/>
              </w:rPr>
              <w:t>39%</w:t>
            </w:r>
          </w:p>
        </w:tc>
        <w:tc>
          <w:tcPr>
            <w:tcW w:type="dxa" w:w="3672"/>
          </w:tcPr>
          <w:p>
            <w:pPr>
              <w:spacing w:after="20"/>
              <w:jc w:val="right"/>
            </w:pPr>
            <w:r>
              <w:rPr>
                <w:color w:val="1C3A36"/>
                <w:sz w:val="17"/>
              </w:rPr>
              <w:t>The market converging toward the earnings-based lenses in this study</w:t>
            </w:r>
          </w:p>
        </w:tc>
      </w:tr>
      <w:tr>
        <w:tc>
          <w:tcPr>
            <w:tcW w:type="dxa" w:w="1584"/>
          </w:tcPr>
          <w:p>
            <w:pPr>
              <w:spacing w:after="20"/>
            </w:pPr>
            <w:r>
              <w:rPr>
                <w:color w:val="1C3A36"/>
                <w:sz w:val="17"/>
              </w:rPr>
              <w:t>Above spot</w:t>
            </w:r>
          </w:p>
        </w:tc>
        <w:tc>
          <w:tcPr>
            <w:tcW w:type="dxa" w:w="2232"/>
          </w:tcPr>
          <w:p>
            <w:pPr>
              <w:spacing w:after="20"/>
              <w:jc w:val="right"/>
            </w:pPr>
            <w:r>
              <w:rPr>
                <w:color w:val="1C3A36"/>
                <w:sz w:val="17"/>
              </w:rPr>
              <w:t>77.00 – 83.17</w:t>
            </w:r>
          </w:p>
        </w:tc>
        <w:tc>
          <w:tcPr>
            <w:tcW w:type="dxa" w:w="1296"/>
          </w:tcPr>
          <w:p>
            <w:pPr>
              <w:spacing w:after="20"/>
              <w:jc w:val="right"/>
            </w:pPr>
            <w:r>
              <w:rPr>
                <w:color w:val="1C3A36"/>
                <w:sz w:val="17"/>
              </w:rPr>
              <w:t>51%</w:t>
            </w:r>
          </w:p>
        </w:tc>
        <w:tc>
          <w:tcPr>
            <w:tcW w:type="dxa" w:w="3672"/>
          </w:tcPr>
          <w:p>
            <w:pPr>
              <w:spacing w:after="20"/>
              <w:jc w:val="right"/>
            </w:pPr>
            <w:r>
              <w:rPr>
                <w:color w:val="1C3A36"/>
                <w:sz w:val="17"/>
              </w:rPr>
              <w:t>Momentum and the 2026 pricing environment continuing to lead the earnings case</w:t>
            </w:r>
          </w:p>
        </w:tc>
      </w:tr>
      <w:tr>
        <w:tc>
          <w:tcPr>
            <w:tcW w:type="dxa" w:w="1584"/>
          </w:tcPr>
          <w:p>
            <w:pPr>
              <w:spacing w:after="20"/>
            </w:pPr>
            <w:r>
              <w:rPr>
                <w:color w:val="1C3A36"/>
                <w:sz w:val="17"/>
              </w:rPr>
              <w:t>Upper tail</w:t>
            </w:r>
          </w:p>
        </w:tc>
        <w:tc>
          <w:tcPr>
            <w:tcW w:type="dxa" w:w="2232"/>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The probabilities come from the price map and are subject to the same over-width caution as everything else in section 3.</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66.53, and the conclusion moves from a premium over the market to a small discount.</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marginal and pound-equivalent, not the coupon as written. </w:t>
      </w:r>
      <w:r>
        <w:rPr>
          <w:color w:val="1C3A36"/>
          <w:sz w:val="21"/>
        </w:rPr>
        <w:t>The adopted 13.36% carries the euro legs at the pound cost a company earning pounds actually bears, against a contracted blend of 7.89%. It sits above the 5.03% that FY2025 interest over average debt gives and the 3.73% the first quarter of 2026 annualises to, because the book re-based mid-year and interest on assets still under construction is capitalised. Adopting the contracted rate instead would leave the euro debt uncompensated for pound depreciation beyond the currency path assumed here, and is worth +0.2%.</w:t>
      </w:r>
    </w:p>
    <w:p>
      <w:pPr>
        <w:pStyle w:val="ListBullet"/>
        <w:spacing w:after="60"/>
      </w:pPr>
      <w:r>
        <w:rPr>
          <w:b/>
          <w:color w:val="1C3A36"/>
          <w:sz w:val="21"/>
        </w:rPr>
        <w:t xml:space="preserve">Half a year has been turned into a whole one, and that is the largest assumption here. </w:t>
      </w:r>
      <w:r>
        <w:rPr>
          <w:color w:val="1C3A36"/>
          <w:sz w:val="21"/>
        </w:rPr>
        <w:t>The forecast starts from the reviewed six months to 30 June 2026 — revenue of EGP 6,081mn at a 40.5% gross margin — grossed up to a full year. HOW MUCH OF A YEAR ARCC'S FIRST HALF IS varies: it was 44.2%, 45.5% and 52.7% of the year in the three years that can be measured. The median is used, which puts FY2026 revenue at EGP 13,349mn; on the least favourable of the three it would be EGP 11,540mn and on the most favourable EGP 13,761mn. Simply doubling the half gives EGP 12,161mn.</w:t>
      </w:r>
    </w:p>
    <w:p>
      <w:pPr>
        <w:pStyle w:val="ListBullet"/>
        <w:spacing w:after="60"/>
      </w:pPr>
      <w:r>
        <w:rPr>
          <w:b/>
          <w:color w:val="1C3A36"/>
          <w:sz w:val="21"/>
        </w:rPr>
        <w:t xml:space="preserve">And no interim tonnage is published, so the uplift cannot be split between price and volume. </w:t>
      </w:r>
      <w:r>
        <w:rPr>
          <w:color w:val="1C3A36"/>
          <w:sz w:val="21"/>
        </w:rPr>
        <w:t>Local sales of goods rose 18.5% against the same half of 2025 while export sales of goods fell -3.8%. The company publishes no tonnage with its half-year accounts, so this study cannot tell how much of the local rise was a higher price and how much was more tonnes. It is taken entirely as price and carried through every forecast year as a level shift of 1.079 times. THAT IS THE ASSUMPTION IN THIS STUDY MOST CAPABLE OF BEING WRONG: if the rise was volume rather than price, and volume is capped by the plant, the later years are overstated.</w:t>
      </w:r>
    </w:p>
    <w:p>
      <w:pPr>
        <w:pStyle w:val="ListBullet"/>
        <w:spacing w:after="60"/>
      </w:pPr>
      <w:r>
        <w:rPr>
          <w:b/>
          <w:color w:val="1C3A36"/>
          <w:sz w:val="21"/>
        </w:rPr>
        <w:t xml:space="preserve">A large collection of export subsidy is treated as one-off. </w:t>
      </w:r>
      <w:r>
        <w:rPr>
          <w:color w:val="1C3A36"/>
          <w:sz w:val="21"/>
        </w:rPr>
        <w:t>The half-year accounts record EGP 468mn of export subsidy collected in the second quarter, against EGP 32.6mn for the whole of FY2025. It is excluded from forward operating profit and left in the cash balance, on the reading that it settles accumulated claims. If a comparable amount arrives again with no accumulated-claims explanation, it is recurring and this study understates value.</w:t>
      </w:r>
    </w:p>
    <w:p>
      <w:pPr>
        <w:pStyle w:val="ListBullet"/>
        <w:spacing w:after="60"/>
      </w:pPr>
      <w:r>
        <w:rPr>
          <w:b/>
          <w:color w:val="1C3A36"/>
          <w:sz w:val="21"/>
        </w:rPr>
        <w:t xml:space="preserve">The terminal denominator is a choice. </w:t>
      </w:r>
      <w:r>
        <w:rPr>
          <w:color w:val="1C3A36"/>
          <w:sz w:val="21"/>
        </w:rPr>
        <w:t>Return on capital is 60.6% on the audited book and 11.3% on replacement cost. The terminal block uses replacement cost, which leaves the plant roughly breaking even on new tonnes — 10.52% against a hurdle of 18.34%, so four points of terminal growth are worth -6.0%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not this company's own. </w:t>
      </w:r>
      <w:r>
        <w:rPr>
          <w:color w:val="1C3A36"/>
          <w:sz w:val="21"/>
        </w:rPr>
        <w:t>Measured against the market index, Arabian Cement's own share history explains too little to be usable — an R-squared of 4.7% — so the discount rate rests on the betas of four comparable Egyptian companies instead. That is the ordinary fallback and it is disclosed, but it means the risk measure in this valuation is a sector estimate rather than a measurement of this share. The valuation is shown across the whole peer spread for exactly that reason.</w:t>
      </w:r>
    </w:p>
    <w:p>
      <w:pPr>
        <w:pStyle w:val="ListBullet"/>
        <w:spacing w:after="60"/>
      </w:pPr>
      <w:r>
        <w:rPr>
          <w:b/>
          <w:color w:val="1C3A36"/>
          <w:sz w:val="21"/>
        </w:rPr>
        <w:t xml:space="preserve">The price map is a separate lens and carries no valuation weight. </w:t>
      </w:r>
      <w:r>
        <w:rPr>
          <w:color w:val="1C3A36"/>
          <w:sz w:val="21"/>
        </w:rPr>
        <w:t>Over 44 resolved three-month forecasts the price finished inside the ninety-per-cent band 93% of the time. It is carried as illustrative only, and nothing in the valuation depends on it.</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-813</w:t>
            </w:r>
          </w:p>
        </w:tc>
        <w:tc>
          <w:tcPr>
            <w:tcW w:type="dxa" w:w="1325"/>
            <w:shd w:val="clear" w:color="auto" w:fill="EAF0EE"/>
          </w:tcPr>
          <w:p>
            <w:pPr>
              <w:spacing w:after="20"/>
            </w:pPr>
            <w:r>
              <w:rPr>
                <w:b/>
                <w:color w:val="1C3A36"/>
                <w:sz w:val="17"/>
              </w:rPr>
              <w:t>-63</w:t>
            </w:r>
          </w:p>
        </w:tc>
        <w:tc>
          <w:tcPr>
            <w:tcW w:type="dxa" w:w="1325"/>
            <w:shd w:val="clear" w:color="auto" w:fill="EAF0EE"/>
          </w:tcPr>
          <w:p>
            <w:pPr>
              <w:spacing w:after="20"/>
            </w:pPr>
            <w:r>
              <w:rPr>
                <w:b/>
                <w:color w:val="1C3A36"/>
                <w:sz w:val="17"/>
              </w:rPr>
              <w:t>687</w:t>
            </w:r>
          </w:p>
        </w:tc>
        <w:tc>
          <w:tcPr>
            <w:tcW w:type="dxa" w:w="1325"/>
            <w:shd w:val="clear" w:color="auto" w:fill="EAF0EE"/>
          </w:tcPr>
          <w:p>
            <w:pPr>
              <w:spacing w:after="20"/>
            </w:pPr>
            <w:r>
              <w:rPr>
                <w:b/>
                <w:color w:val="1C3A36"/>
                <w:sz w:val="17"/>
              </w:rPr>
              <w:t>1,437</w:t>
            </w:r>
          </w:p>
        </w:tc>
        <w:tc>
          <w:tcPr>
            <w:tcW w:type="dxa" w:w="1325"/>
            <w:shd w:val="clear" w:color="auto" w:fill="EAF0EE"/>
          </w:tcPr>
          <w:p>
            <w:pPr>
              <w:spacing w:after="20"/>
            </w:pPr>
            <w:r>
              <w:rPr>
                <w:b/>
                <w:color w:val="1C3A36"/>
                <w:sz w:val="17"/>
              </w:rPr>
              <w:t>2,187</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62.53</w:t>
            </w:r>
          </w:p>
        </w:tc>
        <w:tc>
          <w:tcPr>
            <w:tcW w:type="dxa" w:w="1325"/>
          </w:tcPr>
          <w:p>
            <w:pPr>
              <w:spacing w:after="20"/>
              <w:jc w:val="right"/>
            </w:pPr>
            <w:r>
              <w:rPr>
                <w:color w:val="1C3A36"/>
                <w:sz w:val="17"/>
              </w:rPr>
              <w:t>64.53</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68.53</w:t>
            </w:r>
          </w:p>
        </w:tc>
        <w:tc>
          <w:tcPr>
            <w:tcW w:type="dxa" w:w="1325"/>
          </w:tcPr>
          <w:p>
            <w:pPr>
              <w:spacing w:after="20"/>
              <w:jc w:val="right"/>
            </w:pPr>
            <w:r>
              <w:rPr>
                <w:color w:val="1C3A36"/>
                <w:sz w:val="17"/>
              </w:rPr>
              <w:t>70.53</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56.68</w:t>
            </w:r>
          </w:p>
        </w:tc>
        <w:tc>
          <w:tcPr>
            <w:tcW w:type="dxa" w:w="1325"/>
          </w:tcPr>
          <w:p>
            <w:pPr>
              <w:spacing w:after="20"/>
              <w:jc w:val="right"/>
            </w:pPr>
            <w:r>
              <w:rPr>
                <w:color w:val="1C3A36"/>
                <w:sz w:val="17"/>
              </w:rPr>
              <w:t>61.61</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71.45</w:t>
            </w:r>
          </w:p>
        </w:tc>
        <w:tc>
          <w:tcPr>
            <w:tcW w:type="dxa" w:w="1325"/>
          </w:tcPr>
          <w:p>
            <w:pPr>
              <w:spacing w:after="20"/>
              <w:jc w:val="right"/>
            </w:pPr>
            <w:r>
              <w:rPr>
                <w:color w:val="1C3A36"/>
                <w:sz w:val="17"/>
              </w:rPr>
              <w:t>76.38</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reported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tcPr>
          <w:p>
            <w:pPr>
              <w:spacing w:after="20"/>
            </w:pPr>
            <w:r>
              <w:rPr>
                <w:color w:val="1C3A36"/>
                <w:sz w:val="16"/>
              </w:rPr>
              <w:t>Revenue</w:t>
            </w:r>
          </w:p>
        </w:tc>
        <w:tc>
          <w:tcPr>
            <w:tcW w:type="dxa" w:w="997"/>
          </w:tcPr>
          <w:p>
            <w:pPr>
              <w:spacing w:after="20"/>
              <w:jc w:val="right"/>
            </w:pPr>
            <w:r>
              <w:rPr>
                <w:color w:val="1C3A36"/>
                <w:sz w:val="16"/>
              </w:rPr>
              <w:t>6,043</w:t>
            </w:r>
          </w:p>
        </w:tc>
        <w:tc>
          <w:tcPr>
            <w:tcW w:type="dxa" w:w="997"/>
          </w:tcPr>
          <w:p>
            <w:pPr>
              <w:spacing w:after="20"/>
              <w:jc w:val="right"/>
            </w:pPr>
            <w:r>
              <w:rPr>
                <w:color w:val="1C3A36"/>
                <w:sz w:val="16"/>
              </w:rPr>
              <w:t>8,730</w:t>
            </w:r>
          </w:p>
        </w:tc>
        <w:tc>
          <w:tcPr>
            <w:tcW w:type="dxa" w:w="997"/>
          </w:tcPr>
          <w:p>
            <w:pPr>
              <w:spacing w:after="20"/>
              <w:jc w:val="right"/>
            </w:pPr>
            <w:r>
              <w:rPr>
                <w:color w:val="1C3A36"/>
                <w:sz w:val="16"/>
              </w:rPr>
              <w:t>12,447</w:t>
            </w:r>
          </w:p>
        </w:tc>
        <w:tc>
          <w:tcPr>
            <w:tcW w:type="dxa" w:w="997"/>
          </w:tcPr>
          <w:p>
            <w:pPr>
              <w:spacing w:after="20"/>
              <w:jc w:val="right"/>
            </w:pPr>
            <w:r>
              <w:rPr>
                <w:color w:val="1C3A36"/>
                <w:sz w:val="16"/>
              </w:rPr>
              <w:t>13,349</w:t>
            </w:r>
          </w:p>
        </w:tc>
        <w:tc>
          <w:tcPr>
            <w:tcW w:type="dxa" w:w="997"/>
          </w:tcPr>
          <w:p>
            <w:pPr>
              <w:spacing w:after="20"/>
              <w:jc w:val="right"/>
            </w:pPr>
            <w:r>
              <w:rPr>
                <w:color w:val="1C3A36"/>
                <w:sz w:val="16"/>
              </w:rPr>
              <w:t>14,985</w:t>
            </w:r>
          </w:p>
        </w:tc>
        <w:tc>
          <w:tcPr>
            <w:tcW w:type="dxa" w:w="997"/>
          </w:tcPr>
          <w:p>
            <w:pPr>
              <w:spacing w:after="20"/>
              <w:jc w:val="right"/>
            </w:pPr>
            <w:r>
              <w:rPr>
                <w:color w:val="1C3A36"/>
                <w:sz w:val="16"/>
              </w:rPr>
              <w:t>16,440</w:t>
            </w:r>
          </w:p>
        </w:tc>
        <w:tc>
          <w:tcPr>
            <w:tcW w:type="dxa" w:w="997"/>
          </w:tcPr>
          <w:p>
            <w:pPr>
              <w:spacing w:after="20"/>
              <w:jc w:val="right"/>
            </w:pPr>
            <w:r>
              <w:rPr>
                <w:color w:val="1C3A36"/>
                <w:sz w:val="16"/>
              </w:rPr>
              <w:t>17,688</w:t>
            </w:r>
          </w:p>
        </w:tc>
        <w:tc>
          <w:tcPr>
            <w:tcW w:type="dxa" w:w="997"/>
          </w:tcPr>
          <w:p>
            <w:pPr>
              <w:spacing w:after="20"/>
              <w:jc w:val="right"/>
            </w:pPr>
            <w:r>
              <w:rPr>
                <w:color w:val="1C3A36"/>
                <w:sz w:val="16"/>
              </w:rPr>
              <w:t>18,934</w:t>
            </w:r>
          </w:p>
        </w:tc>
      </w:tr>
      <w:tr>
        <w:tc>
          <w:tcPr>
            <w:tcW w:type="dxa" w:w="2105"/>
          </w:tcPr>
          <w:p>
            <w:pPr>
              <w:spacing w:after="20"/>
            </w:pPr>
            <w:r>
              <w:rPr>
                <w:color w:val="1C3A36"/>
                <w:sz w:val="16"/>
              </w:rPr>
              <w:t>Cost of sales</w:t>
            </w:r>
          </w:p>
        </w:tc>
        <w:tc>
          <w:tcPr>
            <w:tcW w:type="dxa" w:w="997"/>
          </w:tcPr>
          <w:p>
            <w:pPr>
              <w:spacing w:after="20"/>
              <w:jc w:val="right"/>
            </w:pPr>
            <w:r>
              <w:rPr>
                <w:color w:val="1C3A36"/>
                <w:sz w:val="16"/>
              </w:rPr>
              <w:t>(4,760)</w:t>
            </w:r>
          </w:p>
        </w:tc>
        <w:tc>
          <w:tcPr>
            <w:tcW w:type="dxa" w:w="997"/>
          </w:tcPr>
          <w:p>
            <w:pPr>
              <w:spacing w:after="20"/>
              <w:jc w:val="right"/>
            </w:pPr>
            <w:r>
              <w:rPr>
                <w:color w:val="1C3A36"/>
                <w:sz w:val="16"/>
              </w:rPr>
              <w:t>(6,643)</w:t>
            </w:r>
          </w:p>
        </w:tc>
        <w:tc>
          <w:tcPr>
            <w:tcW w:type="dxa" w:w="997"/>
          </w:tcPr>
          <w:p>
            <w:pPr>
              <w:spacing w:after="20"/>
              <w:jc w:val="right"/>
            </w:pPr>
            <w:r>
              <w:rPr>
                <w:color w:val="1C3A36"/>
                <w:sz w:val="16"/>
              </w:rPr>
              <w:t>(7,389)</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Gross profit</w:t>
            </w:r>
          </w:p>
        </w:tc>
        <w:tc>
          <w:tcPr>
            <w:tcW w:type="dxa" w:w="997"/>
          </w:tcPr>
          <w:p>
            <w:pPr>
              <w:spacing w:after="20"/>
              <w:jc w:val="right"/>
            </w:pPr>
            <w:r>
              <w:rPr>
                <w:color w:val="1C3A36"/>
                <w:sz w:val="16"/>
              </w:rPr>
              <w:t>1,283</w:t>
            </w:r>
          </w:p>
        </w:tc>
        <w:tc>
          <w:tcPr>
            <w:tcW w:type="dxa" w:w="997"/>
          </w:tcPr>
          <w:p>
            <w:pPr>
              <w:spacing w:after="20"/>
              <w:jc w:val="right"/>
            </w:pPr>
            <w:r>
              <w:rPr>
                <w:color w:val="1C3A36"/>
                <w:sz w:val="16"/>
              </w:rPr>
              <w:t>2,087</w:t>
            </w:r>
          </w:p>
        </w:tc>
        <w:tc>
          <w:tcPr>
            <w:tcW w:type="dxa" w:w="997"/>
          </w:tcPr>
          <w:p>
            <w:pPr>
              <w:spacing w:after="20"/>
              <w:jc w:val="right"/>
            </w:pPr>
            <w:r>
              <w:rPr>
                <w:color w:val="1C3A36"/>
                <w:sz w:val="16"/>
              </w:rPr>
              <w:t>5,058</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Operating profit</w:t>
            </w:r>
          </w:p>
        </w:tc>
        <w:tc>
          <w:tcPr>
            <w:tcW w:type="dxa" w:w="997"/>
          </w:tcPr>
          <w:p>
            <w:pPr>
              <w:spacing w:after="20"/>
              <w:jc w:val="right"/>
            </w:pPr>
            <w:r>
              <w:rPr>
                <w:color w:val="1C3A36"/>
                <w:sz w:val="16"/>
              </w:rPr>
              <w:t>1,079</w:t>
            </w:r>
          </w:p>
        </w:tc>
        <w:tc>
          <w:tcPr>
            <w:tcW w:type="dxa" w:w="997"/>
          </w:tcPr>
          <w:p>
            <w:pPr>
              <w:spacing w:after="20"/>
              <w:jc w:val="right"/>
            </w:pPr>
            <w:r>
              <w:rPr>
                <w:color w:val="1C3A36"/>
                <w:sz w:val="16"/>
              </w:rPr>
              <w:t>1,764</w:t>
            </w:r>
          </w:p>
        </w:tc>
        <w:tc>
          <w:tcPr>
            <w:tcW w:type="dxa" w:w="997"/>
          </w:tcPr>
          <w:p>
            <w:pPr>
              <w:spacing w:after="20"/>
              <w:jc w:val="right"/>
            </w:pPr>
            <w:r>
              <w:rPr>
                <w:color w:val="1C3A36"/>
                <w:sz w:val="16"/>
              </w:rPr>
              <w:t>4,596</w:t>
            </w:r>
          </w:p>
        </w:tc>
        <w:tc>
          <w:tcPr>
            <w:tcW w:type="dxa" w:w="997"/>
          </w:tcPr>
          <w:p>
            <w:pPr>
              <w:spacing w:after="20"/>
              <w:jc w:val="right"/>
            </w:pPr>
            <w:r>
              <w:rPr>
                <w:color w:val="1C3A36"/>
                <w:sz w:val="16"/>
              </w:rPr>
              <w:t>4,916</w:t>
            </w:r>
          </w:p>
        </w:tc>
        <w:tc>
          <w:tcPr>
            <w:tcW w:type="dxa" w:w="997"/>
          </w:tcPr>
          <w:p>
            <w:pPr>
              <w:spacing w:after="20"/>
              <w:jc w:val="right"/>
            </w:pPr>
            <w:r>
              <w:rPr>
                <w:color w:val="1C3A36"/>
                <w:sz w:val="16"/>
              </w:rPr>
              <w:t>5,556</w:t>
            </w:r>
          </w:p>
        </w:tc>
        <w:tc>
          <w:tcPr>
            <w:tcW w:type="dxa" w:w="997"/>
          </w:tcPr>
          <w:p>
            <w:pPr>
              <w:spacing w:after="20"/>
              <w:jc w:val="right"/>
            </w:pPr>
            <w:r>
              <w:rPr>
                <w:color w:val="1C3A36"/>
                <w:sz w:val="16"/>
              </w:rPr>
              <w:t>6,140</w:t>
            </w:r>
          </w:p>
        </w:tc>
        <w:tc>
          <w:tcPr>
            <w:tcW w:type="dxa" w:w="997"/>
          </w:tcPr>
          <w:p>
            <w:pPr>
              <w:spacing w:after="20"/>
              <w:jc w:val="right"/>
            </w:pPr>
            <w:r>
              <w:rPr>
                <w:color w:val="1C3A36"/>
                <w:sz w:val="16"/>
              </w:rPr>
              <w:t>6,606</w:t>
            </w:r>
          </w:p>
        </w:tc>
        <w:tc>
          <w:tcPr>
            <w:tcW w:type="dxa" w:w="997"/>
          </w:tcPr>
          <w:p>
            <w:pPr>
              <w:spacing w:after="20"/>
              <w:jc w:val="right"/>
            </w:pPr>
            <w:r>
              <w:rPr>
                <w:color w:val="1C3A36"/>
                <w:sz w:val="16"/>
              </w:rPr>
              <w:t>7,069</w:t>
            </w:r>
          </w:p>
        </w:tc>
      </w:tr>
      <w:tr>
        <w:tc>
          <w:tcPr>
            <w:tcW w:type="dxa" w:w="2105"/>
          </w:tcPr>
          <w:p>
            <w:pPr>
              <w:spacing w:after="20"/>
            </w:pPr>
            <w:r>
              <w:rPr>
                <w:color w:val="1C3A36"/>
                <w:sz w:val="16"/>
              </w:rPr>
              <w:t>Depreciation and amortisation</w:t>
            </w:r>
          </w:p>
        </w:tc>
        <w:tc>
          <w:tcPr>
            <w:tcW w:type="dxa" w:w="997"/>
          </w:tcPr>
          <w:p>
            <w:pPr>
              <w:spacing w:after="20"/>
              <w:jc w:val="right"/>
            </w:pPr>
            <w:r>
              <w:rPr>
                <w:color w:val="1C3A36"/>
                <w:sz w:val="16"/>
              </w:rPr>
              <w:t>250</w:t>
            </w:r>
          </w:p>
        </w:tc>
        <w:tc>
          <w:tcPr>
            <w:tcW w:type="dxa" w:w="997"/>
          </w:tcPr>
          <w:p>
            <w:pPr>
              <w:spacing w:after="20"/>
              <w:jc w:val="right"/>
            </w:pPr>
            <w:r>
              <w:rPr>
                <w:color w:val="1C3A36"/>
                <w:sz w:val="16"/>
              </w:rPr>
              <w:t>257</w:t>
            </w:r>
          </w:p>
        </w:tc>
        <w:tc>
          <w:tcPr>
            <w:tcW w:type="dxa" w:w="997"/>
          </w:tcPr>
          <w:p>
            <w:pPr>
              <w:spacing w:after="20"/>
              <w:jc w:val="right"/>
            </w:pPr>
            <w:r>
              <w:rPr>
                <w:color w:val="1C3A36"/>
                <w:sz w:val="16"/>
              </w:rPr>
              <w:t>290</w:t>
            </w:r>
          </w:p>
        </w:tc>
        <w:tc>
          <w:tcPr>
            <w:tcW w:type="dxa" w:w="997"/>
          </w:tcPr>
          <w:p>
            <w:pPr>
              <w:spacing w:after="20"/>
              <w:jc w:val="right"/>
            </w:pPr>
            <w:r>
              <w:rPr>
                <w:color w:val="1C3A36"/>
                <w:sz w:val="16"/>
              </w:rPr>
              <w:t>344</w:t>
            </w:r>
          </w:p>
        </w:tc>
        <w:tc>
          <w:tcPr>
            <w:tcW w:type="dxa" w:w="997"/>
          </w:tcPr>
          <w:p>
            <w:pPr>
              <w:spacing w:after="20"/>
              <w:jc w:val="right"/>
            </w:pPr>
            <w:r>
              <w:rPr>
                <w:color w:val="1C3A36"/>
                <w:sz w:val="16"/>
              </w:rPr>
              <w:t>417</w:t>
            </w:r>
          </w:p>
        </w:tc>
        <w:tc>
          <w:tcPr>
            <w:tcW w:type="dxa" w:w="997"/>
          </w:tcPr>
          <w:p>
            <w:pPr>
              <w:spacing w:after="20"/>
              <w:jc w:val="right"/>
            </w:pPr>
            <w:r>
              <w:rPr>
                <w:color w:val="1C3A36"/>
                <w:sz w:val="16"/>
              </w:rPr>
              <w:t>491</w:t>
            </w:r>
          </w:p>
        </w:tc>
        <w:tc>
          <w:tcPr>
            <w:tcW w:type="dxa" w:w="997"/>
          </w:tcPr>
          <w:p>
            <w:pPr>
              <w:spacing w:after="20"/>
              <w:jc w:val="right"/>
            </w:pPr>
            <w:r>
              <w:rPr>
                <w:color w:val="1C3A36"/>
                <w:sz w:val="16"/>
              </w:rPr>
              <w:t>565</w:t>
            </w:r>
          </w:p>
        </w:tc>
        <w:tc>
          <w:tcPr>
            <w:tcW w:type="dxa" w:w="997"/>
          </w:tcPr>
          <w:p>
            <w:pPr>
              <w:spacing w:after="20"/>
              <w:jc w:val="right"/>
            </w:pPr>
            <w:r>
              <w:rPr>
                <w:color w:val="1C3A36"/>
                <w:sz w:val="16"/>
              </w:rPr>
              <w:t>643</w:t>
            </w:r>
          </w:p>
        </w:tc>
      </w:tr>
      <w:tr>
        <w:tc>
          <w:tcPr>
            <w:tcW w:type="dxa" w:w="2105"/>
          </w:tcPr>
          <w:p>
            <w:pPr>
              <w:spacing w:after="20"/>
            </w:pPr>
            <w:r>
              <w:rPr>
                <w:color w:val="1C3A36"/>
                <w:sz w:val="16"/>
              </w:rPr>
              <w:t>EBITDA</w:t>
            </w:r>
          </w:p>
        </w:tc>
        <w:tc>
          <w:tcPr>
            <w:tcW w:type="dxa" w:w="997"/>
          </w:tcPr>
          <w:p>
            <w:pPr>
              <w:spacing w:after="20"/>
              <w:jc w:val="right"/>
            </w:pPr>
            <w:r>
              <w:rPr>
                <w:color w:val="1C3A36"/>
                <w:sz w:val="16"/>
              </w:rPr>
              <w:t>1,330</w:t>
            </w:r>
          </w:p>
        </w:tc>
        <w:tc>
          <w:tcPr>
            <w:tcW w:type="dxa" w:w="997"/>
          </w:tcPr>
          <w:p>
            <w:pPr>
              <w:spacing w:after="20"/>
              <w:jc w:val="right"/>
            </w:pPr>
            <w:r>
              <w:rPr>
                <w:color w:val="1C3A36"/>
                <w:sz w:val="16"/>
              </w:rPr>
              <w:t>2,021</w:t>
            </w:r>
          </w:p>
        </w:tc>
        <w:tc>
          <w:tcPr>
            <w:tcW w:type="dxa" w:w="997"/>
          </w:tcPr>
          <w:p>
            <w:pPr>
              <w:spacing w:after="20"/>
              <w:jc w:val="right"/>
            </w:pPr>
            <w:r>
              <w:rPr>
                <w:color w:val="1C3A36"/>
                <w:sz w:val="16"/>
              </w:rPr>
              <w:t>4,886</w:t>
            </w:r>
          </w:p>
        </w:tc>
        <w:tc>
          <w:tcPr>
            <w:tcW w:type="dxa" w:w="997"/>
          </w:tcPr>
          <w:p>
            <w:pPr>
              <w:spacing w:after="20"/>
              <w:jc w:val="right"/>
            </w:pPr>
            <w:r>
              <w:rPr>
                <w:color w:val="1C3A36"/>
                <w:sz w:val="16"/>
              </w:rPr>
              <w:t>5,210</w:t>
            </w:r>
          </w:p>
        </w:tc>
        <w:tc>
          <w:tcPr>
            <w:tcW w:type="dxa" w:w="997"/>
          </w:tcPr>
          <w:p>
            <w:pPr>
              <w:spacing w:after="20"/>
              <w:jc w:val="right"/>
            </w:pPr>
            <w:r>
              <w:rPr>
                <w:color w:val="1C3A36"/>
                <w:sz w:val="16"/>
              </w:rPr>
              <w:t>5,918</w:t>
            </w:r>
          </w:p>
        </w:tc>
        <w:tc>
          <w:tcPr>
            <w:tcW w:type="dxa" w:w="997"/>
          </w:tcPr>
          <w:p>
            <w:pPr>
              <w:spacing w:after="20"/>
              <w:jc w:val="right"/>
            </w:pPr>
            <w:r>
              <w:rPr>
                <w:color w:val="1C3A36"/>
                <w:sz w:val="16"/>
              </w:rPr>
              <w:t>6,574</w:t>
            </w:r>
          </w:p>
        </w:tc>
        <w:tc>
          <w:tcPr>
            <w:tcW w:type="dxa" w:w="997"/>
          </w:tcPr>
          <w:p>
            <w:pPr>
              <w:spacing w:after="20"/>
              <w:jc w:val="right"/>
            </w:pPr>
            <w:r>
              <w:rPr>
                <w:color w:val="1C3A36"/>
                <w:sz w:val="16"/>
              </w:rPr>
              <w:t>7,111</w:t>
            </w:r>
          </w:p>
        </w:tc>
        <w:tc>
          <w:tcPr>
            <w:tcW w:type="dxa" w:w="997"/>
          </w:tcPr>
          <w:p>
            <w:pPr>
              <w:spacing w:after="20"/>
              <w:jc w:val="right"/>
            </w:pPr>
            <w:r>
              <w:rPr>
                <w:color w:val="1C3A36"/>
                <w:sz w:val="16"/>
              </w:rPr>
              <w:t>7,650</w:t>
            </w:r>
          </w:p>
        </w:tc>
      </w:tr>
      <w:tr>
        <w:tc>
          <w:tcPr>
            <w:tcW w:type="dxa" w:w="2105"/>
          </w:tcPr>
          <w:p>
            <w:pPr>
              <w:spacing w:after="20"/>
            </w:pPr>
            <w:r>
              <w:rPr>
                <w:color w:val="1C3A36"/>
                <w:sz w:val="16"/>
              </w:rPr>
              <w:t>EBITDA margin</w:t>
            </w:r>
          </w:p>
        </w:tc>
        <w:tc>
          <w:tcPr>
            <w:tcW w:type="dxa" w:w="997"/>
          </w:tcPr>
          <w:p>
            <w:pPr>
              <w:spacing w:after="20"/>
              <w:jc w:val="right"/>
            </w:pPr>
            <w:r>
              <w:rPr>
                <w:color w:val="1C3A36"/>
                <w:sz w:val="16"/>
              </w:rPr>
              <w:t>22.0%</w:t>
            </w:r>
          </w:p>
        </w:tc>
        <w:tc>
          <w:tcPr>
            <w:tcW w:type="dxa" w:w="997"/>
          </w:tcPr>
          <w:p>
            <w:pPr>
              <w:spacing w:after="20"/>
              <w:jc w:val="right"/>
            </w:pPr>
            <w:r>
              <w:rPr>
                <w:color w:val="1C3A36"/>
                <w:sz w:val="16"/>
              </w:rPr>
              <w:t>23.1%</w:t>
            </w:r>
          </w:p>
        </w:tc>
        <w:tc>
          <w:tcPr>
            <w:tcW w:type="dxa" w:w="997"/>
          </w:tcPr>
          <w:p>
            <w:pPr>
              <w:spacing w:after="20"/>
              <w:jc w:val="right"/>
            </w:pPr>
            <w:r>
              <w:rPr>
                <w:color w:val="1C3A36"/>
                <w:sz w:val="16"/>
              </w:rPr>
              <w:t>39.3%</w:t>
            </w:r>
          </w:p>
        </w:tc>
        <w:tc>
          <w:tcPr>
            <w:tcW w:type="dxa" w:w="997"/>
          </w:tcPr>
          <w:p>
            <w:pPr>
              <w:spacing w:after="20"/>
              <w:jc w:val="right"/>
            </w:pPr>
            <w:r>
              <w:rPr>
                <w:color w:val="1C3A36"/>
                <w:sz w:val="16"/>
              </w:rPr>
              <w:t>39.0%</w:t>
            </w:r>
          </w:p>
        </w:tc>
        <w:tc>
          <w:tcPr>
            <w:tcW w:type="dxa" w:w="997"/>
          </w:tcPr>
          <w:p>
            <w:pPr>
              <w:spacing w:after="20"/>
              <w:jc w:val="right"/>
            </w:pPr>
            <w:r>
              <w:rPr>
                <w:color w:val="1C3A36"/>
                <w:sz w:val="16"/>
              </w:rPr>
              <w:t>39.5%</w:t>
            </w:r>
          </w:p>
        </w:tc>
        <w:tc>
          <w:tcPr>
            <w:tcW w:type="dxa" w:w="997"/>
          </w:tcPr>
          <w:p>
            <w:pPr>
              <w:spacing w:after="20"/>
              <w:jc w:val="right"/>
            </w:pPr>
            <w:r>
              <w:rPr>
                <w:color w:val="1C3A36"/>
                <w:sz w:val="16"/>
              </w:rPr>
              <w:t>40.0%</w:t>
            </w:r>
          </w:p>
        </w:tc>
        <w:tc>
          <w:tcPr>
            <w:tcW w:type="dxa" w:w="997"/>
          </w:tcPr>
          <w:p>
            <w:pPr>
              <w:spacing w:after="20"/>
              <w:jc w:val="right"/>
            </w:pPr>
            <w:r>
              <w:rPr>
                <w:color w:val="1C3A36"/>
                <w:sz w:val="16"/>
              </w:rPr>
              <w:t>40.2%</w:t>
            </w:r>
          </w:p>
        </w:tc>
        <w:tc>
          <w:tcPr>
            <w:tcW w:type="dxa" w:w="997"/>
          </w:tcPr>
          <w:p>
            <w:pPr>
              <w:spacing w:after="20"/>
              <w:jc w:val="right"/>
            </w:pPr>
            <w:r>
              <w:rPr>
                <w:color w:val="1C3A36"/>
                <w:sz w:val="16"/>
              </w:rPr>
              <w:t>40.4%</w:t>
            </w:r>
          </w:p>
        </w:tc>
      </w:tr>
      <w:tr>
        <w:tc>
          <w:tcPr>
            <w:tcW w:type="dxa" w:w="2105"/>
          </w:tcPr>
          <w:p>
            <w:pPr>
              <w:spacing w:after="20"/>
            </w:pPr>
            <w:r>
              <w:rPr>
                <w:color w:val="1C3A36"/>
                <w:sz w:val="16"/>
              </w:rPr>
              <w:t>Net finance and other income</w:t>
            </w:r>
          </w:p>
        </w:tc>
        <w:tc>
          <w:tcPr>
            <w:tcW w:type="dxa" w:w="997"/>
          </w:tcPr>
          <w:p>
            <w:pPr>
              <w:spacing w:after="20"/>
              <w:jc w:val="right"/>
            </w:pPr>
            <w:r>
              <w:rPr>
                <w:color w:val="1C3A36"/>
                <w:sz w:val="16"/>
              </w:rPr>
              <w:t>-149</w:t>
            </w:r>
          </w:p>
        </w:tc>
        <w:tc>
          <w:tcPr>
            <w:tcW w:type="dxa" w:w="997"/>
          </w:tcPr>
          <w:p>
            <w:pPr>
              <w:spacing w:after="20"/>
              <w:jc w:val="right"/>
            </w:pPr>
            <w:r>
              <w:rPr>
                <w:color w:val="1C3A36"/>
                <w:sz w:val="16"/>
              </w:rPr>
              <w:t>-258</w:t>
            </w:r>
          </w:p>
        </w:tc>
        <w:tc>
          <w:tcPr>
            <w:tcW w:type="dxa" w:w="997"/>
          </w:tcPr>
          <w:p>
            <w:pPr>
              <w:spacing w:after="20"/>
              <w:jc w:val="right"/>
            </w:pPr>
            <w:r>
              <w:rPr>
                <w:color w:val="1C3A36"/>
                <w:sz w:val="16"/>
              </w:rPr>
              <w:t>129</w:t>
            </w:r>
          </w:p>
        </w:tc>
        <w:tc>
          <w:tcPr>
            <w:tcW w:type="dxa" w:w="997"/>
          </w:tcPr>
          <w:p>
            <w:pPr>
              <w:spacing w:after="20"/>
              <w:jc w:val="right"/>
            </w:pPr>
            <w:r>
              <w:rPr>
                <w:color w:val="1C3A36"/>
                <w:sz w:val="16"/>
              </w:rPr>
              <w:t>127</w:t>
            </w:r>
          </w:p>
        </w:tc>
        <w:tc>
          <w:tcPr>
            <w:tcW w:type="dxa" w:w="997"/>
          </w:tcPr>
          <w:p>
            <w:pPr>
              <w:spacing w:after="20"/>
              <w:jc w:val="right"/>
            </w:pPr>
            <w:r>
              <w:rPr>
                <w:color w:val="1C3A36"/>
                <w:sz w:val="16"/>
              </w:rPr>
              <w:t>237</w:t>
            </w:r>
          </w:p>
        </w:tc>
        <w:tc>
          <w:tcPr>
            <w:tcW w:type="dxa" w:w="997"/>
          </w:tcPr>
          <w:p>
            <w:pPr>
              <w:spacing w:after="20"/>
              <w:jc w:val="right"/>
            </w:pPr>
            <w:r>
              <w:rPr>
                <w:color w:val="1C3A36"/>
                <w:sz w:val="16"/>
              </w:rPr>
              <w:t>359</w:t>
            </w:r>
          </w:p>
        </w:tc>
        <w:tc>
          <w:tcPr>
            <w:tcW w:type="dxa" w:w="997"/>
          </w:tcPr>
          <w:p>
            <w:pPr>
              <w:spacing w:after="20"/>
              <w:jc w:val="right"/>
            </w:pPr>
            <w:r>
              <w:rPr>
                <w:color w:val="1C3A36"/>
                <w:sz w:val="16"/>
              </w:rPr>
              <w:t>496</w:t>
            </w:r>
          </w:p>
        </w:tc>
        <w:tc>
          <w:tcPr>
            <w:tcW w:type="dxa" w:w="997"/>
          </w:tcPr>
          <w:p>
            <w:pPr>
              <w:spacing w:after="20"/>
              <w:jc w:val="right"/>
            </w:pPr>
            <w:r>
              <w:rPr>
                <w:color w:val="1C3A36"/>
                <w:sz w:val="16"/>
              </w:rPr>
              <w:t>663</w:t>
            </w:r>
          </w:p>
        </w:tc>
      </w:tr>
      <w:tr>
        <w:tc>
          <w:tcPr>
            <w:tcW w:type="dxa" w:w="2105"/>
          </w:tcPr>
          <w:p>
            <w:pPr>
              <w:spacing w:after="20"/>
            </w:pPr>
            <w:r>
              <w:rPr>
                <w:color w:val="1C3A36"/>
                <w:sz w:val="16"/>
              </w:rPr>
              <w:t>Profit before tax</w:t>
            </w:r>
          </w:p>
        </w:tc>
        <w:tc>
          <w:tcPr>
            <w:tcW w:type="dxa" w:w="997"/>
          </w:tcPr>
          <w:p>
            <w:pPr>
              <w:spacing w:after="20"/>
              <w:jc w:val="right"/>
            </w:pPr>
            <w:r>
              <w:rPr>
                <w:color w:val="1C3A36"/>
                <w:sz w:val="16"/>
              </w:rPr>
              <w:t>930</w:t>
            </w:r>
          </w:p>
        </w:tc>
        <w:tc>
          <w:tcPr>
            <w:tcW w:type="dxa" w:w="997"/>
          </w:tcPr>
          <w:p>
            <w:pPr>
              <w:spacing w:after="20"/>
              <w:jc w:val="right"/>
            </w:pPr>
            <w:r>
              <w:rPr>
                <w:color w:val="1C3A36"/>
                <w:sz w:val="16"/>
              </w:rPr>
              <w:t>1,506</w:t>
            </w:r>
          </w:p>
        </w:tc>
        <w:tc>
          <w:tcPr>
            <w:tcW w:type="dxa" w:w="997"/>
          </w:tcPr>
          <w:p>
            <w:pPr>
              <w:spacing w:after="20"/>
              <w:jc w:val="right"/>
            </w:pPr>
            <w:r>
              <w:rPr>
                <w:color w:val="1C3A36"/>
                <w:sz w:val="16"/>
              </w:rPr>
              <w:t>4,725</w:t>
            </w:r>
          </w:p>
        </w:tc>
        <w:tc>
          <w:tcPr>
            <w:tcW w:type="dxa" w:w="997"/>
          </w:tcPr>
          <w:p>
            <w:pPr>
              <w:spacing w:after="20"/>
              <w:jc w:val="right"/>
            </w:pPr>
            <w:r>
              <w:rPr>
                <w:color w:val="1C3A36"/>
                <w:sz w:val="16"/>
              </w:rPr>
              <w:t>5,043</w:t>
            </w:r>
          </w:p>
        </w:tc>
        <w:tc>
          <w:tcPr>
            <w:tcW w:type="dxa" w:w="997"/>
          </w:tcPr>
          <w:p>
            <w:pPr>
              <w:spacing w:after="20"/>
              <w:jc w:val="right"/>
            </w:pPr>
            <w:r>
              <w:rPr>
                <w:color w:val="1C3A36"/>
                <w:sz w:val="16"/>
              </w:rPr>
              <w:t>5,793</w:t>
            </w:r>
          </w:p>
        </w:tc>
        <w:tc>
          <w:tcPr>
            <w:tcW w:type="dxa" w:w="997"/>
          </w:tcPr>
          <w:p>
            <w:pPr>
              <w:spacing w:after="20"/>
              <w:jc w:val="right"/>
            </w:pPr>
            <w:r>
              <w:rPr>
                <w:color w:val="1C3A36"/>
                <w:sz w:val="16"/>
              </w:rPr>
              <w:t>6,499</w:t>
            </w:r>
          </w:p>
        </w:tc>
        <w:tc>
          <w:tcPr>
            <w:tcW w:type="dxa" w:w="997"/>
          </w:tcPr>
          <w:p>
            <w:pPr>
              <w:spacing w:after="20"/>
              <w:jc w:val="right"/>
            </w:pPr>
            <w:r>
              <w:rPr>
                <w:color w:val="1C3A36"/>
                <w:sz w:val="16"/>
              </w:rPr>
              <w:t>7,102</w:t>
            </w:r>
          </w:p>
        </w:tc>
        <w:tc>
          <w:tcPr>
            <w:tcW w:type="dxa" w:w="997"/>
          </w:tcPr>
          <w:p>
            <w:pPr>
              <w:spacing w:after="20"/>
              <w:jc w:val="right"/>
            </w:pPr>
            <w:r>
              <w:rPr>
                <w:color w:val="1C3A36"/>
                <w:sz w:val="16"/>
              </w:rPr>
              <w:t>7,732</w:t>
            </w:r>
          </w:p>
        </w:tc>
      </w:tr>
      <w:tr>
        <w:tc>
          <w:tcPr>
            <w:tcW w:type="dxa" w:w="2105"/>
          </w:tcPr>
          <w:p>
            <w:pPr>
              <w:spacing w:after="20"/>
            </w:pPr>
            <w:r>
              <w:rPr>
                <w:color w:val="1C3A36"/>
                <w:sz w:val="16"/>
              </w:rPr>
              <w:t>Income tax</w:t>
            </w:r>
          </w:p>
        </w:tc>
        <w:tc>
          <w:tcPr>
            <w:tcW w:type="dxa" w:w="997"/>
          </w:tcPr>
          <w:p>
            <w:pPr>
              <w:spacing w:after="20"/>
              <w:jc w:val="right"/>
            </w:pPr>
            <w:r>
              <w:rPr>
                <w:color w:val="1C3A36"/>
                <w:sz w:val="16"/>
              </w:rPr>
              <w:t>(233)</w:t>
            </w:r>
          </w:p>
        </w:tc>
        <w:tc>
          <w:tcPr>
            <w:tcW w:type="dxa" w:w="997"/>
          </w:tcPr>
          <w:p>
            <w:pPr>
              <w:spacing w:after="20"/>
              <w:jc w:val="right"/>
            </w:pPr>
            <w:r>
              <w:rPr>
                <w:color w:val="1C3A36"/>
                <w:sz w:val="16"/>
              </w:rPr>
              <w:t>(346)</w:t>
            </w:r>
          </w:p>
        </w:tc>
        <w:tc>
          <w:tcPr>
            <w:tcW w:type="dxa" w:w="997"/>
          </w:tcPr>
          <w:p>
            <w:pPr>
              <w:spacing w:after="20"/>
              <w:jc w:val="right"/>
            </w:pPr>
            <w:r>
              <w:rPr>
                <w:color w:val="1C3A36"/>
                <w:sz w:val="16"/>
              </w:rPr>
              <w:t>(1,125)</w:t>
            </w:r>
          </w:p>
        </w:tc>
        <w:tc>
          <w:tcPr>
            <w:tcW w:type="dxa" w:w="997"/>
          </w:tcPr>
          <w:p>
            <w:pPr>
              <w:spacing w:after="20"/>
              <w:jc w:val="right"/>
            </w:pPr>
            <w:r>
              <w:rPr>
                <w:color w:val="1C3A36"/>
                <w:sz w:val="16"/>
              </w:rPr>
              <w:t>(1,201)</w:t>
            </w:r>
          </w:p>
        </w:tc>
        <w:tc>
          <w:tcPr>
            <w:tcW w:type="dxa" w:w="997"/>
          </w:tcPr>
          <w:p>
            <w:pPr>
              <w:spacing w:after="20"/>
              <w:jc w:val="right"/>
            </w:pPr>
            <w:r>
              <w:rPr>
                <w:color w:val="1C3A36"/>
                <w:sz w:val="16"/>
              </w:rPr>
              <w:t>(1,380)</w:t>
            </w:r>
          </w:p>
        </w:tc>
        <w:tc>
          <w:tcPr>
            <w:tcW w:type="dxa" w:w="997"/>
          </w:tcPr>
          <w:p>
            <w:pPr>
              <w:spacing w:after="20"/>
              <w:jc w:val="right"/>
            </w:pPr>
            <w:r>
              <w:rPr>
                <w:color w:val="1C3A36"/>
                <w:sz w:val="16"/>
              </w:rPr>
              <w:t>(1,548)</w:t>
            </w:r>
          </w:p>
        </w:tc>
        <w:tc>
          <w:tcPr>
            <w:tcW w:type="dxa" w:w="997"/>
          </w:tcPr>
          <w:p>
            <w:pPr>
              <w:spacing w:after="20"/>
              <w:jc w:val="right"/>
            </w:pPr>
            <w:r>
              <w:rPr>
                <w:color w:val="1C3A36"/>
                <w:sz w:val="16"/>
              </w:rPr>
              <w:t>(1,692)</w:t>
            </w:r>
          </w:p>
        </w:tc>
        <w:tc>
          <w:tcPr>
            <w:tcW w:type="dxa" w:w="997"/>
          </w:tcPr>
          <w:p>
            <w:pPr>
              <w:spacing w:after="20"/>
              <w:jc w:val="right"/>
            </w:pPr>
            <w:r>
              <w:rPr>
                <w:color w:val="1C3A36"/>
                <w:sz w:val="16"/>
              </w:rPr>
              <w:t>(1,842)</w:t>
            </w:r>
          </w:p>
        </w:tc>
      </w:tr>
      <w:tr>
        <w:tc>
          <w:tcPr>
            <w:tcW w:type="dxa" w:w="2105"/>
            <w:shd w:val="clear" w:color="auto" w:fill="F6F1E6"/>
          </w:tcPr>
          <w:p>
            <w:pPr>
              <w:spacing w:after="20"/>
            </w:pPr>
            <w:r>
              <w:rPr>
                <w:b/>
                <w:color w:val="1C3A36"/>
                <w:sz w:val="16"/>
              </w:rPr>
              <w:t>Attributable profit</w:t>
            </w:r>
          </w:p>
        </w:tc>
        <w:tc>
          <w:tcPr>
            <w:tcW w:type="dxa" w:w="997"/>
            <w:shd w:val="clear" w:color="auto" w:fill="F6F1E6"/>
          </w:tcPr>
          <w:p>
            <w:pPr>
              <w:spacing w:after="20"/>
              <w:jc w:val="right"/>
            </w:pPr>
            <w:r>
              <w:rPr>
                <w:b/>
                <w:color w:val="1C3A36"/>
                <w:sz w:val="16"/>
              </w:rPr>
              <w:t>697</w:t>
            </w:r>
          </w:p>
        </w:tc>
        <w:tc>
          <w:tcPr>
            <w:tcW w:type="dxa" w:w="997"/>
            <w:shd w:val="clear" w:color="auto" w:fill="F6F1E6"/>
          </w:tcPr>
          <w:p>
            <w:pPr>
              <w:spacing w:after="20"/>
              <w:jc w:val="right"/>
            </w:pPr>
            <w:r>
              <w:rPr>
                <w:b/>
                <w:color w:val="1C3A36"/>
                <w:sz w:val="16"/>
              </w:rPr>
              <w:t>1,160</w:t>
            </w:r>
          </w:p>
        </w:tc>
        <w:tc>
          <w:tcPr>
            <w:tcW w:type="dxa" w:w="997"/>
            <w:shd w:val="clear" w:color="auto" w:fill="F6F1E6"/>
          </w:tcPr>
          <w:p>
            <w:pPr>
              <w:spacing w:after="20"/>
              <w:jc w:val="right"/>
            </w:pPr>
            <w:r>
              <w:rPr>
                <w:b/>
                <w:color w:val="1C3A36"/>
                <w:sz w:val="16"/>
              </w:rPr>
              <w:t>3,600</w:t>
            </w:r>
          </w:p>
        </w:tc>
        <w:tc>
          <w:tcPr>
            <w:tcW w:type="dxa" w:w="997"/>
            <w:shd w:val="clear" w:color="auto" w:fill="F6F1E6"/>
          </w:tcPr>
          <w:p>
            <w:pPr>
              <w:spacing w:after="20"/>
              <w:jc w:val="right"/>
            </w:pPr>
            <w:r>
              <w:rPr>
                <w:b/>
                <w:color w:val="1C3A36"/>
                <w:sz w:val="16"/>
              </w:rPr>
              <w:t>3,842</w:t>
            </w:r>
          </w:p>
        </w:tc>
        <w:tc>
          <w:tcPr>
            <w:tcW w:type="dxa" w:w="997"/>
            <w:shd w:val="clear" w:color="auto" w:fill="F6F1E6"/>
          </w:tcPr>
          <w:p>
            <w:pPr>
              <w:spacing w:after="20"/>
              <w:jc w:val="right"/>
            </w:pPr>
            <w:r>
              <w:rPr>
                <w:b/>
                <w:color w:val="1C3A36"/>
                <w:sz w:val="16"/>
              </w:rPr>
              <w:t>4,413</w:t>
            </w:r>
          </w:p>
        </w:tc>
        <w:tc>
          <w:tcPr>
            <w:tcW w:type="dxa" w:w="997"/>
            <w:shd w:val="clear" w:color="auto" w:fill="F6F1E6"/>
          </w:tcPr>
          <w:p>
            <w:pPr>
              <w:spacing w:after="20"/>
              <w:jc w:val="right"/>
            </w:pPr>
            <w:r>
              <w:rPr>
                <w:b/>
                <w:color w:val="1C3A36"/>
                <w:sz w:val="16"/>
              </w:rPr>
              <w:t>4,951</w:t>
            </w:r>
          </w:p>
        </w:tc>
        <w:tc>
          <w:tcPr>
            <w:tcW w:type="dxa" w:w="997"/>
            <w:shd w:val="clear" w:color="auto" w:fill="F6F1E6"/>
          </w:tcPr>
          <w:p>
            <w:pPr>
              <w:spacing w:after="20"/>
              <w:jc w:val="right"/>
            </w:pPr>
            <w:r>
              <w:rPr>
                <w:b/>
                <w:color w:val="1C3A36"/>
                <w:sz w:val="16"/>
              </w:rPr>
              <w:t>5,410</w:t>
            </w:r>
          </w:p>
        </w:tc>
        <w:tc>
          <w:tcPr>
            <w:tcW w:type="dxa" w:w="997"/>
            <w:shd w:val="clear" w:color="auto" w:fill="F6F1E6"/>
          </w:tcPr>
          <w:p>
            <w:pPr>
              <w:spacing w:after="20"/>
              <w:jc w:val="right"/>
            </w:pPr>
            <w:r>
              <w:rPr>
                <w:b/>
                <w:color w:val="1C3A36"/>
                <w:sz w:val="16"/>
              </w:rPr>
              <w:t>5,891</w:t>
            </w:r>
          </w:p>
        </w:tc>
      </w:tr>
      <w:tr>
        <w:tc>
          <w:tcPr>
            <w:tcW w:type="dxa" w:w="2105"/>
          </w:tcPr>
          <w:p>
            <w:pPr>
              <w:spacing w:after="20"/>
            </w:pPr>
            <w:r>
              <w:rPr>
                <w:color w:val="1C3A36"/>
                <w:sz w:val="16"/>
              </w:rPr>
              <w:t>Earnings per share (EGP)</w:t>
            </w:r>
          </w:p>
        </w:tc>
        <w:tc>
          <w:tcPr>
            <w:tcW w:type="dxa" w:w="997"/>
          </w:tcPr>
          <w:p>
            <w:pPr>
              <w:spacing w:after="20"/>
              <w:jc w:val="right"/>
            </w:pPr>
            <w:r>
              <w:rPr>
                <w:color w:val="1C3A36"/>
                <w:sz w:val="16"/>
              </w:rPr>
              <w:t>1.81</w:t>
            </w:r>
          </w:p>
        </w:tc>
        <w:tc>
          <w:tcPr>
            <w:tcW w:type="dxa" w:w="997"/>
          </w:tcPr>
          <w:p>
            <w:pPr>
              <w:spacing w:after="20"/>
              <w:jc w:val="right"/>
            </w:pPr>
            <w:r>
              <w:rPr>
                <w:color w:val="1C3A36"/>
                <w:sz w:val="16"/>
              </w:rPr>
              <w:t>3.02</w:t>
            </w:r>
          </w:p>
        </w:tc>
        <w:tc>
          <w:tcPr>
            <w:tcW w:type="dxa" w:w="997"/>
          </w:tcPr>
          <w:p>
            <w:pPr>
              <w:spacing w:after="20"/>
              <w:jc w:val="right"/>
            </w:pPr>
            <w:r>
              <w:rPr>
                <w:color w:val="1C3A36"/>
                <w:sz w:val="16"/>
              </w:rPr>
              <w:t>9.49</w:t>
            </w:r>
          </w:p>
        </w:tc>
        <w:tc>
          <w:tcPr>
            <w:tcW w:type="dxa" w:w="997"/>
          </w:tcPr>
          <w:p>
            <w:pPr>
              <w:spacing w:after="20"/>
              <w:jc w:val="right"/>
            </w:pPr>
            <w:r>
              <w:rPr>
                <w:color w:val="1C3A36"/>
                <w:sz w:val="16"/>
              </w:rPr>
              <w:t>10.25</w:t>
            </w:r>
          </w:p>
        </w:tc>
        <w:tc>
          <w:tcPr>
            <w:tcW w:type="dxa" w:w="997"/>
          </w:tcPr>
          <w:p>
            <w:pPr>
              <w:spacing w:after="20"/>
              <w:jc w:val="right"/>
            </w:pPr>
            <w:r>
              <w:rPr>
                <w:color w:val="1C3A36"/>
                <w:sz w:val="16"/>
              </w:rPr>
              <w:t>11.77</w:t>
            </w:r>
          </w:p>
        </w:tc>
        <w:tc>
          <w:tcPr>
            <w:tcW w:type="dxa" w:w="997"/>
          </w:tcPr>
          <w:p>
            <w:pPr>
              <w:spacing w:after="20"/>
              <w:jc w:val="right"/>
            </w:pPr>
            <w:r>
              <w:rPr>
                <w:color w:val="1C3A36"/>
                <w:sz w:val="16"/>
              </w:rPr>
              <w:t>13.21</w:t>
            </w:r>
          </w:p>
        </w:tc>
        <w:tc>
          <w:tcPr>
            <w:tcW w:type="dxa" w:w="997"/>
          </w:tcPr>
          <w:p>
            <w:pPr>
              <w:spacing w:after="20"/>
              <w:jc w:val="right"/>
            </w:pPr>
            <w:r>
              <w:rPr>
                <w:color w:val="1C3A36"/>
                <w:sz w:val="16"/>
              </w:rPr>
              <w:t>14.43</w:t>
            </w:r>
          </w:p>
        </w:tc>
        <w:tc>
          <w:tcPr>
            <w:tcW w:type="dxa" w:w="997"/>
          </w:tcPr>
          <w:p>
            <w:pPr>
              <w:spacing w:after="20"/>
              <w:jc w:val="right"/>
            </w:pPr>
            <w:r>
              <w:rPr>
                <w:color w:val="1C3A36"/>
                <w:sz w:val="16"/>
              </w:rPr>
              <w:t>15.71</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The published earnings per share is struck on distributable profit after the statutory employees' and directors' share, which is why it differs slightly from profit over the share count.</w:t>
      </w:r>
    </w:p>
    <w:p>
      <w:pPr>
        <w:spacing w:after="80" w:before="200"/>
      </w:pPr>
      <w:r>
        <w:rPr>
          <w:b/>
          <w:i w:val="0"/>
          <w:color w:val="1C3A36"/>
          <w:sz w:val="24"/>
        </w:rPr>
        <w:t>A.2  Balance sheet —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shd w:val="clear" w:color="auto" w:fill="F6F1E6"/>
          </w:tcPr>
          <w:p>
            <w:pPr>
              <w:spacing w:after="20"/>
            </w:pPr>
            <w:r>
              <w:rPr>
                <w:b/>
                <w:color w:val="1C3A36"/>
                <w:sz w:val="16"/>
              </w:rPr>
              <w:t>Total assets</w:t>
            </w:r>
          </w:p>
        </w:tc>
        <w:tc>
          <w:tcPr>
            <w:tcW w:type="dxa" w:w="997"/>
            <w:shd w:val="clear" w:color="auto" w:fill="F6F1E6"/>
          </w:tcPr>
          <w:p>
            <w:pPr>
              <w:spacing w:after="20"/>
              <w:jc w:val="right"/>
            </w:pPr>
            <w:r>
              <w:rPr>
                <w:b/>
                <w:color w:val="1C3A36"/>
                <w:sz w:val="16"/>
              </w:rPr>
              <w:t>3,888</w:t>
            </w:r>
          </w:p>
        </w:tc>
        <w:tc>
          <w:tcPr>
            <w:tcW w:type="dxa" w:w="997"/>
            <w:shd w:val="clear" w:color="auto" w:fill="F6F1E6"/>
          </w:tcPr>
          <w:p>
            <w:pPr>
              <w:spacing w:after="20"/>
              <w:jc w:val="right"/>
            </w:pPr>
            <w:r>
              <w:rPr>
                <w:b/>
                <w:color w:val="1C3A36"/>
                <w:sz w:val="16"/>
              </w:rPr>
              <w:t>5,849</w:t>
            </w:r>
          </w:p>
        </w:tc>
        <w:tc>
          <w:tcPr>
            <w:tcW w:type="dxa" w:w="997"/>
            <w:shd w:val="clear" w:color="auto" w:fill="F6F1E6"/>
          </w:tcPr>
          <w:p>
            <w:pPr>
              <w:spacing w:after="20"/>
              <w:jc w:val="right"/>
            </w:pPr>
            <w:r>
              <w:rPr>
                <w:b/>
                <w:color w:val="1C3A36"/>
                <w:sz w:val="16"/>
              </w:rPr>
              <w:t>8,784</w:t>
            </w:r>
          </w:p>
        </w:tc>
        <w:tc>
          <w:tcPr>
            <w:tcW w:type="dxa" w:w="997"/>
            <w:shd w:val="clear" w:color="auto" w:fill="F6F1E6"/>
          </w:tcPr>
          <w:p>
            <w:pPr>
              <w:spacing w:after="20"/>
              <w:jc w:val="right"/>
            </w:pPr>
            <w:r>
              <w:rPr>
                <w:b/>
                <w:color w:val="1C3A36"/>
                <w:sz w:val="16"/>
              </w:rPr>
              <w:t>8,487</w:t>
            </w:r>
          </w:p>
        </w:tc>
        <w:tc>
          <w:tcPr>
            <w:tcW w:type="dxa" w:w="997"/>
            <w:shd w:val="clear" w:color="auto" w:fill="F6F1E6"/>
          </w:tcPr>
          <w:p>
            <w:pPr>
              <w:spacing w:after="20"/>
              <w:jc w:val="right"/>
            </w:pPr>
            <w:r>
              <w:rPr>
                <w:b/>
                <w:color w:val="1C3A36"/>
                <w:sz w:val="16"/>
              </w:rPr>
              <w:t>10,446</w:t>
            </w:r>
          </w:p>
        </w:tc>
        <w:tc>
          <w:tcPr>
            <w:tcW w:type="dxa" w:w="997"/>
            <w:shd w:val="clear" w:color="auto" w:fill="F6F1E6"/>
          </w:tcPr>
          <w:p>
            <w:pPr>
              <w:spacing w:after="20"/>
              <w:jc w:val="right"/>
            </w:pPr>
            <w:r>
              <w:rPr>
                <w:b/>
                <w:color w:val="1C3A36"/>
                <w:sz w:val="16"/>
              </w:rPr>
              <w:t>12,645</w:t>
            </w:r>
          </w:p>
        </w:tc>
        <w:tc>
          <w:tcPr>
            <w:tcW w:type="dxa" w:w="997"/>
            <w:shd w:val="clear" w:color="auto" w:fill="F6F1E6"/>
          </w:tcPr>
          <w:p>
            <w:pPr>
              <w:spacing w:after="20"/>
              <w:jc w:val="right"/>
            </w:pPr>
            <w:r>
              <w:rPr>
                <w:b/>
                <w:color w:val="1C3A36"/>
                <w:sz w:val="16"/>
              </w:rPr>
              <w:t>15,047</w:t>
            </w:r>
          </w:p>
        </w:tc>
        <w:tc>
          <w:tcPr>
            <w:tcW w:type="dxa" w:w="997"/>
            <w:shd w:val="clear" w:color="auto" w:fill="F6F1E6"/>
          </w:tcPr>
          <w:p>
            <w:pPr>
              <w:spacing w:after="20"/>
              <w:jc w:val="right"/>
            </w:pPr>
            <w:r>
              <w:rPr>
                <w:b/>
                <w:color w:val="1C3A36"/>
                <w:sz w:val="16"/>
              </w:rPr>
              <w:t>17,662</w:t>
            </w:r>
          </w:p>
        </w:tc>
      </w:tr>
      <w:tr>
        <w:tc>
          <w:tcPr>
            <w:tcW w:type="dxa" w:w="2105"/>
          </w:tcPr>
          <w:p>
            <w:pPr>
              <w:spacing w:after="20"/>
            </w:pPr>
            <w:r>
              <w:rPr>
                <w:color w:val="1C3A36"/>
                <w:sz w:val="16"/>
              </w:rPr>
              <w:t>Cash and bank balances</w:t>
            </w:r>
          </w:p>
        </w:tc>
        <w:tc>
          <w:tcPr>
            <w:tcW w:type="dxa" w:w="997"/>
          </w:tcPr>
          <w:p>
            <w:pPr>
              <w:spacing w:after="20"/>
              <w:jc w:val="right"/>
            </w:pPr>
            <w:r>
              <w:rPr>
                <w:color w:val="1C3A36"/>
                <w:sz w:val="16"/>
              </w:rPr>
              <w:t>561</w:t>
            </w:r>
          </w:p>
        </w:tc>
        <w:tc>
          <w:tcPr>
            <w:tcW w:type="dxa" w:w="997"/>
          </w:tcPr>
          <w:p>
            <w:pPr>
              <w:spacing w:after="20"/>
              <w:jc w:val="right"/>
            </w:pPr>
            <w:r>
              <w:rPr>
                <w:color w:val="1C3A36"/>
                <w:sz w:val="16"/>
              </w:rPr>
              <w:t>1,687</w:t>
            </w:r>
          </w:p>
        </w:tc>
        <w:tc>
          <w:tcPr>
            <w:tcW w:type="dxa" w:w="997"/>
          </w:tcPr>
          <w:p>
            <w:pPr>
              <w:spacing w:after="20"/>
              <w:jc w:val="right"/>
            </w:pPr>
            <w:r>
              <w:rPr>
                <w:color w:val="1C3A36"/>
                <w:sz w:val="16"/>
              </w:rPr>
              <w:t>3,459</w:t>
            </w:r>
          </w:p>
        </w:tc>
        <w:tc>
          <w:tcPr>
            <w:tcW w:type="dxa" w:w="997"/>
          </w:tcPr>
          <w:p>
            <w:pPr>
              <w:spacing w:after="20"/>
              <w:jc w:val="right"/>
            </w:pPr>
            <w:r>
              <w:rPr>
                <w:color w:val="1C3A36"/>
                <w:sz w:val="16"/>
              </w:rPr>
              <w:t>2,509</w:t>
            </w:r>
          </w:p>
        </w:tc>
        <w:tc>
          <w:tcPr>
            <w:tcW w:type="dxa" w:w="997"/>
          </w:tcPr>
          <w:p>
            <w:pPr>
              <w:spacing w:after="20"/>
              <w:jc w:val="right"/>
            </w:pPr>
            <w:r>
              <w:rPr>
                <w:color w:val="1C3A36"/>
                <w:sz w:val="16"/>
              </w:rPr>
              <w:t>3,716</w:t>
            </w:r>
          </w:p>
        </w:tc>
        <w:tc>
          <w:tcPr>
            <w:tcW w:type="dxa" w:w="997"/>
          </w:tcPr>
          <w:p>
            <w:pPr>
              <w:spacing w:after="20"/>
              <w:jc w:val="right"/>
            </w:pPr>
            <w:r>
              <w:rPr>
                <w:color w:val="1C3A36"/>
                <w:sz w:val="16"/>
              </w:rPr>
              <w:t>5,196</w:t>
            </w:r>
          </w:p>
        </w:tc>
        <w:tc>
          <w:tcPr>
            <w:tcW w:type="dxa" w:w="997"/>
          </w:tcPr>
          <w:p>
            <w:pPr>
              <w:spacing w:after="20"/>
              <w:jc w:val="right"/>
            </w:pPr>
            <w:r>
              <w:rPr>
                <w:color w:val="1C3A36"/>
                <w:sz w:val="16"/>
              </w:rPr>
              <w:t>6,929</w:t>
            </w:r>
          </w:p>
        </w:tc>
        <w:tc>
          <w:tcPr>
            <w:tcW w:type="dxa" w:w="997"/>
          </w:tcPr>
          <w:p>
            <w:pPr>
              <w:spacing w:after="20"/>
              <w:jc w:val="right"/>
            </w:pPr>
            <w:r>
              <w:rPr>
                <w:color w:val="1C3A36"/>
                <w:sz w:val="16"/>
              </w:rPr>
              <w:t>8,906</w:t>
            </w:r>
          </w:p>
        </w:tc>
      </w:tr>
      <w:tr>
        <w:tc>
          <w:tcPr>
            <w:tcW w:type="dxa" w:w="2105"/>
          </w:tcPr>
          <w:p>
            <w:pPr>
              <w:spacing w:after="20"/>
            </w:pPr>
            <w:r>
              <w:rPr>
                <w:color w:val="1C3A36"/>
                <w:sz w:val="16"/>
              </w:rPr>
              <w:t>Interest-bearing debt</w:t>
            </w:r>
          </w:p>
        </w:tc>
        <w:tc>
          <w:tcPr>
            <w:tcW w:type="dxa" w:w="997"/>
          </w:tcPr>
          <w:p>
            <w:pPr>
              <w:spacing w:after="20"/>
              <w:jc w:val="right"/>
            </w:pPr>
            <w:r>
              <w:rPr>
                <w:color w:val="1C3A36"/>
                <w:sz w:val="16"/>
              </w:rPr>
              <w:t>90</w:t>
            </w:r>
          </w:p>
        </w:tc>
        <w:tc>
          <w:tcPr>
            <w:tcW w:type="dxa" w:w="997"/>
          </w:tcPr>
          <w:p>
            <w:pPr>
              <w:spacing w:after="20"/>
              <w:jc w:val="right"/>
            </w:pPr>
            <w:r>
              <w:rPr>
                <w:color w:val="1C3A36"/>
                <w:sz w:val="16"/>
              </w:rPr>
              <w:t>761</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r>
      <w:tr>
        <w:tc>
          <w:tcPr>
            <w:tcW w:type="dxa" w:w="2105"/>
          </w:tcPr>
          <w:p>
            <w:pPr>
              <w:spacing w:after="20"/>
            </w:pPr>
            <w:r>
              <w:rPr>
                <w:color w:val="1C3A36"/>
                <w:sz w:val="16"/>
              </w:rPr>
              <w:t>Net (cash) / debt</w:t>
            </w:r>
          </w:p>
        </w:tc>
        <w:tc>
          <w:tcPr>
            <w:tcW w:type="dxa" w:w="997"/>
          </w:tcPr>
          <w:p>
            <w:pPr>
              <w:spacing w:after="20"/>
              <w:jc w:val="right"/>
            </w:pPr>
            <w:r>
              <w:rPr>
                <w:color w:val="1C3A36"/>
                <w:sz w:val="16"/>
              </w:rPr>
              <w:t>-471</w:t>
            </w:r>
          </w:p>
        </w:tc>
        <w:tc>
          <w:tcPr>
            <w:tcW w:type="dxa" w:w="997"/>
          </w:tcPr>
          <w:p>
            <w:pPr>
              <w:spacing w:after="20"/>
              <w:jc w:val="right"/>
            </w:pPr>
            <w:r>
              <w:rPr>
                <w:color w:val="1C3A36"/>
                <w:sz w:val="16"/>
              </w:rPr>
              <w:t>-926</w:t>
            </w:r>
          </w:p>
        </w:tc>
        <w:tc>
          <w:tcPr>
            <w:tcW w:type="dxa" w:w="997"/>
          </w:tcPr>
          <w:p>
            <w:pPr>
              <w:spacing w:after="20"/>
              <w:jc w:val="right"/>
            </w:pPr>
            <w:r>
              <w:rPr>
                <w:color w:val="1C3A36"/>
                <w:sz w:val="16"/>
              </w:rPr>
              <w:t>-2,324</w:t>
            </w:r>
          </w:p>
        </w:tc>
        <w:tc>
          <w:tcPr>
            <w:tcW w:type="dxa" w:w="997"/>
          </w:tcPr>
          <w:p>
            <w:pPr>
              <w:spacing w:after="20"/>
              <w:jc w:val="right"/>
            </w:pPr>
            <w:r>
              <w:rPr>
                <w:color w:val="1C3A36"/>
                <w:sz w:val="16"/>
              </w:rPr>
              <w:t>-1,374</w:t>
            </w:r>
          </w:p>
        </w:tc>
        <w:tc>
          <w:tcPr>
            <w:tcW w:type="dxa" w:w="997"/>
          </w:tcPr>
          <w:p>
            <w:pPr>
              <w:spacing w:after="20"/>
              <w:jc w:val="right"/>
            </w:pPr>
            <w:r>
              <w:rPr>
                <w:color w:val="1C3A36"/>
                <w:sz w:val="16"/>
              </w:rPr>
              <w:t>-2,581</w:t>
            </w:r>
          </w:p>
        </w:tc>
        <w:tc>
          <w:tcPr>
            <w:tcW w:type="dxa" w:w="997"/>
          </w:tcPr>
          <w:p>
            <w:pPr>
              <w:spacing w:after="20"/>
              <w:jc w:val="right"/>
            </w:pPr>
            <w:r>
              <w:rPr>
                <w:color w:val="1C3A36"/>
                <w:sz w:val="16"/>
              </w:rPr>
              <w:t>-4,061</w:t>
            </w:r>
          </w:p>
        </w:tc>
        <w:tc>
          <w:tcPr>
            <w:tcW w:type="dxa" w:w="997"/>
          </w:tcPr>
          <w:p>
            <w:pPr>
              <w:spacing w:after="20"/>
              <w:jc w:val="right"/>
            </w:pPr>
            <w:r>
              <w:rPr>
                <w:color w:val="1C3A36"/>
                <w:sz w:val="16"/>
              </w:rPr>
              <w:t>-5,794</w:t>
            </w:r>
          </w:p>
        </w:tc>
        <w:tc>
          <w:tcPr>
            <w:tcW w:type="dxa" w:w="997"/>
          </w:tcPr>
          <w:p>
            <w:pPr>
              <w:spacing w:after="20"/>
              <w:jc w:val="right"/>
            </w:pPr>
            <w:r>
              <w:rPr>
                <w:color w:val="1C3A36"/>
                <w:sz w:val="16"/>
              </w:rPr>
              <w:t>-7,771</w:t>
            </w:r>
          </w:p>
        </w:tc>
      </w:tr>
      <w:tr>
        <w:tc>
          <w:tcPr>
            <w:tcW w:type="dxa" w:w="2105"/>
          </w:tcPr>
          <w:p>
            <w:pPr>
              <w:spacing w:after="20"/>
            </w:pPr>
            <w:r>
              <w:rPr>
                <w:color w:val="1C3A36"/>
                <w:sz w:val="16"/>
              </w:rPr>
              <w:t>Equity attributable to owners</w:t>
            </w:r>
          </w:p>
        </w:tc>
        <w:tc>
          <w:tcPr>
            <w:tcW w:type="dxa" w:w="997"/>
          </w:tcPr>
          <w:p>
            <w:pPr>
              <w:spacing w:after="20"/>
              <w:jc w:val="right"/>
            </w:pPr>
            <w:r>
              <w:rPr>
                <w:color w:val="1C3A36"/>
                <w:sz w:val="16"/>
              </w:rPr>
              <w:t>1,754</w:t>
            </w:r>
          </w:p>
        </w:tc>
        <w:tc>
          <w:tcPr>
            <w:tcW w:type="dxa" w:w="997"/>
          </w:tcPr>
          <w:p>
            <w:pPr>
              <w:spacing w:after="20"/>
              <w:jc w:val="right"/>
            </w:pPr>
            <w:r>
              <w:rPr>
                <w:color w:val="1C3A36"/>
                <w:sz w:val="16"/>
              </w:rPr>
              <w:t>2,303</w:t>
            </w:r>
          </w:p>
        </w:tc>
        <w:tc>
          <w:tcPr>
            <w:tcW w:type="dxa" w:w="997"/>
          </w:tcPr>
          <w:p>
            <w:pPr>
              <w:spacing w:after="20"/>
              <w:jc w:val="right"/>
            </w:pPr>
            <w:r>
              <w:rPr>
                <w:color w:val="1C3A36"/>
                <w:sz w:val="16"/>
              </w:rPr>
              <w:t>4,643</w:t>
            </w:r>
          </w:p>
        </w:tc>
        <w:tc>
          <w:tcPr>
            <w:tcW w:type="dxa" w:w="997"/>
          </w:tcPr>
          <w:p>
            <w:pPr>
              <w:spacing w:after="20"/>
              <w:jc w:val="right"/>
            </w:pPr>
            <w:r>
              <w:rPr>
                <w:color w:val="1C3A36"/>
                <w:sz w:val="16"/>
              </w:rPr>
              <w:t>4,347</w:t>
            </w:r>
          </w:p>
        </w:tc>
        <w:tc>
          <w:tcPr>
            <w:tcW w:type="dxa" w:w="997"/>
          </w:tcPr>
          <w:p>
            <w:pPr>
              <w:spacing w:after="20"/>
              <w:jc w:val="right"/>
            </w:pPr>
            <w:r>
              <w:rPr>
                <w:color w:val="1C3A36"/>
                <w:sz w:val="16"/>
              </w:rPr>
              <w:t>6,306</w:t>
            </w:r>
          </w:p>
        </w:tc>
        <w:tc>
          <w:tcPr>
            <w:tcW w:type="dxa" w:w="997"/>
          </w:tcPr>
          <w:p>
            <w:pPr>
              <w:spacing w:after="20"/>
              <w:jc w:val="right"/>
            </w:pPr>
            <w:r>
              <w:rPr>
                <w:color w:val="1C3A36"/>
                <w:sz w:val="16"/>
              </w:rPr>
              <w:t>8,504</w:t>
            </w:r>
          </w:p>
        </w:tc>
        <w:tc>
          <w:tcPr>
            <w:tcW w:type="dxa" w:w="997"/>
          </w:tcPr>
          <w:p>
            <w:pPr>
              <w:spacing w:after="20"/>
              <w:jc w:val="right"/>
            </w:pPr>
            <w:r>
              <w:rPr>
                <w:color w:val="1C3A36"/>
                <w:sz w:val="16"/>
              </w:rPr>
              <w:t>10,906</w:t>
            </w:r>
          </w:p>
        </w:tc>
        <w:tc>
          <w:tcPr>
            <w:tcW w:type="dxa" w:w="997"/>
          </w:tcPr>
          <w:p>
            <w:pPr>
              <w:spacing w:after="20"/>
              <w:jc w:val="right"/>
            </w:pPr>
            <w:r>
              <w:rPr>
                <w:color w:val="1C3A36"/>
                <w:sz w:val="16"/>
              </w:rPr>
              <w:t>13,522</w:t>
            </w:r>
          </w:p>
        </w:tc>
      </w:tr>
      <w:tr>
        <w:tc>
          <w:tcPr>
            <w:tcW w:type="dxa" w:w="2105"/>
          </w:tcPr>
          <w:p>
            <w:pPr>
              <w:spacing w:after="20"/>
            </w:pPr>
            <w:r>
              <w:rPr>
                <w:color w:val="1C3A36"/>
                <w:sz w:val="16"/>
              </w:rPr>
              <w:t>Book value per share (EGP)</w:t>
            </w:r>
          </w:p>
        </w:tc>
        <w:tc>
          <w:tcPr>
            <w:tcW w:type="dxa" w:w="997"/>
          </w:tcPr>
          <w:p>
            <w:pPr>
              <w:spacing w:after="20"/>
              <w:jc w:val="right"/>
            </w:pPr>
            <w:r>
              <w:rPr>
                <w:color w:val="1C3A36"/>
                <w:sz w:val="16"/>
              </w:rPr>
              <w:t>4.68</w:t>
            </w:r>
          </w:p>
        </w:tc>
        <w:tc>
          <w:tcPr>
            <w:tcW w:type="dxa" w:w="997"/>
          </w:tcPr>
          <w:p>
            <w:pPr>
              <w:spacing w:after="20"/>
              <w:jc w:val="right"/>
            </w:pPr>
            <w:r>
              <w:rPr>
                <w:color w:val="1C3A36"/>
                <w:sz w:val="16"/>
              </w:rPr>
              <w:t>6.14</w:t>
            </w:r>
          </w:p>
        </w:tc>
        <w:tc>
          <w:tcPr>
            <w:tcW w:type="dxa" w:w="997"/>
          </w:tcPr>
          <w:p>
            <w:pPr>
              <w:spacing w:after="20"/>
              <w:jc w:val="right"/>
            </w:pPr>
            <w:r>
              <w:rPr>
                <w:color w:val="1C3A36"/>
                <w:sz w:val="16"/>
              </w:rPr>
              <w:t>12.38</w:t>
            </w:r>
          </w:p>
        </w:tc>
        <w:tc>
          <w:tcPr>
            <w:tcW w:type="dxa" w:w="997"/>
          </w:tcPr>
          <w:p>
            <w:pPr>
              <w:spacing w:after="20"/>
              <w:jc w:val="right"/>
            </w:pPr>
            <w:r>
              <w:rPr>
                <w:color w:val="1C3A36"/>
                <w:sz w:val="16"/>
              </w:rPr>
              <w:t>11.60</w:t>
            </w:r>
          </w:p>
        </w:tc>
        <w:tc>
          <w:tcPr>
            <w:tcW w:type="dxa" w:w="997"/>
          </w:tcPr>
          <w:p>
            <w:pPr>
              <w:spacing w:after="20"/>
              <w:jc w:val="right"/>
            </w:pPr>
            <w:r>
              <w:rPr>
                <w:color w:val="1C3A36"/>
                <w:sz w:val="16"/>
              </w:rPr>
              <w:t>16.82</w:t>
            </w:r>
          </w:p>
        </w:tc>
        <w:tc>
          <w:tcPr>
            <w:tcW w:type="dxa" w:w="997"/>
          </w:tcPr>
          <w:p>
            <w:pPr>
              <w:spacing w:after="20"/>
              <w:jc w:val="right"/>
            </w:pPr>
            <w:r>
              <w:rPr>
                <w:color w:val="1C3A36"/>
                <w:sz w:val="16"/>
              </w:rPr>
              <w:t>22.69</w:t>
            </w:r>
          </w:p>
        </w:tc>
        <w:tc>
          <w:tcPr>
            <w:tcW w:type="dxa" w:w="997"/>
          </w:tcPr>
          <w:p>
            <w:pPr>
              <w:spacing w:after="20"/>
              <w:jc w:val="right"/>
            </w:pPr>
            <w:r>
              <w:rPr>
                <w:color w:val="1C3A36"/>
                <w:sz w:val="16"/>
              </w:rPr>
              <w:t>29.09</w:t>
            </w:r>
          </w:p>
        </w:tc>
        <w:tc>
          <w:tcPr>
            <w:tcW w:type="dxa" w:w="997"/>
          </w:tcPr>
          <w:p>
            <w:pPr>
              <w:spacing w:after="20"/>
              <w:jc w:val="right"/>
            </w:pPr>
            <w:r>
              <w:rPr>
                <w:color w:val="1C3A36"/>
                <w:sz w:val="16"/>
              </w:rPr>
              <w:t>36.07</w:t>
            </w:r>
          </w:p>
        </w:tc>
      </w:tr>
      <w:tr>
        <w:tc>
          <w:tcPr>
            <w:tcW w:type="dxa" w:w="2105"/>
          </w:tcPr>
          <w:p>
            <w:pPr>
              <w:spacing w:after="20"/>
            </w:pPr>
            <w:r>
              <w:rPr>
                <w:color w:val="1C3A36"/>
                <w:sz w:val="16"/>
              </w:rPr>
              <w:t>Return on equity</w:t>
            </w:r>
          </w:p>
        </w:tc>
        <w:tc>
          <w:tcPr>
            <w:tcW w:type="dxa" w:w="997"/>
          </w:tcPr>
          <w:p>
            <w:pPr>
              <w:spacing w:after="20"/>
              <w:jc w:val="right"/>
            </w:pPr>
            <w:r>
              <w:rPr>
                <w:color w:val="1C3A36"/>
                <w:sz w:val="16"/>
              </w:rPr>
              <w:t>39.8%</w:t>
            </w:r>
          </w:p>
        </w:tc>
        <w:tc>
          <w:tcPr>
            <w:tcW w:type="dxa" w:w="997"/>
          </w:tcPr>
          <w:p>
            <w:pPr>
              <w:spacing w:after="20"/>
              <w:jc w:val="right"/>
            </w:pPr>
            <w:r>
              <w:rPr>
                <w:color w:val="1C3A36"/>
                <w:sz w:val="16"/>
              </w:rPr>
              <w:t>50.4%</w:t>
            </w:r>
          </w:p>
        </w:tc>
        <w:tc>
          <w:tcPr>
            <w:tcW w:type="dxa" w:w="997"/>
          </w:tcPr>
          <w:p>
            <w:pPr>
              <w:spacing w:after="20"/>
              <w:jc w:val="right"/>
            </w:pPr>
            <w:r>
              <w:rPr>
                <w:color w:val="1C3A36"/>
                <w:sz w:val="16"/>
              </w:rPr>
              <w:t>77.5%</w:t>
            </w:r>
          </w:p>
        </w:tc>
        <w:tc>
          <w:tcPr>
            <w:tcW w:type="dxa" w:w="997"/>
          </w:tcPr>
          <w:p>
            <w:pPr>
              <w:spacing w:after="20"/>
              <w:jc w:val="right"/>
            </w:pPr>
            <w:r>
              <w:rPr>
                <w:color w:val="1C3A36"/>
                <w:sz w:val="16"/>
              </w:rPr>
              <w:t>88.4%</w:t>
            </w:r>
          </w:p>
        </w:tc>
        <w:tc>
          <w:tcPr>
            <w:tcW w:type="dxa" w:w="997"/>
          </w:tcPr>
          <w:p>
            <w:pPr>
              <w:spacing w:after="20"/>
              <w:jc w:val="right"/>
            </w:pPr>
            <w:r>
              <w:rPr>
                <w:color w:val="1C3A36"/>
                <w:sz w:val="16"/>
              </w:rPr>
              <w:t>70.0%</w:t>
            </w:r>
          </w:p>
        </w:tc>
        <w:tc>
          <w:tcPr>
            <w:tcW w:type="dxa" w:w="997"/>
          </w:tcPr>
          <w:p>
            <w:pPr>
              <w:spacing w:after="20"/>
              <w:jc w:val="right"/>
            </w:pPr>
            <w:r>
              <w:rPr>
                <w:color w:val="1C3A36"/>
                <w:sz w:val="16"/>
              </w:rPr>
              <w:t>58.2%</w:t>
            </w:r>
          </w:p>
        </w:tc>
        <w:tc>
          <w:tcPr>
            <w:tcW w:type="dxa" w:w="997"/>
          </w:tcPr>
          <w:p>
            <w:pPr>
              <w:spacing w:after="20"/>
              <w:jc w:val="right"/>
            </w:pPr>
            <w:r>
              <w:rPr>
                <w:color w:val="1C3A36"/>
                <w:sz w:val="16"/>
              </w:rPr>
              <w:t>49.6%</w:t>
            </w:r>
          </w:p>
        </w:tc>
        <w:tc>
          <w:tcPr>
            <w:tcW w:type="dxa" w:w="997"/>
          </w:tcPr>
          <w:p>
            <w:pPr>
              <w:spacing w:after="20"/>
              <w:jc w:val="right"/>
            </w:pPr>
            <w:r>
              <w:rPr>
                <w:color w:val="1C3A36"/>
                <w:sz w:val="16"/>
              </w:rPr>
              <w:t>43.6%</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A.3  Forecast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3,842</w:t>
            </w:r>
          </w:p>
        </w:tc>
        <w:tc>
          <w:tcPr>
            <w:tcW w:type="dxa" w:w="1325"/>
          </w:tcPr>
          <w:p>
            <w:pPr>
              <w:spacing w:after="20"/>
              <w:jc w:val="right"/>
            </w:pPr>
            <w:r>
              <w:rPr>
                <w:color w:val="1C3A36"/>
                <w:sz w:val="17"/>
              </w:rPr>
              <w:t>4,413</w:t>
            </w:r>
          </w:p>
        </w:tc>
        <w:tc>
          <w:tcPr>
            <w:tcW w:type="dxa" w:w="1325"/>
          </w:tcPr>
          <w:p>
            <w:pPr>
              <w:spacing w:after="20"/>
              <w:jc w:val="right"/>
            </w:pPr>
            <w:r>
              <w:rPr>
                <w:color w:val="1C3A36"/>
                <w:sz w:val="17"/>
              </w:rPr>
              <w:t>4,951</w:t>
            </w:r>
          </w:p>
        </w:tc>
        <w:tc>
          <w:tcPr>
            <w:tcW w:type="dxa" w:w="1325"/>
          </w:tcPr>
          <w:p>
            <w:pPr>
              <w:spacing w:after="20"/>
              <w:jc w:val="right"/>
            </w:pPr>
            <w:r>
              <w:rPr>
                <w:color w:val="1C3A36"/>
                <w:sz w:val="17"/>
              </w:rPr>
              <w:t>5,410</w:t>
            </w:r>
          </w:p>
        </w:tc>
        <w:tc>
          <w:tcPr>
            <w:tcW w:type="dxa" w:w="1325"/>
          </w:tcPr>
          <w:p>
            <w:pPr>
              <w:spacing w:after="20"/>
              <w:jc w:val="right"/>
            </w:pPr>
            <w:r>
              <w:rPr>
                <w:color w:val="1C3A36"/>
                <w:sz w:val="17"/>
              </w:rPr>
              <w:t>5,891</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-2,136</w:t>
            </w:r>
          </w:p>
        </w:tc>
        <w:tc>
          <w:tcPr>
            <w:tcW w:type="dxa" w:w="1325"/>
          </w:tcPr>
          <w:p>
            <w:pPr>
              <w:spacing w:after="20"/>
              <w:jc w:val="right"/>
            </w:pPr>
            <w:r>
              <w:rPr>
                <w:color w:val="1C3A36"/>
                <w:sz w:val="17"/>
              </w:rPr>
              <w:t>-2,454</w:t>
            </w:r>
          </w:p>
        </w:tc>
        <w:tc>
          <w:tcPr>
            <w:tcW w:type="dxa" w:w="1325"/>
          </w:tcPr>
          <w:p>
            <w:pPr>
              <w:spacing w:after="20"/>
              <w:jc w:val="right"/>
            </w:pPr>
            <w:r>
              <w:rPr>
                <w:color w:val="1C3A36"/>
                <w:sz w:val="17"/>
              </w:rPr>
              <w:t>-2,753</w:t>
            </w:r>
          </w:p>
        </w:tc>
        <w:tc>
          <w:tcPr>
            <w:tcW w:type="dxa" w:w="1325"/>
          </w:tcPr>
          <w:p>
            <w:pPr>
              <w:spacing w:after="20"/>
              <w:jc w:val="right"/>
            </w:pPr>
            <w:r>
              <w:rPr>
                <w:color w:val="1C3A36"/>
                <w:sz w:val="17"/>
              </w:rPr>
              <w:t>-3,008</w:t>
            </w:r>
          </w:p>
        </w:tc>
        <w:tc>
          <w:tcPr>
            <w:tcW w:type="dxa" w:w="1325"/>
          </w:tcPr>
          <w:p>
            <w:pPr>
              <w:spacing w:after="20"/>
              <w:jc w:val="right"/>
            </w:pPr>
            <w:r>
              <w:rPr>
                <w:color w:val="1C3A36"/>
                <w:sz w:val="17"/>
              </w:rPr>
              <w:t>-3,275</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2,509</w:t>
            </w:r>
          </w:p>
        </w:tc>
        <w:tc>
          <w:tcPr>
            <w:tcW w:type="dxa" w:w="1325"/>
            <w:shd w:val="clear" w:color="auto" w:fill="F6F1E6"/>
          </w:tcPr>
          <w:p>
            <w:pPr>
              <w:spacing w:after="20"/>
              <w:jc w:val="right"/>
            </w:pPr>
            <w:r>
              <w:rPr>
                <w:b/>
                <w:color w:val="1C3A36"/>
                <w:sz w:val="17"/>
              </w:rPr>
              <w:t>3,716</w:t>
            </w:r>
          </w:p>
        </w:tc>
        <w:tc>
          <w:tcPr>
            <w:tcW w:type="dxa" w:w="1325"/>
            <w:shd w:val="clear" w:color="auto" w:fill="F6F1E6"/>
          </w:tcPr>
          <w:p>
            <w:pPr>
              <w:spacing w:after="20"/>
              <w:jc w:val="right"/>
            </w:pPr>
            <w:r>
              <w:rPr>
                <w:b/>
                <w:color w:val="1C3A36"/>
                <w:sz w:val="17"/>
              </w:rPr>
              <w:t>5,196</w:t>
            </w:r>
          </w:p>
        </w:tc>
        <w:tc>
          <w:tcPr>
            <w:tcW w:type="dxa" w:w="1325"/>
            <w:shd w:val="clear" w:color="auto" w:fill="F6F1E6"/>
          </w:tcPr>
          <w:p>
            <w:pPr>
              <w:spacing w:after="20"/>
              <w:jc w:val="right"/>
            </w:pPr>
            <w:r>
              <w:rPr>
                <w:b/>
                <w:color w:val="1C3A36"/>
                <w:sz w:val="17"/>
              </w:rPr>
              <w:t>6,929</w:t>
            </w:r>
          </w:p>
        </w:tc>
        <w:tc>
          <w:tcPr>
            <w:tcW w:type="dxa" w:w="1325"/>
            <w:shd w:val="clear" w:color="auto" w:fill="F6F1E6"/>
          </w:tcPr>
          <w:p>
            <w:pPr>
              <w:spacing w:after="20"/>
              <w:jc w:val="right"/>
            </w:pPr>
            <w:r>
              <w:rPr>
                <w:b/>
                <w:color w:val="1C3A36"/>
                <w:sz w:val="17"/>
              </w:rPr>
              <w:t>8,906</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r>
        <w:br w:type="page"/>
      </w:r>
    </w:p>
    <w:p>
      <w:pPr>
        <w:spacing w:after="120" w:before="280"/>
      </w:pPr>
      <w:r>
        <w:rPr>
          <w:b/>
          <w:i w:val="0"/>
          <w:color w:val="1C3A36"/>
          <w:sz w:val="30"/>
        </w:rPr>
        <w:t>Appendix B  Peer set, sector structure and risks</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45"/>
        <w:gridCol w:w="1644"/>
        <w:gridCol w:w="1501"/>
        <w:gridCol w:w="1716"/>
        <w:gridCol w:w="1358"/>
        <w:gridCol w:w="1215"/>
      </w:tblGrid>
      <w:tr>
        <w:tc>
          <w:tcPr>
            <w:tcW w:type="dxa" w:w="2645"/>
            <w:shd w:val="clear" w:color="auto" w:fill="EAF0EE"/>
          </w:tcPr>
          <w:p>
            <w:pPr>
              <w:spacing w:after="20"/>
            </w:pPr>
            <w:r>
              <w:rPr>
                <w:b/>
                <w:color w:val="1C3A36"/>
                <w:sz w:val="17"/>
              </w:rPr>
            </w:r>
          </w:p>
        </w:tc>
        <w:tc>
          <w:tcPr>
            <w:tcW w:type="dxa" w:w="1644"/>
            <w:shd w:val="clear" w:color="auto" w:fill="EAF0EE"/>
          </w:tcPr>
          <w:p>
            <w:pPr>
              <w:spacing w:after="20"/>
            </w:pPr>
            <w:r>
              <w:rPr>
                <w:b/>
                <w:color w:val="1C3A36"/>
                <w:sz w:val="17"/>
              </w:rPr>
              <w:t>Revenue (EGP mn)</w:t>
            </w:r>
          </w:p>
        </w:tc>
        <w:tc>
          <w:tcPr>
            <w:tcW w:type="dxa" w:w="1501"/>
            <w:shd w:val="clear" w:color="auto" w:fill="EAF0EE"/>
          </w:tcPr>
          <w:p>
            <w:pPr>
              <w:spacing w:after="20"/>
            </w:pPr>
            <w:r>
              <w:rPr>
                <w:b/>
                <w:color w:val="1C3A36"/>
                <w:sz w:val="17"/>
              </w:rPr>
              <w:t>Profit (EGP mn)</w:t>
            </w:r>
          </w:p>
        </w:tc>
        <w:tc>
          <w:tcPr>
            <w:tcW w:type="dxa" w:w="1716"/>
            <w:shd w:val="clear" w:color="auto" w:fill="EAF0EE"/>
          </w:tcPr>
          <w:p>
            <w:pPr>
              <w:spacing w:after="20"/>
            </w:pPr>
            <w:r>
              <w:rPr>
                <w:b/>
                <w:color w:val="1C3A36"/>
                <w:sz w:val="17"/>
              </w:rPr>
              <w:t>Market cap (EGP mn)</w:t>
            </w:r>
          </w:p>
        </w:tc>
        <w:tc>
          <w:tcPr>
            <w:tcW w:type="dxa" w:w="1358"/>
            <w:shd w:val="clear" w:color="auto" w:fill="EAF0EE"/>
          </w:tcPr>
          <w:p>
            <w:pPr>
              <w:spacing w:after="20"/>
            </w:pPr>
            <w:r>
              <w:rPr>
                <w:b/>
                <w:color w:val="1C3A36"/>
                <w:sz w:val="17"/>
              </w:rPr>
              <w:t>Price / earnings</w:t>
            </w:r>
          </w:p>
        </w:tc>
        <w:tc>
          <w:tcPr>
            <w:tcW w:type="dxa" w:w="1215"/>
            <w:shd w:val="clear" w:color="auto" w:fill="EAF0EE"/>
          </w:tcPr>
          <w:p>
            <w:pPr>
              <w:spacing w:after="20"/>
            </w:pPr>
            <w:r>
              <w:rPr>
                <w:b/>
                <w:color w:val="1C3A36"/>
                <w:sz w:val="17"/>
              </w:rPr>
              <w:t>Net margin</w:t>
            </w:r>
          </w:p>
        </w:tc>
      </w:tr>
      <w:tr>
        <w:tc>
          <w:tcPr>
            <w:tcW w:type="dxa" w:w="2645"/>
          </w:tcPr>
          <w:p>
            <w:pPr>
              <w:spacing w:after="20"/>
            </w:pPr>
            <w:r>
              <w:rPr>
                <w:color w:val="1C3A36"/>
                <w:sz w:val="17"/>
              </w:rPr>
              <w:t>Arabian Cement (ARCC)</w:t>
            </w:r>
          </w:p>
        </w:tc>
        <w:tc>
          <w:tcPr>
            <w:tcW w:type="dxa" w:w="1644"/>
          </w:tcPr>
          <w:p>
            <w:pPr>
              <w:spacing w:after="20"/>
              <w:jc w:val="right"/>
            </w:pPr>
            <w:r>
              <w:rPr>
                <w:color w:val="1C3A36"/>
                <w:sz w:val="17"/>
              </w:rPr>
              <w:t>12,447</w:t>
            </w:r>
          </w:p>
        </w:tc>
        <w:tc>
          <w:tcPr>
            <w:tcW w:type="dxa" w:w="1501"/>
          </w:tcPr>
          <w:p>
            <w:pPr>
              <w:spacing w:after="20"/>
              <w:jc w:val="right"/>
            </w:pPr>
            <w:r>
              <w:rPr>
                <w:color w:val="1C3A36"/>
                <w:sz w:val="17"/>
              </w:rPr>
              <w:t>3,600</w:t>
            </w:r>
          </w:p>
        </w:tc>
        <w:tc>
          <w:tcPr>
            <w:tcW w:type="dxa" w:w="1716"/>
          </w:tcPr>
          <w:p>
            <w:pPr>
              <w:spacing w:after="20"/>
              <w:jc w:val="right"/>
            </w:pPr>
            <w:r>
              <w:rPr>
                <w:color w:val="1C3A36"/>
                <w:sz w:val="17"/>
              </w:rPr>
              <w:t>28,865</w:t>
            </w:r>
          </w:p>
        </w:tc>
        <w:tc>
          <w:tcPr>
            <w:tcW w:type="dxa" w:w="1358"/>
          </w:tcPr>
          <w:p>
            <w:pPr>
              <w:spacing w:after="20"/>
              <w:jc w:val="right"/>
            </w:pPr>
            <w:r>
              <w:rPr>
                <w:color w:val="1C3A36"/>
                <w:sz w:val="17"/>
              </w:rPr>
              <w:t>8.02x</w:t>
            </w:r>
          </w:p>
        </w:tc>
        <w:tc>
          <w:tcPr>
            <w:tcW w:type="dxa" w:w="1215"/>
          </w:tcPr>
          <w:p>
            <w:pPr>
              <w:spacing w:after="20"/>
              <w:jc w:val="right"/>
            </w:pPr>
            <w:r>
              <w:rPr>
                <w:color w:val="1C3A36"/>
                <w:sz w:val="17"/>
              </w:rPr>
              <w:t>28.9%</w:t>
            </w:r>
          </w:p>
        </w:tc>
      </w:tr>
      <w:tr>
        <w:tc>
          <w:tcPr>
            <w:tcW w:type="dxa" w:w="2645"/>
          </w:tcPr>
          <w:p>
            <w:pPr>
              <w:spacing w:after="20"/>
            </w:pPr>
            <w:r>
              <w:rPr>
                <w:color w:val="1C3A36"/>
                <w:sz w:val="17"/>
              </w:rPr>
              <w:t>Sinai Cement (SCEM)</w:t>
            </w:r>
          </w:p>
        </w:tc>
        <w:tc>
          <w:tcPr>
            <w:tcW w:type="dxa" w:w="1644"/>
          </w:tcPr>
          <w:p>
            <w:pPr>
              <w:spacing w:after="20"/>
              <w:jc w:val="right"/>
            </w:pPr>
            <w:r>
              <w:rPr>
                <w:color w:val="1C3A36"/>
                <w:sz w:val="17"/>
              </w:rPr>
              <w:t>9,090</w:t>
            </w:r>
          </w:p>
        </w:tc>
        <w:tc>
          <w:tcPr>
            <w:tcW w:type="dxa" w:w="1501"/>
          </w:tcPr>
          <w:p>
            <w:pPr>
              <w:spacing w:after="20"/>
              <w:jc w:val="right"/>
            </w:pPr>
            <w:r>
              <w:rPr>
                <w:color w:val="1C3A36"/>
                <w:sz w:val="17"/>
              </w:rPr>
              <w:t>2,290</w:t>
            </w:r>
          </w:p>
        </w:tc>
        <w:tc>
          <w:tcPr>
            <w:tcW w:type="dxa" w:w="1716"/>
          </w:tcPr>
          <w:p>
            <w:pPr>
              <w:spacing w:after="20"/>
              <w:jc w:val="right"/>
            </w:pPr>
            <w:r>
              <w:rPr>
                <w:color w:val="1C3A36"/>
                <w:sz w:val="17"/>
              </w:rPr>
              <w:t>20,604</w:t>
            </w:r>
          </w:p>
        </w:tc>
        <w:tc>
          <w:tcPr>
            <w:tcW w:type="dxa" w:w="1358"/>
          </w:tcPr>
          <w:p>
            <w:pPr>
              <w:spacing w:after="20"/>
              <w:jc w:val="right"/>
            </w:pPr>
            <w:r>
              <w:rPr>
                <w:color w:val="1C3A36"/>
                <w:sz w:val="17"/>
              </w:rPr>
              <w:t>9.00x</w:t>
            </w:r>
          </w:p>
        </w:tc>
        <w:tc>
          <w:tcPr>
            <w:tcW w:type="dxa" w:w="1215"/>
          </w:tcPr>
          <w:p>
            <w:pPr>
              <w:spacing w:after="20"/>
              <w:jc w:val="right"/>
            </w:pPr>
            <w:r>
              <w:rPr>
                <w:color w:val="1C3A36"/>
                <w:sz w:val="17"/>
              </w:rPr>
              <w:t>25.2%</w:t>
            </w:r>
          </w:p>
        </w:tc>
      </w:tr>
      <w:tr>
        <w:tc>
          <w:tcPr>
            <w:tcW w:type="dxa" w:w="2645"/>
          </w:tcPr>
          <w:p>
            <w:pPr>
              <w:spacing w:after="20"/>
            </w:pPr>
            <w:r>
              <w:rPr>
                <w:color w:val="1C3A36"/>
                <w:sz w:val="17"/>
              </w:rPr>
              <w:t>Misr Beni Suef Cement (MBSC)</w:t>
            </w:r>
          </w:p>
        </w:tc>
        <w:tc>
          <w:tcPr>
            <w:tcW w:type="dxa" w:w="1644"/>
          </w:tcPr>
          <w:p>
            <w:pPr>
              <w:spacing w:after="20"/>
              <w:jc w:val="right"/>
            </w:pPr>
            <w:r>
              <w:rPr>
                <w:color w:val="1C3A36"/>
                <w:sz w:val="17"/>
              </w:rPr>
              <w:t>5,700</w:t>
            </w:r>
          </w:p>
        </w:tc>
        <w:tc>
          <w:tcPr>
            <w:tcW w:type="dxa" w:w="1501"/>
          </w:tcPr>
          <w:p>
            <w:pPr>
              <w:spacing w:after="20"/>
              <w:jc w:val="right"/>
            </w:pPr>
            <w:r>
              <w:rPr>
                <w:color w:val="1C3A36"/>
                <w:sz w:val="17"/>
              </w:rPr>
              <w:t>3,946</w:t>
            </w:r>
          </w:p>
        </w:tc>
        <w:tc>
          <w:tcPr>
            <w:tcW w:type="dxa" w:w="1716"/>
          </w:tcPr>
          <w:p>
            <w:pPr>
              <w:spacing w:after="20"/>
              <w:jc w:val="right"/>
            </w:pPr>
            <w:r>
              <w:rPr>
                <w:color w:val="1C3A36"/>
                <w:sz w:val="17"/>
              </w:rPr>
              <w:t>13,730</w:t>
            </w:r>
          </w:p>
        </w:tc>
        <w:tc>
          <w:tcPr>
            <w:tcW w:type="dxa" w:w="1358"/>
          </w:tcPr>
          <w:p>
            <w:pPr>
              <w:spacing w:after="20"/>
              <w:jc w:val="right"/>
            </w:pPr>
            <w:r>
              <w:rPr>
                <w:color w:val="1C3A36"/>
                <w:sz w:val="17"/>
              </w:rPr>
              <w:t>3.48x</w:t>
            </w:r>
          </w:p>
        </w:tc>
        <w:tc>
          <w:tcPr>
            <w:tcW w:type="dxa" w:w="1215"/>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80" w:before="200"/>
      </w:pPr>
      <w:r>
        <w:rPr>
          <w:b/>
          <w:i w:val="0"/>
          <w:color w:val="1C3A36"/>
          <w:sz w:val="24"/>
        </w:rPr>
        <w:t>B.2  The sector balance, and what it is not</w:t>
      </w:r>
    </w:p>
    <w:p>
      <w:pPr>
        <w:spacing w:after="120" w:before="0"/>
      </w:pPr>
      <w:r>
        <w:rPr>
          <w:b w:val="0"/>
          <w:i w:val="0"/>
          <w:color w:val="1C3A36"/>
          <w:sz w:val="21"/>
        </w:rPr>
        <w:t>Egypt carries about 76Mt of nameplate capacity against roughly 54Mt of domestic consumption and 73Mt of total sales. The balance now closes because it is taken from one disclosure rather than assembled from three: local 53.9Mt plus exports 18.6Mt equals the 72.6Mt total. Earlier editions set a cement-plus-clinker export figure against a cement-only production figure and printed a balance that was out by 7.5Mt. The correction matters beyond tidiness: 72.6Mt of sales against roughly 76Mt of nameplate is a market running near 96%, which is NOT the structurally slack market this study has described from its first edition. The oversupply risk is prospective — it lives in the 12.6Mt restart programme, not in the current balance — and the distinction is material to the price path. The abolition of the production quota in May 2025 removed the mechanism that had been supporting price into that surplus, and the 12.6Mt restart programme would add to it.</w:t>
      </w:r>
    </w:p>
    <w:p>
      <w:pPr>
        <w:spacing w:after="80" w:before="200"/>
      </w:pPr>
      <w:r>
        <w:rPr>
          <w:b/>
          <w:i w:val="0"/>
          <w:color w:val="1C3A36"/>
          <w:sz w:val="24"/>
        </w:rPr>
        <w:t>B.3  Risk register</w:t>
      </w:r>
    </w:p>
    <w:p>
      <w:pPr>
        <w:spacing w:after="120" w:before="0"/>
      </w:pPr>
      <w:r>
        <w:rPr>
          <w:b w:val="0"/>
          <w:i w:val="0"/>
          <w:color w:val="1C3A36"/>
          <w:sz w:val="21"/>
        </w:rPr>
        <w:t>One entry per risk that could move this valuation by more than a few per cent, each stated as a mechanism rather than a worry, and each with the disclosure it rests on.</w:t>
      </w:r>
    </w:p>
    <w:p>
      <w:pPr>
        <w:pStyle w:val="ListBullet"/>
        <w:spacing w:after="60"/>
      </w:pPr>
      <w:r>
        <w:rPr>
          <w:b/>
          <w:color w:val="1C3A36"/>
          <w:sz w:val="21"/>
        </w:rPr>
        <w:t xml:space="preserve">Price risk. </w:t>
      </w:r>
      <w:r>
        <w:rPr>
          <w:color w:val="1C3A36"/>
          <w:sz w:val="21"/>
        </w:rPr>
        <w:t>This is the dominant risk, and the disclosure corrects how it should be framed. The Egyptian market is NOT currently slack: it sold 72.6Mt against roughly 76Mt of nameplate, and this company realised a 60.7% rise in its local price in FY2025. The risk is prospective and it has two legs — the 12.6Mt restart programme, and a production quota that was SUSPENDED rather than repealed and could return without legislation. Either would meet a market with little spare demand to absorb it. That is why the forecast price path grows below cost inflation in every year despite an exit rate that would support more.</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C.1  Expert 1 — Replacement-cost industrialist</w:t>
      </w:r>
    </w:p>
    <w:p>
      <w:pPr>
        <w:spacing w:after="120" w:before="0"/>
      </w:pPr>
      <w:r>
        <w:rPr>
          <w:b/>
          <w:i w:val="0"/>
          <w:color w:val="1C3A36"/>
          <w:sz w:val="21"/>
        </w:rPr>
        <w:t xml:space="preserve">Valuation: </w:t>
      </w:r>
      <w:r>
        <w:rPr>
          <w:b w:val="0"/>
          <w:i w:val="0"/>
          <w:color w:val="1C3A36"/>
          <w:sz w:val="21"/>
        </w:rPr>
        <w:t>EGP 55.51 to EGP 75.63, central EGP 65.57 (-14.8% against the market price of EGP 77.00).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112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carries only 8% of the weight.</w:t>
      </w:r>
    </w:p>
    <w:p>
      <w:pPr>
        <w:spacing w:after="80" w:before="200"/>
      </w:pPr>
      <w:r>
        <w:rPr>
          <w:b/>
          <w:i w:val="0"/>
          <w:color w:val="1C3A36"/>
          <w:sz w:val="24"/>
        </w:rPr>
        <w:t>C.2  Expert 2 — Mid-cycle earnings-power analyst</w:t>
      </w:r>
    </w:p>
    <w:p>
      <w:pPr>
        <w:spacing w:after="120" w:before="0"/>
      </w:pPr>
      <w:r>
        <w:rPr>
          <w:b/>
          <w:i w:val="0"/>
          <w:color w:val="1C3A36"/>
          <w:sz w:val="21"/>
        </w:rPr>
        <w:t xml:space="preserve">Valuation: </w:t>
      </w:r>
      <w:r>
        <w:rPr>
          <w:b w:val="0"/>
          <w:i w:val="0"/>
          <w:color w:val="1C3A36"/>
          <w:sz w:val="21"/>
        </w:rPr>
        <w:t>EGP 42.81 to EGP 56.47, central EGP 49.64 (-35.5% against the market price of EGP 77.00).</w:t>
      </w:r>
    </w:p>
    <w:p>
      <w:pPr>
        <w:spacing w:after="120" w:before="0"/>
      </w:pPr>
      <w:r>
        <w:rPr>
          <w:b w:val="0"/>
          <w:i w:val="0"/>
          <w:color w:val="1C3A36"/>
          <w:sz w:val="21"/>
        </w:rPr>
        <w:t>Refuses to capitalise a peak, and refuses it on both legs. The audited EBITDA margin went 22.0% to 23.1% to 39.3% across FY2023 to FY2025 — the last of those is the best year the Egyptian industry has had in over a decade.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C.3  Expert 3 — Cash-return and distribution investor</w:t>
      </w:r>
    </w:p>
    <w:p>
      <w:pPr>
        <w:spacing w:after="120" w:before="0"/>
      </w:pPr>
      <w:r>
        <w:rPr>
          <w:b/>
          <w:i w:val="0"/>
          <w:color w:val="1C3A36"/>
          <w:sz w:val="21"/>
        </w:rPr>
        <w:t xml:space="preserve">Valuation: </w:t>
      </w:r>
      <w:r>
        <w:rPr>
          <w:b w:val="0"/>
          <w:i w:val="0"/>
          <w:color w:val="1C3A36"/>
          <w:sz w:val="21"/>
        </w:rPr>
        <w:t>EGP 57.02 to EGP 75.41, central EGP 64.90 (-15.7% against the market price of EGP 77.00).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4137mn; required at a 17.5% cash return that is a business worth EGP 23642mn before net cash of EGP 687mn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57.02. So would maintenance capital spending materially above the USD 3.23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55.51</w:t>
            </w:r>
          </w:p>
        </w:tc>
        <w:tc>
          <w:tcPr>
            <w:tcW w:type="dxa" w:w="1656"/>
          </w:tcPr>
          <w:p>
            <w:pPr>
              <w:spacing w:after="20"/>
              <w:jc w:val="right"/>
            </w:pPr>
            <w:r>
              <w:rPr>
                <w:color w:val="1C3A36"/>
                <w:sz w:val="18"/>
              </w:rPr>
              <w:t>65.57</w:t>
            </w:r>
          </w:p>
        </w:tc>
        <w:tc>
          <w:tcPr>
            <w:tcW w:type="dxa" w:w="1469"/>
          </w:tcPr>
          <w:p>
            <w:pPr>
              <w:spacing w:after="20"/>
              <w:jc w:val="right"/>
            </w:pPr>
            <w:r>
              <w:rPr>
                <w:color w:val="1C3A36"/>
                <w:sz w:val="18"/>
              </w:rPr>
              <w:t>75.63</w:t>
            </w:r>
          </w:p>
        </w:tc>
        <w:tc>
          <w:tcPr>
            <w:tcW w:type="dxa" w:w="1354"/>
          </w:tcPr>
          <w:p>
            <w:pPr>
              <w:spacing w:after="20"/>
              <w:jc w:val="right"/>
            </w:pPr>
            <w:r>
              <w:rPr>
                <w:color w:val="1C3A36"/>
                <w:sz w:val="18"/>
              </w:rPr>
              <w:t>-14.8%</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42.81</w:t>
            </w:r>
          </w:p>
        </w:tc>
        <w:tc>
          <w:tcPr>
            <w:tcW w:type="dxa" w:w="1656"/>
          </w:tcPr>
          <w:p>
            <w:pPr>
              <w:spacing w:after="20"/>
              <w:jc w:val="right"/>
            </w:pPr>
            <w:r>
              <w:rPr>
                <w:color w:val="1C3A36"/>
                <w:sz w:val="18"/>
              </w:rPr>
              <w:t>49.64</w:t>
            </w:r>
          </w:p>
        </w:tc>
        <w:tc>
          <w:tcPr>
            <w:tcW w:type="dxa" w:w="1469"/>
          </w:tcPr>
          <w:p>
            <w:pPr>
              <w:spacing w:after="20"/>
              <w:jc w:val="right"/>
            </w:pPr>
            <w:r>
              <w:rPr>
                <w:color w:val="1C3A36"/>
                <w:sz w:val="18"/>
              </w:rPr>
              <w:t>56.47</w:t>
            </w:r>
          </w:p>
        </w:tc>
        <w:tc>
          <w:tcPr>
            <w:tcW w:type="dxa" w:w="1354"/>
          </w:tcPr>
          <w:p>
            <w:pPr>
              <w:spacing w:after="20"/>
              <w:jc w:val="right"/>
            </w:pPr>
            <w:r>
              <w:rPr>
                <w:color w:val="1C3A36"/>
                <w:sz w:val="18"/>
              </w:rPr>
              <w:t>-35.5%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57.02</w:t>
            </w:r>
          </w:p>
        </w:tc>
        <w:tc>
          <w:tcPr>
            <w:tcW w:type="dxa" w:w="1656"/>
          </w:tcPr>
          <w:p>
            <w:pPr>
              <w:spacing w:after="20"/>
              <w:jc w:val="right"/>
            </w:pPr>
            <w:r>
              <w:rPr>
                <w:color w:val="1C3A36"/>
                <w:sz w:val="18"/>
              </w:rPr>
              <w:t>64.90</w:t>
            </w:r>
          </w:p>
        </w:tc>
        <w:tc>
          <w:tcPr>
            <w:tcW w:type="dxa" w:w="1469"/>
          </w:tcPr>
          <w:p>
            <w:pPr>
              <w:spacing w:after="20"/>
              <w:jc w:val="right"/>
            </w:pPr>
            <w:r>
              <w:rPr>
                <w:color w:val="1C3A36"/>
                <w:sz w:val="18"/>
              </w:rPr>
              <w:t>75.41</w:t>
            </w:r>
          </w:p>
        </w:tc>
        <w:tc>
          <w:tcPr>
            <w:tcW w:type="dxa" w:w="1354"/>
          </w:tcPr>
          <w:p>
            <w:pPr>
              <w:spacing w:after="20"/>
              <w:jc w:val="right"/>
            </w:pPr>
            <w:r>
              <w:rPr>
                <w:color w:val="1C3A36"/>
                <w:sz w:val="18"/>
              </w:rPr>
              <w:t>-15.7%</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64.90</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-15.7%</w:t>
            </w:r>
          </w:p>
        </w:tc>
      </w:tr>
    </w:tbl>
    <w:p>
      <w:pPr>
        <w:spacing w:after="40"/>
      </w:pPr>
    </w:p>
    <w:p>
      <w:pPr>
        <w:spacing w:after="200" w:before="0"/>
      </w:pPr>
      <w:r>
        <w:rPr>
          <w:b w:val="0"/>
          <w:i/>
          <w:color w:val="6E7B77"/>
          <w:sz w:val="17"/>
        </w:rPr>
        <w:t>Table C1 — The panel. The median of the three, EGP 64.90, sits -2.5% from this study's own central of EGP 66.53 and -15.7% from the market price. It is NOT a confirmation of anything: two of the three panel methods are anchored on the same forecast the central uses, and the one that is not — replacement cost — is the highest read in the study. An earlier edition compared this median to a weighted average of four lenses; those weights are retired, and the comparison is now against the published central.</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and each objection is either conceded or rejected with the arithmetic that settles it. Every figure below comes from the three valuations above or from the study's own committed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12"/>
        <w:gridCol w:w="1728"/>
        <w:gridCol w:w="3600"/>
      </w:tblGrid>
      <w:tr>
        <w:tc>
          <w:tcPr>
            <w:tcW w:type="dxa" w:w="2952"/>
            <w:shd w:val="clear" w:color="auto" w:fill="EAF0EE"/>
          </w:tcPr>
          <w:p>
            <w:pPr>
              <w:spacing w:after="20"/>
            </w:pPr>
            <w:r>
              <w:rPr>
                <w:b/>
                <w:color w:val="1C3A36"/>
                <w:sz w:val="16"/>
              </w:rPr>
              <w:t>Objection</w:t>
            </w:r>
          </w:p>
        </w:tc>
        <w:tc>
          <w:tcPr>
            <w:tcW w:type="dxa" w:w="1512"/>
            <w:shd w:val="clear" w:color="auto" w:fill="EAF0EE"/>
          </w:tcPr>
          <w:p>
            <w:pPr>
              <w:spacing w:after="20"/>
            </w:pPr>
            <w:r>
              <w:rPr>
                <w:b/>
                <w:color w:val="1C3A36"/>
                <w:sz w:val="16"/>
              </w:rPr>
              <w:t>Raised by</w:t>
            </w:r>
          </w:p>
        </w:tc>
        <w:tc>
          <w:tcPr>
            <w:tcW w:type="dxa" w:w="1728"/>
            <w:shd w:val="clear" w:color="auto" w:fill="EAF0EE"/>
          </w:tcPr>
          <w:p>
            <w:pPr>
              <w:spacing w:after="20"/>
            </w:pPr>
            <w:r>
              <w:rPr>
                <w:b/>
                <w:color w:val="1C3A36"/>
                <w:sz w:val="16"/>
              </w:rPr>
              <w:t>Answered</w:t>
            </w:r>
          </w:p>
        </w:tc>
        <w:tc>
          <w:tcPr>
            <w:tcW w:type="dxa" w:w="3600"/>
            <w:shd w:val="clear" w:color="auto" w:fill="EAF0EE"/>
          </w:tcPr>
          <w:p>
            <w:pPr>
              <w:spacing w:after="20"/>
            </w:pPr>
            <w:r>
              <w:rPr>
                <w:b/>
                <w:color w:val="1C3A36"/>
                <w:sz w:val="16"/>
              </w:rPr>
              <w:t>The arithmetic</w:t>
            </w:r>
          </w:p>
        </w:tc>
      </w:tr>
      <w:tr>
        <w:tc>
          <w:tcPr>
            <w:tcW w:type="dxa" w:w="2952"/>
          </w:tcPr>
          <w:p>
            <w:pPr>
              <w:spacing w:after="20"/>
            </w:pPr>
            <w:r>
              <w:rPr>
                <w:color w:val="1C3A36"/>
                <w:sz w:val="16"/>
              </w:rPr>
              <w:t>Replacement-cost industrialist values a plant nobody is building. The 12.6Mt restart programme is the live test and restarting a mothballed kiln costs a fraction of new build.</w:t>
            </w:r>
          </w:p>
        </w:tc>
        <w:tc>
          <w:tcPr>
            <w:tcW w:type="dxa" w:w="1512"/>
          </w:tcPr>
          <w:p>
            <w:pPr>
              <w:spacing w:after="20"/>
              <w:jc w:val="right"/>
            </w:pPr>
            <w:r>
              <w:rPr>
                <w:color w:val="1C3A36"/>
                <w:sz w:val="16"/>
              </w:rPr>
              <w:t>Experts 2 and 3</w:t>
            </w:r>
          </w:p>
        </w:tc>
        <w:tc>
          <w:tcPr>
            <w:tcW w:type="dxa" w:w="1728"/>
          </w:tcPr>
          <w:p>
            <w:pPr>
              <w:spacing w:after="20"/>
              <w:jc w:val="right"/>
            </w:pPr>
            <w:r>
              <w:rPr>
                <w:color w:val="1C3A36"/>
                <w:sz w:val="16"/>
              </w:rPr>
              <w:t>CONCEDED</w:t>
            </w:r>
          </w:p>
        </w:tc>
        <w:tc>
          <w:tcPr>
            <w:tcW w:type="dxa" w:w="3600"/>
          </w:tcPr>
          <w:p>
            <w:pPr>
              <w:spacing w:after="20"/>
              <w:jc w:val="right"/>
            </w:pPr>
            <w:r>
              <w:rPr>
                <w:color w:val="1C3A36"/>
                <w:sz w:val="16"/>
              </w:rPr>
              <w:t>This is Expert 1's own stated falsifier, and it is the reason the lens is marked to USD 95 an annual tonne rather than the USD 130 a new line costs. At USD 95 it reads EGP 65.57; the market is paying USD 112.0 an annual tonne at the traded price.</w:t>
            </w:r>
          </w:p>
        </w:tc>
      </w:tr>
      <w:tr>
        <w:tc>
          <w:tcPr>
            <w:tcW w:type="dxa" w:w="2952"/>
          </w:tcPr>
          <w:p>
            <w:pPr>
              <w:spacing w:after="20"/>
            </w:pPr>
            <w:r>
              <w:rPr>
                <w:color w:val="1C3A36"/>
                <w:sz w:val="16"/>
              </w:rPr>
              <w:t>A replacement-cost read says nothing about whether the plant earns its cost of capital.</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That is what it is for. It is the one read in this study anchored on something other than a forecast, and it is the strongest argument against the central — which is why it is published beside it at EGP 65.57 rather than averaged away.</w:t>
            </w:r>
          </w:p>
        </w:tc>
      </w:tr>
      <w:tr>
        <w:tc>
          <w:tcPr>
            <w:tcW w:type="dxa" w:w="2952"/>
          </w:tcPr>
          <w:p>
            <w:pPr>
              <w:spacing w:after="20"/>
            </w:pPr>
            <w:r>
              <w:rPr>
                <w:color w:val="1C3A36"/>
                <w:sz w:val="16"/>
              </w:rPr>
              <w:t>The forecast that drives the earnings reads opens at 39.03% against a filed peak of 39.25%, so it has no headroom.</w:t>
            </w:r>
          </w:p>
        </w:tc>
        <w:tc>
          <w:tcPr>
            <w:tcW w:type="dxa" w:w="1512"/>
          </w:tcPr>
          <w:p>
            <w:pPr>
              <w:spacing w:after="20"/>
              <w:jc w:val="right"/>
            </w:pPr>
            <w:r>
              <w:rPr>
                <w:color w:val="1C3A36"/>
                <w:sz w:val="16"/>
              </w:rPr>
              <w:t>Expert 1</w:t>
            </w:r>
          </w:p>
        </w:tc>
        <w:tc>
          <w:tcPr>
            <w:tcW w:type="dxa" w:w="1728"/>
          </w:tcPr>
          <w:p>
            <w:pPr>
              <w:spacing w:after="20"/>
              <w:jc w:val="right"/>
            </w:pPr>
            <w:r>
              <w:rPr>
                <w:color w:val="1C3A36"/>
                <w:sz w:val="16"/>
              </w:rPr>
              <w:t>CONCEDED — AND STATED IN THE STUDY</w:t>
            </w:r>
          </w:p>
        </w:tc>
        <w:tc>
          <w:tcPr>
            <w:tcW w:type="dxa" w:w="3600"/>
          </w:tcPr>
          <w:p>
            <w:pPr>
              <w:spacing w:after="20"/>
              <w:jc w:val="right"/>
            </w:pPr>
            <w:r>
              <w:rPr>
                <w:color w:val="1C3A36"/>
                <w:sz w:val="16"/>
              </w:rPr>
              <w:t>It is the point of the range: the bull corner is EGP 65.57, barely above the central of EGP 66.53, while the bear corner is EGP 45.65 on the FY2023 margin this company actually filed. Essentially the whole range is downside, and a symmetric band would have concealed that.</w:t>
            </w:r>
          </w:p>
        </w:tc>
      </w:tr>
      <w:tr>
        <w:tc>
          <w:tcPr>
            <w:tcW w:type="dxa" w:w="2952"/>
          </w:tcPr>
          <w:p>
            <w:pPr>
              <w:spacing w:after="20"/>
            </w:pPr>
            <w:r>
              <w:rPr>
                <w:color w:val="1C3A36"/>
                <w:sz w:val="16"/>
              </w:rPr>
              <w:t>The beta is a peer median, not this company's own regression, so the discount rate is borrowed.</w:t>
            </w:r>
          </w:p>
        </w:tc>
        <w:tc>
          <w:tcPr>
            <w:tcW w:type="dxa" w:w="1512"/>
          </w:tcPr>
          <w:p>
            <w:pPr>
              <w:spacing w:after="20"/>
              <w:jc w:val="right"/>
            </w:pPr>
            <w:r>
              <w:rPr>
                <w:color w:val="1C3A36"/>
                <w:sz w:val="16"/>
              </w:rPr>
              <w:t>Experts 1 and 2</w:t>
            </w:r>
          </w:p>
        </w:tc>
        <w:tc>
          <w:tcPr>
            <w:tcW w:type="dxa" w:w="1728"/>
          </w:tcPr>
          <w:p>
            <w:pPr>
              <w:spacing w:after="20"/>
              <w:jc w:val="right"/>
            </w:pPr>
            <w:r>
              <w:rPr>
                <w:color w:val="1C3A36"/>
                <w:sz w:val="16"/>
              </w:rPr>
              <w:t>CONCEDED — AND PUBLISHED BOTH WAYS</w:t>
            </w:r>
          </w:p>
        </w:tc>
        <w:tc>
          <w:tcPr>
            <w:tcW w:type="dxa" w:w="3600"/>
          </w:tcPr>
          <w:p>
            <w:pPr>
              <w:spacing w:after="20"/>
              <w:jc w:val="right"/>
            </w:pPr>
            <w:r>
              <w:rPr>
                <w:color w:val="1C3A36"/>
                <w:sz w:val="16"/>
              </w:rPr>
              <w:t>The own-stock regression against the EGX30 returns 0.698 on an R-squared of 4.7%, below the usability floor, so tier 1 is not available. On the regression the lens would read EGP 74.54 against EGP 66.53 — +12.0%, the study's most consequential contested judgement.</w:t>
            </w:r>
          </w:p>
        </w:tc>
      </w:tr>
      <w:tr>
        <w:tc>
          <w:tcPr>
            <w:tcW w:type="dxa" w:w="2952"/>
          </w:tcPr>
          <w:p>
            <w:pPr>
              <w:spacing w:after="20"/>
            </w:pPr>
            <w:r>
              <w:rPr>
                <w:color w:val="1C3A36"/>
                <w:sz w:val="16"/>
              </w:rPr>
              <w:t>Peer betas are used as published, without unlevering and re-levering.</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CONCEDED — WITH THE DIRECTION NAMED</w:t>
            </w:r>
          </w:p>
        </w:tc>
        <w:tc>
          <w:tcPr>
            <w:tcW w:type="dxa" w:w="3600"/>
          </w:tcPr>
          <w:p>
            <w:pPr>
              <w:spacing w:after="20"/>
              <w:jc w:val="right"/>
            </w:pPr>
            <w:r>
              <w:rPr>
                <w:color w:val="1C3A36"/>
                <w:sz w:val="16"/>
              </w:rPr>
              <w:t>The peers carry borrowings and this company holds net cash, so completing the step could only LOWER the beta, lower the rate and RAISE the value. The adopted figure is therefore the cautious end of tier 2, and the omission is flagged rather than passed over.</w:t>
            </w:r>
          </w:p>
        </w:tc>
      </w:tr>
      <w:tr>
        <w:tc>
          <w:tcPr>
            <w:tcW w:type="dxa" w:w="2952"/>
          </w:tcPr>
          <w:p>
            <w:pPr>
              <w:spacing w:after="20"/>
            </w:pPr>
            <w:r>
              <w:rPr>
                <w:color w:val="1C3A36"/>
                <w:sz w:val="16"/>
              </w:rPr>
              <w:t>Growth is worth having, so a terminal that punishes it is wrong.</w:t>
            </w:r>
          </w:p>
        </w:tc>
        <w:tc>
          <w:tcPr>
            <w:tcW w:type="dxa" w:w="1512"/>
          </w:tcPr>
          <w:p>
            <w:pPr>
              <w:spacing w:after="20"/>
              <w:jc w:val="right"/>
            </w:pPr>
            <w:r>
              <w:rPr>
                <w:color w:val="1C3A36"/>
                <w:sz w:val="16"/>
              </w:rPr>
              <w:t>Expert 2</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Measured on this company's own returns: at the terminal return and reinvestment rate this study computes (11.26% against a terminal cost of capital of 18.34%, a spread of -6.02%), moving terminal growth from 3% to 7% takes the value from EGP 70.79 DOWN to EGP 66.53 — about 1.07 a share for each point of growth, the WRONG way. Growth funded at a return below the cost of capital destroys value, and section 1.8 shows the arithmetic.</w:t>
            </w:r>
          </w:p>
        </w:tc>
      </w:tr>
    </w:tbl>
    <w:p>
      <w:pPr>
        <w:spacing w:after="40"/>
      </w:pPr>
    </w:p>
    <w:p>
      <w:pPr>
        <w:spacing w:after="200" w:before="0"/>
      </w:pPr>
      <w:r>
        <w:rPr>
          <w:b w:val="0"/>
          <w:i/>
          <w:color w:val="6E7B77"/>
          <w:sz w:val="17"/>
        </w:rPr>
        <w:t>Table C2 — Cross-examination. Four of the six objections are conceded, which is the honest count for a study whose forecast sits at its subject's best filed year and whose discount rate rests on a borrowed beta. The two rejections each rest on a number rather than a preference.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49.64 and EGP 65.57, a spread of 32.1% of the lower number, with a median of EGP 64.90 against a market price of EGP 77.00 — -15.7%. All three sit below the price, and so does the study's own central of EGP 66.53.</w:t>
      </w:r>
    </w:p>
    <w:p>
      <w:pPr>
        <w:spacing w:after="120" w:before="0"/>
      </w:pPr>
      <w:r>
        <w:rPr>
          <w:b w:val="0"/>
          <w:i w:val="0"/>
          <w:color w:val="1C3A36"/>
          <w:sz w:val="21"/>
        </w:rPr>
        <w:t>What they agree on is not built in, and that is what makes it worth reading. None of the three sets a macro path of its own — all of them stand on the house inflation, currency and policy path for Egypt, so their disagreement is entirely about how a tonne of cement should be capitalised and never about what the economy is doing. All three also agree that this company is worth less than EGP 77.00, by methods that share no arithmetic: one values the steel and concrete, one the earnings stream, one the cash returned against what the capital costs.</w:t>
      </w:r>
    </w:p>
    <w:p>
      <w:pPr>
        <w:spacing w:after="120" w:before="0"/>
      </w:pPr>
      <w:r>
        <w:rPr>
          <w:b w:val="0"/>
          <w:i w:val="0"/>
          <w:color w:val="1C3A36"/>
          <w:sz w:val="21"/>
        </w:rPr>
        <w:t>Where they part company is what they are anchored ON. Expert 1 — replacement-cost industrialist — is the highest at EGP 65.57 because it is the only read not anchored on a forecast at all; it asks what the plant would cost to build and marks that down for a market with dormant capacity. The other two are anchored on the same forecast the central uses, and that forecast already sits at this company's best filed margin. So the panel's spread is largely the difference between valuing an asset and valuing a stream, which is exactly the disagreement a cyclical single-plant producer should produce — and it is why the study publishes the replacement-cost read beside its central rather than inside it.</w:t>
      </w:r>
    </w:p>
    <w:p>
      <w:pPr>
        <w:spacing w:after="80" w:before="200"/>
      </w:pPr>
      <w:r>
        <w:rPr>
          <w:b/>
          <w:i w:val="0"/>
          <w:color w:val="1C3A36"/>
          <w:sz w:val="24"/>
        </w:rPr>
        <w:t>C.6  Reading the divergence</w:t>
      </w:r>
    </w:p>
    <w:p>
      <w:pPr>
        <w:spacing w:after="120" w:before="0"/>
      </w:pPr>
      <w:r>
        <w:rPr>
          <w:b w:val="0"/>
          <w:i w:val="0"/>
          <w:color w:val="1C3A36"/>
          <w:sz w:val="21"/>
        </w:rPr>
        <w:t>One row per pair, naming the single assumption that accounts for most of the gap between them, and what is left of the gap once that assumption is removed.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152"/>
        <w:gridCol w:w="936"/>
        <w:gridCol w:w="3960"/>
        <w:gridCol w:w="1512"/>
      </w:tblGrid>
      <w:tr>
        <w:tc>
          <w:tcPr>
            <w:tcW w:type="dxa" w:w="2232"/>
            <w:shd w:val="clear" w:color="auto" w:fill="EAF0EE"/>
          </w:tcPr>
          <w:p>
            <w:pPr>
              <w:spacing w:after="20"/>
            </w:pPr>
            <w:r>
              <w:rPr>
                <w:b/>
                <w:color w:val="1C3A36"/>
                <w:sz w:val="16"/>
              </w:rPr>
              <w:t>Pair</w:t>
            </w:r>
          </w:p>
        </w:tc>
        <w:tc>
          <w:tcPr>
            <w:tcW w:type="dxa" w:w="1152"/>
            <w:shd w:val="clear" w:color="auto" w:fill="EAF0EE"/>
          </w:tcPr>
          <w:p>
            <w:pPr>
              <w:spacing w:after="20"/>
            </w:pPr>
            <w:r>
              <w:rPr>
                <w:b/>
                <w:color w:val="1C3A36"/>
                <w:sz w:val="16"/>
              </w:rPr>
              <w:t>Gap (EGP)</w:t>
            </w:r>
          </w:p>
        </w:tc>
        <w:tc>
          <w:tcPr>
            <w:tcW w:type="dxa" w:w="936"/>
            <w:shd w:val="clear" w:color="auto" w:fill="EAF0EE"/>
          </w:tcPr>
          <w:p>
            <w:pPr>
              <w:spacing w:after="20"/>
            </w:pPr>
            <w:r>
              <w:rPr>
                <w:b/>
                <w:color w:val="1C3A36"/>
                <w:sz w:val="16"/>
              </w:rPr>
              <w:t>Gap %</w:t>
            </w:r>
          </w:p>
        </w:tc>
        <w:tc>
          <w:tcPr>
            <w:tcW w:type="dxa" w:w="3960"/>
            <w:shd w:val="clear" w:color="auto" w:fill="EAF0EE"/>
          </w:tcPr>
          <w:p>
            <w:pPr>
              <w:spacing w:after="20"/>
            </w:pPr>
            <w:r>
              <w:rPr>
                <w:b/>
                <w:color w:val="1C3A36"/>
                <w:sz w:val="16"/>
              </w:rPr>
              <w:t>What drives it</w:t>
            </w:r>
          </w:p>
        </w:tc>
        <w:tc>
          <w:tcPr>
            <w:tcW w:type="dxa" w:w="1512"/>
            <w:shd w:val="clear" w:color="auto" w:fill="EAF0EE"/>
          </w:tcPr>
          <w:p>
            <w:pPr>
              <w:spacing w:after="20"/>
            </w:pPr>
            <w:r>
              <w:rPr>
                <w:b/>
                <w:color w:val="1C3A36"/>
                <w:sz w:val="16"/>
              </w:rPr>
              <w:t>What is left</w:t>
            </w:r>
          </w:p>
        </w:tc>
      </w:tr>
      <w:tr>
        <w:tc>
          <w:tcPr>
            <w:tcW w:type="dxa" w:w="2232"/>
          </w:tcPr>
          <w:p>
            <w:pPr>
              <w:spacing w:after="20"/>
            </w:pPr>
            <w:r>
              <w:rPr>
                <w:color w:val="1C3A36"/>
                <w:sz w:val="16"/>
              </w:rPr>
              <w:t>Expert 1 vs Expert 3</w:t>
            </w:r>
          </w:p>
        </w:tc>
        <w:tc>
          <w:tcPr>
            <w:tcW w:type="dxa" w:w="1152"/>
          </w:tcPr>
          <w:p>
            <w:pPr>
              <w:spacing w:after="20"/>
              <w:jc w:val="right"/>
            </w:pPr>
            <w:r>
              <w:rPr>
                <w:color w:val="1C3A36"/>
                <w:sz w:val="16"/>
              </w:rPr>
              <w:t>0.67</w:t>
            </w:r>
          </w:p>
        </w:tc>
        <w:tc>
          <w:tcPr>
            <w:tcW w:type="dxa" w:w="936"/>
          </w:tcPr>
          <w:p>
            <w:pPr>
              <w:spacing w:after="20"/>
              <w:jc w:val="right"/>
            </w:pPr>
            <w:r>
              <w:rPr>
                <w:color w:val="1C3A36"/>
                <w:sz w:val="16"/>
              </w:rPr>
              <w:t>1.0%</w:t>
            </w:r>
          </w:p>
        </w:tc>
        <w:tc>
          <w:tcPr>
            <w:tcW w:type="dxa" w:w="3960"/>
          </w:tcPr>
          <w:p>
            <w:pPr>
              <w:spacing w:after="20"/>
              <w:jc w:val="right"/>
            </w:pPr>
            <w:r>
              <w:rPr>
                <w:color w:val="1C3A36"/>
                <w:sz w:val="16"/>
              </w:rPr>
              <w:t>the anchor itself — one values the plant, the other the stream. There is no single parameter to remove, because the two do not share one.</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1 vs Expert 2</w:t>
            </w:r>
          </w:p>
        </w:tc>
        <w:tc>
          <w:tcPr>
            <w:tcW w:type="dxa" w:w="1152"/>
          </w:tcPr>
          <w:p>
            <w:pPr>
              <w:spacing w:after="20"/>
              <w:jc w:val="right"/>
            </w:pPr>
            <w:r>
              <w:rPr>
                <w:color w:val="1C3A36"/>
                <w:sz w:val="16"/>
              </w:rPr>
              <w:t>15.93</w:t>
            </w:r>
          </w:p>
        </w:tc>
        <w:tc>
          <w:tcPr>
            <w:tcW w:type="dxa" w:w="936"/>
          </w:tcPr>
          <w:p>
            <w:pPr>
              <w:spacing w:after="20"/>
              <w:jc w:val="right"/>
            </w:pPr>
            <w:r>
              <w:rPr>
                <w:color w:val="1C3A36"/>
                <w:sz w:val="16"/>
              </w:rPr>
              <w:t>32.1%</w:t>
            </w:r>
          </w:p>
        </w:tc>
        <w:tc>
          <w:tcPr>
            <w:tcW w:type="dxa" w:w="3960"/>
          </w:tcPr>
          <w:p>
            <w:pPr>
              <w:spacing w:after="20"/>
              <w:jc w:val="right"/>
            </w:pPr>
            <w:r>
              <w:rPr>
                <w:color w:val="1C3A36"/>
                <w:sz w:val="16"/>
              </w:rPr>
              <w:t>the same thing, at its widest: an asset value against the most forecast-dependent read in the panel.</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3 vs Expert 2</w:t>
            </w:r>
          </w:p>
        </w:tc>
        <w:tc>
          <w:tcPr>
            <w:tcW w:type="dxa" w:w="1152"/>
          </w:tcPr>
          <w:p>
            <w:pPr>
              <w:spacing w:after="20"/>
              <w:jc w:val="right"/>
            </w:pPr>
            <w:r>
              <w:rPr>
                <w:color w:val="1C3A36"/>
                <w:sz w:val="16"/>
              </w:rPr>
              <w:t>15.26</w:t>
            </w:r>
          </w:p>
        </w:tc>
        <w:tc>
          <w:tcPr>
            <w:tcW w:type="dxa" w:w="936"/>
          </w:tcPr>
          <w:p>
            <w:pPr>
              <w:spacing w:after="20"/>
              <w:jc w:val="right"/>
            </w:pPr>
            <w:r>
              <w:rPr>
                <w:color w:val="1C3A36"/>
                <w:sz w:val="16"/>
              </w:rPr>
              <w:t>30.7%</w:t>
            </w:r>
          </w:p>
        </w:tc>
        <w:tc>
          <w:tcPr>
            <w:tcW w:type="dxa" w:w="3960"/>
          </w:tcPr>
          <w:p>
            <w:pPr>
              <w:spacing w:after="20"/>
              <w:jc w:val="right"/>
            </w:pPr>
            <w:r>
              <w:rPr>
                <w:color w:val="1C3A36"/>
                <w:sz w:val="16"/>
              </w:rPr>
              <w:t>both are anchored on the same forecast, so what separates them is how much of the value is allowed to sit beyond the explicit window.</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Panel median vs the central</w:t>
            </w:r>
          </w:p>
        </w:tc>
        <w:tc>
          <w:tcPr>
            <w:tcW w:type="dxa" w:w="1152"/>
          </w:tcPr>
          <w:p>
            <w:pPr>
              <w:spacing w:after="20"/>
              <w:jc w:val="right"/>
            </w:pPr>
            <w:r>
              <w:rPr>
                <w:color w:val="1C3A36"/>
                <w:sz w:val="16"/>
              </w:rPr>
              <w:t>-1.63</w:t>
            </w:r>
          </w:p>
        </w:tc>
        <w:tc>
          <w:tcPr>
            <w:tcW w:type="dxa" w:w="936"/>
          </w:tcPr>
          <w:p>
            <w:pPr>
              <w:spacing w:after="20"/>
              <w:jc w:val="right"/>
            </w:pPr>
            <w:r>
              <w:rPr>
                <w:color w:val="1C3A36"/>
                <w:sz w:val="16"/>
              </w:rPr>
              <w:t>2.5%</w:t>
            </w:r>
          </w:p>
        </w:tc>
        <w:tc>
          <w:tcPr>
            <w:tcW w:type="dxa" w:w="3960"/>
          </w:tcPr>
          <w:p>
            <w:pPr>
              <w:spacing w:after="20"/>
              <w:jc w:val="right"/>
            </w:pPr>
            <w:r>
              <w:rPr>
                <w:color w:val="1C3A36"/>
                <w:sz w:val="16"/>
              </w:rPr>
              <w:t>nothing structural — the central is a cash-flow read and so is one of the three</w:t>
            </w:r>
          </w:p>
        </w:tc>
        <w:tc>
          <w:tcPr>
            <w:tcW w:type="dxa" w:w="1512"/>
          </w:tcPr>
          <w:p>
            <w:pPr>
              <w:spacing w:after="20"/>
              <w:jc w:val="right"/>
            </w:pPr>
            <w:r>
              <w:rPr>
                <w:color w:val="1C3A36"/>
                <w:sz w:val="16"/>
              </w:rPr>
              <w:t>not decomposed</w:t>
            </w:r>
          </w:p>
        </w:tc>
      </w:tr>
    </w:tbl>
    <w:p>
      <w:pPr>
        <w:spacing w:after="40"/>
      </w:pPr>
    </w:p>
    <w:p>
      <w:pPr>
        <w:spacing w:after="200" w:before="0"/>
      </w:pPr>
      <w:r>
        <w:rPr>
          <w:b w:val="0"/>
          <w:i/>
          <w:color w:val="6E7B77"/>
          <w:sz w:val="17"/>
        </w:rPr>
        <w:t>Table C3 — The divergence. Not one of these gaps reduces to a parameter, and that is the finding rather than a gap in the analysis: the panel was cast by METHOD, so two members of it do not share an input to vary. Where a pair does share its arithmetic — the median against the central — the difference is small and structural. A divergence table that decomposed these into parameters would be inventing a common model the panel deliberately does not have.</w:t>
      </w:r>
    </w:p>
    <w:p>
      <w:r>
        <w:br w:type="page"/>
      </w:r>
    </w:p>
    <w:p>
      <w:pPr>
        <w:spacing w:after="120" w:before="280"/>
      </w:pPr>
      <w:r>
        <w:rPr>
          <w:b/>
          <w:i w:val="0"/>
          <w:color w:val="1C3A36"/>
          <w:sz w:val="30"/>
        </w:rPr>
        <w:t>About this series</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and reviewed financial statements, read from the filings rather than from any vendor's summary. Every input carries a value, a source, a date and a research layer in the companion source register, and every figure in this document is computed by the model rather than typed into the document.</w:t>
            </w:r>
          </w:p>
          <w:p>
            <w:pPr>
              <w:spacing w:after="100"/>
            </w:pPr>
            <w:r>
              <w:rPr>
                <w:b/>
                <w:color w:val="1C3A36"/>
                <w:sz w:val="19"/>
              </w:rPr>
              <w:t xml:space="preserve">THE COMPANION FILES.  </w:t>
            </w:r>
            <w:r>
              <w:rPr>
                <w:color w:val="1C3A36"/>
                <w:sz w:val="19"/>
              </w:rPr>
              <w:t>A workbook that recalculates this study live, and a standalone bibliography listing every registered input with its source, the judgements with what would overturn each one, and the negative results — the things looked for and not found.</w:t>
            </w:r>
          </w:p>
          <w:p>
            <w:pPr>
              <w:spacing w:after="100"/>
            </w:pPr>
            <w:r>
              <w:rPr>
                <w:b/>
                <w:color w:val="1C3A36"/>
                <w:sz w:val="19"/>
              </w:rPr>
              <w:t xml:space="preserve">WHAT IT DOES NOT DO.  </w:t>
            </w:r>
            <w:r>
              <w:rPr>
                <w:color w:val="1C3A36"/>
                <w:sz w:val="19"/>
              </w:rPr>
              <w:t>It never states a rating or a price target. Where a figure has two legitimate framings, both are published. Where a judgement is contested and worth more than a few per cent of the answer, the study computes it both ways and shows the pair instead of averaging them into one number nobody can check.</w:t>
            </w:r>
          </w:p>
        </w:tc>
      </w:tr>
    </w:tbl>
    <w:p>
      <w:pPr>
        <w:spacing w:after="40"/>
      </w:pPr>
    </w:p>
    <w:p>
      <w:pPr>
        <w:spacing w:after="120" w:before="280"/>
      </w:pPr>
      <w:r>
        <w:rPr>
          <w:b/>
          <w:i w:val="0"/>
          <w:color w:val="1C3A36"/>
          <w:sz w:val="30"/>
        </w:rPr>
        <w:t>Disclosure &amp; Disclaimer</w:t>
      </w:r>
    </w:p>
    <w:p>
      <w:pPr>
        <w:spacing w:after="120" w:before="0"/>
      </w:pPr>
      <w:r>
        <w:rPr>
          <w:b/>
          <w:i w:val="0"/>
          <w:color w:val="1C3A36"/>
          <w:sz w:val="18"/>
        </w:rPr>
        <w:t>Testahil · Independent valuation research · Educational analysis, not investment advice. No rating and no price target is expressed or implied.</w:t>
      </w:r>
    </w:p>
    <w:p>
      <w:pPr>
        <w:spacing w:after="120" w:before="0"/>
      </w:pPr>
      <w:r>
        <w:rPr>
          <w:b w:val="0"/>
          <w:i w:val="0"/>
          <w:color w:val="1C3A36"/>
          <w:sz w:val="17"/>
        </w:rPr>
        <w:t>This document is published for education and discussion. It is not a recommendation, an offer, or a solicitation to buy or sell any security, and it takes no account of any reader's circumstances, objectives or constraints. Nothing in it should be relied on as the basis for an investment decision.</w:t>
      </w:r>
    </w:p>
    <w:p>
      <w:pPr>
        <w:spacing w:after="120" w:before="0"/>
      </w:pPr>
      <w:r>
        <w:rPr>
          <w:b w:val="0"/>
          <w:i w:val="0"/>
          <w:color w:val="1C3A36"/>
          <w:sz w:val="17"/>
        </w:rPr>
        <w:t>The valuation is a range produced by a stated model from stated inputs, and it will be wrong in ways the model cannot see. Section 7 sets out what would change it. Forecasts about a single-plant producer in one country are uncertain in ways no range fully captures, and past performance — the company's or this method's — does not predict future results.</w:t>
      </w:r>
    </w:p>
    <w:p>
      <w:pPr>
        <w:spacing w:after="120" w:before="0"/>
      </w:pPr>
      <w:r>
        <w:rPr>
          <w:b w:val="0"/>
          <w:i w:val="0"/>
          <w:color w:val="1C3A36"/>
          <w:sz w:val="17"/>
        </w:rPr>
        <w:t>The price quoted throughout is the latest known close, EGP 77.00 on 3 September 2026. It moves; the valuation does not move with it. No position is held in this security by the author of this study, and no compensation of any kind has been received from the company, from any holder of its shares, or from anyone with an interest in its price.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