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17.62 a share against a market price of EGP 13.50. Fair value sits 30.5% ABOVE the price; equivalently the price stands 23.4% BELOW fair value. The range across the lenses is EGP 1.67 to 23.90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19.14, 41.8%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10.58%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57%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17.62</w:t>
            </w:r>
          </w:p>
        </w:tc>
        <w:tc>
          <w:tcPr>
            <w:tcW w:type="dxa" w:w="1037"/>
          </w:tcPr>
          <w:p>
            <w:pPr>
              <w:spacing w:after="20"/>
              <w:jc w:val="right"/>
            </w:pPr>
            <w:r>
              <w:rPr>
                <w:color w:val="1C3A36"/>
                <w:sz w:val="18"/>
              </w:rPr>
              <w:t>23.90</w:t>
            </w:r>
          </w:p>
        </w:tc>
        <w:tc>
          <w:tcPr>
            <w:tcW w:type="dxa" w:w="1037"/>
          </w:tcPr>
          <w:p>
            <w:pPr>
              <w:spacing w:after="20"/>
              <w:jc w:val="right"/>
            </w:pPr>
            <w:r>
              <w:rPr>
                <w:color w:val="1C3A36"/>
                <w:sz w:val="18"/>
              </w:rPr>
              <w:t>30.5%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16.08</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17.62</w:t>
            </w:r>
          </w:p>
        </w:tc>
        <w:tc>
          <w:tcPr>
            <w:tcW w:type="dxa" w:w="1037"/>
            <w:shd w:val="clear" w:color="auto" w:fill="F6F1E6"/>
          </w:tcPr>
          <w:p>
            <w:pPr>
              <w:spacing w:after="20"/>
              <w:jc w:val="right"/>
            </w:pPr>
            <w:r>
              <w:rPr>
                <w:b/>
                <w:color w:val="1C3A36"/>
                <w:sz w:val="18"/>
              </w:rPr>
              <w:t>23.90</w:t>
            </w:r>
          </w:p>
        </w:tc>
        <w:tc>
          <w:tcPr>
            <w:tcW w:type="dxa" w:w="1037"/>
            <w:shd w:val="clear" w:color="auto" w:fill="F6F1E6"/>
          </w:tcPr>
          <w:p>
            <w:pPr>
              <w:spacing w:after="20"/>
              <w:jc w:val="right"/>
            </w:pPr>
            <w:r>
              <w:rPr>
                <w:b/>
                <w:color w:val="1C3A36"/>
                <w:sz w:val="18"/>
              </w:rPr>
              <w:t>30.5%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1.67–23.90; that is reported as an ENVELOPE. The retired 45/20/20/15 blend of these four would read EGP 13.98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17.91  (+1.6%)</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18.39  (+4.4%)</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17.82  (+1.1%)</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30.42%</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27.5% cost of equity — and THEN added the same cash back at face in the bridge, which charges for it twice. This edition values the operations at the unlevered rate of 27.45%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2,010</w:t>
            </w:r>
          </w:p>
        </w:tc>
        <w:tc>
          <w:tcPr>
            <w:tcW w:type="dxa" w:w="1238"/>
            <w:shd w:val="clear" w:color="auto" w:fill="F6F1E6"/>
          </w:tcPr>
          <w:p>
            <w:pPr>
              <w:spacing w:after="20"/>
              <w:jc w:val="right"/>
            </w:pPr>
            <w:r>
              <w:rPr>
                <w:b/>
                <w:color w:val="1C3A36"/>
                <w:sz w:val="17"/>
              </w:rPr>
              <w:t>1,808</w:t>
            </w:r>
          </w:p>
        </w:tc>
        <w:tc>
          <w:tcPr>
            <w:tcW w:type="dxa" w:w="1238"/>
            <w:shd w:val="clear" w:color="auto" w:fill="F6F1E6"/>
          </w:tcPr>
          <w:p>
            <w:pPr>
              <w:spacing w:after="20"/>
              <w:jc w:val="right"/>
            </w:pPr>
            <w:r>
              <w:rPr>
                <w:b/>
                <w:color w:val="1C3A36"/>
                <w:sz w:val="17"/>
              </w:rPr>
              <w:t>1,597</w:t>
            </w:r>
          </w:p>
        </w:tc>
        <w:tc>
          <w:tcPr>
            <w:tcW w:type="dxa" w:w="1238"/>
            <w:shd w:val="clear" w:color="auto" w:fill="F6F1E6"/>
          </w:tcPr>
          <w:p>
            <w:pPr>
              <w:spacing w:after="20"/>
              <w:jc w:val="right"/>
            </w:pPr>
            <w:r>
              <w:rPr>
                <w:b/>
                <w:color w:val="1C3A36"/>
                <w:sz w:val="17"/>
              </w:rPr>
              <w:t>1,400</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9,003</w:t>
            </w:r>
          </w:p>
        </w:tc>
        <w:tc>
          <w:tcPr>
            <w:tcW w:type="dxa" w:w="1296"/>
          </w:tcPr>
          <w:p>
            <w:pPr>
              <w:spacing w:after="20"/>
              <w:jc w:val="right"/>
            </w:pPr>
            <w:r>
              <w:rPr>
                <w:color w:val="1C3A36"/>
                <w:sz w:val="17"/>
              </w:rPr>
              <w:t>6.97</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12,124</w:t>
            </w:r>
          </w:p>
        </w:tc>
        <w:tc>
          <w:tcPr>
            <w:tcW w:type="dxa" w:w="1296"/>
          </w:tcPr>
          <w:p>
            <w:pPr>
              <w:spacing w:after="20"/>
              <w:jc w:val="right"/>
            </w:pPr>
            <w:r>
              <w:rPr>
                <w:color w:val="1C3A36"/>
                <w:sz w:val="17"/>
              </w:rPr>
              <w:t>9.39</w:t>
            </w:r>
          </w:p>
        </w:tc>
        <w:tc>
          <w:tcPr>
            <w:tcW w:type="dxa" w:w="3600"/>
          </w:tcPr>
          <w:p>
            <w:pPr>
              <w:spacing w:after="20"/>
            </w:pPr>
            <w:r>
              <w:rPr>
                <w:color w:val="1C3A36"/>
                <w:sz w:val="17"/>
              </w:rPr>
              <w:t>57.4%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21,127</w:t>
            </w:r>
          </w:p>
        </w:tc>
        <w:tc>
          <w:tcPr>
            <w:tcW w:type="dxa" w:w="1296"/>
            <w:shd w:val="clear" w:color="auto" w:fill="F6F1E6"/>
          </w:tcPr>
          <w:p>
            <w:pPr>
              <w:spacing w:after="20"/>
              <w:jc w:val="right"/>
            </w:pPr>
            <w:r>
              <w:rPr>
                <w:b/>
                <w:color w:val="1C3A36"/>
                <w:sz w:val="17"/>
              </w:rPr>
              <w:t>16.36</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24,129</w:t>
            </w:r>
          </w:p>
        </w:tc>
        <w:tc>
          <w:tcPr>
            <w:tcW w:type="dxa" w:w="1296"/>
          </w:tcPr>
          <w:p>
            <w:pPr>
              <w:spacing w:after="20"/>
              <w:jc w:val="right"/>
            </w:pPr>
            <w:r>
              <w:rPr>
                <w:color w:val="1C3A36"/>
                <w:sz w:val="17"/>
              </w:rPr>
              <w:t>18.68</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(715)</w:t>
            </w:r>
          </w:p>
        </w:tc>
        <w:tc>
          <w:tcPr>
            <w:tcW w:type="dxa" w:w="1296"/>
          </w:tcPr>
          <w:p>
            <w:pPr>
              <w:spacing w:after="20"/>
              <w:jc w:val="right"/>
            </w:pPr>
            <w:r>
              <w:rPr>
                <w:color w:val="1C3A36"/>
                <w:sz w:val="17"/>
              </w:rPr>
              <w:t>(0.55)</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22,753</w:t>
            </w:r>
          </w:p>
        </w:tc>
        <w:tc>
          <w:tcPr>
            <w:tcW w:type="dxa" w:w="1296"/>
            <w:shd w:val="clear" w:color="auto" w:fill="F6F1E6"/>
          </w:tcPr>
          <w:p>
            <w:pPr>
              <w:spacing w:after="20"/>
              <w:jc w:val="right"/>
            </w:pPr>
            <w:r>
              <w:rPr>
                <w:b/>
                <w:color w:val="1C3A36"/>
                <w:sz w:val="17"/>
              </w:rPr>
              <w:t>17.62</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1.06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57.4%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15.60 at 3% to 17.62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15.35</w:t>
            </w:r>
          </w:p>
        </w:tc>
        <w:tc>
          <w:tcPr>
            <w:tcW w:type="dxa" w:w="1080"/>
          </w:tcPr>
          <w:p>
            <w:pPr>
              <w:spacing w:after="20"/>
              <w:jc w:val="right"/>
            </w:pPr>
            <w:r>
              <w:rPr>
                <w:color w:val="1C3A36"/>
                <w:sz w:val="17"/>
              </w:rPr>
              <w:t>16.48</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18.75</w:t>
            </w:r>
          </w:p>
        </w:tc>
        <w:tc>
          <w:tcPr>
            <w:tcW w:type="dxa" w:w="1080"/>
          </w:tcPr>
          <w:p>
            <w:pPr>
              <w:spacing w:after="20"/>
              <w:jc w:val="right"/>
            </w:pPr>
            <w:r>
              <w:rPr>
                <w:color w:val="1C3A36"/>
                <w:sz w:val="17"/>
              </w:rPr>
              <w:t>19.88</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12.41</w:t>
            </w:r>
          </w:p>
        </w:tc>
        <w:tc>
          <w:tcPr>
            <w:tcW w:type="dxa" w:w="1080"/>
          </w:tcPr>
          <w:p>
            <w:pPr>
              <w:spacing w:after="20"/>
              <w:jc w:val="right"/>
            </w:pPr>
            <w:r>
              <w:rPr>
                <w:color w:val="1C3A36"/>
                <w:sz w:val="17"/>
              </w:rPr>
              <w:t>14.87</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20.21</w:t>
            </w:r>
          </w:p>
        </w:tc>
        <w:tc>
          <w:tcPr>
            <w:tcW w:type="dxa" w:w="1080"/>
          </w:tcPr>
          <w:p>
            <w:pPr>
              <w:spacing w:after="20"/>
              <w:jc w:val="right"/>
            </w:pPr>
            <w:r>
              <w:rPr>
                <w:color w:val="1C3A36"/>
                <w:sz w:val="17"/>
              </w:rPr>
              <w:t>23.09</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16.86</w:t>
            </w:r>
          </w:p>
        </w:tc>
        <w:tc>
          <w:tcPr>
            <w:tcW w:type="dxa" w:w="1080"/>
          </w:tcPr>
          <w:p>
            <w:pPr>
              <w:spacing w:after="20"/>
              <w:jc w:val="right"/>
            </w:pPr>
            <w:r>
              <w:rPr>
                <w:color w:val="1C3A36"/>
                <w:sz w:val="17"/>
              </w:rPr>
              <w:t>17.24</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18.00</w:t>
            </w:r>
          </w:p>
        </w:tc>
        <w:tc>
          <w:tcPr>
            <w:tcW w:type="dxa" w:w="1080"/>
          </w:tcPr>
          <w:p>
            <w:pPr>
              <w:spacing w:after="20"/>
              <w:jc w:val="right"/>
            </w:pPr>
            <w:r>
              <w:rPr>
                <w:color w:val="1C3A36"/>
                <w:sz w:val="17"/>
              </w:rPr>
              <w:t>18.39</w:t>
            </w:r>
          </w:p>
        </w:tc>
      </w:tr>
      <w:tr>
        <w:tc>
          <w:tcPr>
            <w:tcW w:type="dxa" w:w="4104"/>
          </w:tcPr>
          <w:p>
            <w:pPr>
              <w:spacing w:after="20"/>
            </w:pPr>
            <w:r>
              <w:rPr>
                <w:color w:val="1C3A36"/>
                <w:sz w:val="17"/>
              </w:rPr>
              <w:t>Beta</w:t>
            </w:r>
          </w:p>
        </w:tc>
        <w:tc>
          <w:tcPr>
            <w:tcW w:type="dxa" w:w="1080"/>
          </w:tcPr>
          <w:p>
            <w:pPr>
              <w:spacing w:after="20"/>
              <w:jc w:val="right"/>
            </w:pPr>
            <w:r>
              <w:rPr>
                <w:color w:val="1C3A36"/>
                <w:sz w:val="17"/>
              </w:rPr>
              <w:t>21.03</w:t>
            </w:r>
          </w:p>
        </w:tc>
        <w:tc>
          <w:tcPr>
            <w:tcW w:type="dxa" w:w="1080"/>
          </w:tcPr>
          <w:p>
            <w:pPr>
              <w:spacing w:after="20"/>
              <w:jc w:val="right"/>
            </w:pPr>
            <w:r>
              <w:rPr>
                <w:color w:val="1C3A36"/>
                <w:sz w:val="17"/>
              </w:rPr>
              <w:t>18.67</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15.67</w:t>
            </w:r>
          </w:p>
        </w:tc>
        <w:tc>
          <w:tcPr>
            <w:tcW w:type="dxa" w:w="1080"/>
          </w:tcPr>
          <w:p>
            <w:pPr>
              <w:spacing w:after="20"/>
              <w:jc w:val="right"/>
            </w:pPr>
            <w:r>
              <w:rPr>
                <w:color w:val="1C3A36"/>
                <w:sz w:val="17"/>
              </w:rPr>
              <w:t>14.68</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19.39</w:t>
            </w:r>
          </w:p>
        </w:tc>
        <w:tc>
          <w:tcPr>
            <w:tcW w:type="dxa" w:w="1080"/>
          </w:tcPr>
          <w:p>
            <w:pPr>
              <w:spacing w:after="20"/>
              <w:jc w:val="right"/>
            </w:pPr>
            <w:r>
              <w:rPr>
                <w:color w:val="1C3A36"/>
                <w:sz w:val="17"/>
              </w:rPr>
              <w:t>18.50</w:t>
            </w:r>
          </w:p>
        </w:tc>
        <w:tc>
          <w:tcPr>
            <w:tcW w:type="dxa" w:w="1080"/>
          </w:tcPr>
          <w:p>
            <w:pPr>
              <w:spacing w:after="20"/>
              <w:jc w:val="right"/>
            </w:pPr>
            <w:r>
              <w:rPr>
                <w:color w:val="1C3A36"/>
                <w:sz w:val="17"/>
              </w:rPr>
              <w:t>17.62</w:t>
            </w:r>
          </w:p>
        </w:tc>
        <w:tc>
          <w:tcPr>
            <w:tcW w:type="dxa" w:w="1080"/>
          </w:tcPr>
          <w:p>
            <w:pPr>
              <w:spacing w:after="20"/>
              <w:jc w:val="right"/>
            </w:pPr>
            <w:r>
              <w:rPr>
                <w:color w:val="1C3A36"/>
                <w:sz w:val="17"/>
              </w:rPr>
              <w:t>16.73</w:t>
            </w:r>
          </w:p>
        </w:tc>
        <w:tc>
          <w:tcPr>
            <w:tcW w:type="dxa" w:w="1080"/>
          </w:tcPr>
          <w:p>
            <w:pPr>
              <w:spacing w:after="20"/>
              <w:jc w:val="right"/>
            </w:pPr>
            <w:r>
              <w:rPr>
                <w:color w:val="1C3A36"/>
                <w:sz w:val="17"/>
              </w:rPr>
              <w:t>15.85</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15.60</w:t>
            </w:r>
          </w:p>
        </w:tc>
        <w:tc>
          <w:tcPr>
            <w:tcW w:type="dxa" w:w="1080"/>
          </w:tcPr>
          <w:p>
            <w:pPr>
              <w:spacing w:after="20"/>
              <w:jc w:val="right"/>
            </w:pPr>
            <w:r>
              <w:rPr>
                <w:color w:val="1C3A36"/>
                <w:sz w:val="17"/>
              </w:rPr>
              <w:t>16.00</w:t>
            </w:r>
          </w:p>
        </w:tc>
        <w:tc>
          <w:tcPr>
            <w:tcW w:type="dxa" w:w="1080"/>
          </w:tcPr>
          <w:p>
            <w:pPr>
              <w:spacing w:after="20"/>
              <w:jc w:val="right"/>
            </w:pPr>
            <w:r>
              <w:rPr>
                <w:color w:val="1C3A36"/>
                <w:sz w:val="17"/>
              </w:rPr>
              <w:t>16.45</w:t>
            </w:r>
          </w:p>
        </w:tc>
        <w:tc>
          <w:tcPr>
            <w:tcW w:type="dxa" w:w="1080"/>
          </w:tcPr>
          <w:p>
            <w:pPr>
              <w:spacing w:after="20"/>
              <w:jc w:val="right"/>
            </w:pPr>
            <w:r>
              <w:rPr>
                <w:color w:val="1C3A36"/>
                <w:sz w:val="17"/>
              </w:rPr>
              <w:t>16.99</w:t>
            </w:r>
          </w:p>
        </w:tc>
        <w:tc>
          <w:tcPr>
            <w:tcW w:type="dxa" w:w="1080"/>
          </w:tcPr>
          <w:p>
            <w:pPr>
              <w:spacing w:after="20"/>
              <w:jc w:val="right"/>
            </w:pPr>
            <w:r>
              <w:rPr>
                <w:color w:val="1C3A36"/>
                <w:sz w:val="17"/>
              </w:rPr>
              <w:t>17.62</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17.26</w:t>
            </w:r>
          </w:p>
        </w:tc>
        <w:tc>
          <w:tcPr>
            <w:tcW w:type="dxa" w:w="1224"/>
          </w:tcPr>
          <w:p>
            <w:pPr>
              <w:spacing w:after="20"/>
              <w:jc w:val="right"/>
            </w:pPr>
            <w:r>
              <w:rPr>
                <w:color w:val="1C3A36"/>
                <w:sz w:val="17"/>
              </w:rPr>
              <w:t>17.85</w:t>
            </w:r>
          </w:p>
        </w:tc>
        <w:tc>
          <w:tcPr>
            <w:tcW w:type="dxa" w:w="1224"/>
          </w:tcPr>
          <w:p>
            <w:pPr>
              <w:spacing w:after="20"/>
              <w:jc w:val="right"/>
            </w:pPr>
            <w:r>
              <w:rPr>
                <w:color w:val="1C3A36"/>
                <w:sz w:val="17"/>
              </w:rPr>
              <w:t>18.53</w:t>
            </w:r>
          </w:p>
        </w:tc>
        <w:tc>
          <w:tcPr>
            <w:tcW w:type="dxa" w:w="1224"/>
          </w:tcPr>
          <w:p>
            <w:pPr>
              <w:spacing w:after="20"/>
              <w:jc w:val="right"/>
            </w:pPr>
            <w:r>
              <w:rPr>
                <w:color w:val="1C3A36"/>
                <w:sz w:val="17"/>
              </w:rPr>
              <w:t>19.35</w:t>
            </w:r>
          </w:p>
        </w:tc>
        <w:tc>
          <w:tcPr>
            <w:tcW w:type="dxa" w:w="1224"/>
          </w:tcPr>
          <w:p>
            <w:pPr>
              <w:spacing w:after="20"/>
              <w:jc w:val="right"/>
            </w:pPr>
            <w:r>
              <w:rPr>
                <w:color w:val="1C3A36"/>
                <w:sz w:val="17"/>
              </w:rPr>
              <w:t>20.36</w:t>
            </w:r>
          </w:p>
        </w:tc>
      </w:tr>
      <w:tr>
        <w:tc>
          <w:tcPr>
            <w:tcW w:type="dxa" w:w="3384"/>
          </w:tcPr>
          <w:p>
            <w:pPr>
              <w:spacing w:after="20"/>
            </w:pPr>
            <w:r>
              <w:rPr>
                <w:color w:val="1C3A36"/>
                <w:sz w:val="17"/>
              </w:rPr>
              <w:t>17.14%</w:t>
            </w:r>
          </w:p>
        </w:tc>
        <w:tc>
          <w:tcPr>
            <w:tcW w:type="dxa" w:w="1224"/>
          </w:tcPr>
          <w:p>
            <w:pPr>
              <w:spacing w:after="20"/>
              <w:jc w:val="right"/>
            </w:pPr>
            <w:r>
              <w:rPr>
                <w:color w:val="1C3A36"/>
                <w:sz w:val="17"/>
              </w:rPr>
              <w:t>16.37</w:t>
            </w:r>
          </w:p>
        </w:tc>
        <w:tc>
          <w:tcPr>
            <w:tcW w:type="dxa" w:w="1224"/>
          </w:tcPr>
          <w:p>
            <w:pPr>
              <w:spacing w:after="20"/>
              <w:jc w:val="right"/>
            </w:pPr>
            <w:r>
              <w:rPr>
                <w:color w:val="1C3A36"/>
                <w:sz w:val="17"/>
              </w:rPr>
              <w:t>16.85</w:t>
            </w:r>
          </w:p>
        </w:tc>
        <w:tc>
          <w:tcPr>
            <w:tcW w:type="dxa" w:w="1224"/>
          </w:tcPr>
          <w:p>
            <w:pPr>
              <w:spacing w:after="20"/>
              <w:jc w:val="right"/>
            </w:pPr>
            <w:r>
              <w:rPr>
                <w:color w:val="1C3A36"/>
                <w:sz w:val="17"/>
              </w:rPr>
              <w:t>17.41</w:t>
            </w:r>
          </w:p>
        </w:tc>
        <w:tc>
          <w:tcPr>
            <w:tcW w:type="dxa" w:w="1224"/>
          </w:tcPr>
          <w:p>
            <w:pPr>
              <w:spacing w:after="20"/>
              <w:jc w:val="right"/>
            </w:pPr>
            <w:r>
              <w:rPr>
                <w:color w:val="1C3A36"/>
                <w:sz w:val="17"/>
              </w:rPr>
              <w:t>18.07</w:t>
            </w:r>
          </w:p>
        </w:tc>
        <w:tc>
          <w:tcPr>
            <w:tcW w:type="dxa" w:w="1224"/>
          </w:tcPr>
          <w:p>
            <w:pPr>
              <w:spacing w:after="20"/>
              <w:jc w:val="right"/>
            </w:pPr>
            <w:r>
              <w:rPr>
                <w:color w:val="1C3A36"/>
                <w:sz w:val="17"/>
              </w:rPr>
              <w:t>18.85</w:t>
            </w:r>
          </w:p>
        </w:tc>
      </w:tr>
      <w:tr>
        <w:tc>
          <w:tcPr>
            <w:tcW w:type="dxa" w:w="3384"/>
          </w:tcPr>
          <w:p>
            <w:pPr>
              <w:spacing w:after="20"/>
            </w:pPr>
            <w:r>
              <w:rPr>
                <w:color w:val="1C3A36"/>
                <w:sz w:val="17"/>
              </w:rPr>
              <w:t>18.14%</w:t>
            </w:r>
          </w:p>
        </w:tc>
        <w:tc>
          <w:tcPr>
            <w:tcW w:type="dxa" w:w="1224"/>
          </w:tcPr>
          <w:p>
            <w:pPr>
              <w:spacing w:after="20"/>
              <w:jc w:val="right"/>
            </w:pPr>
            <w:r>
              <w:rPr>
                <w:color w:val="1C3A36"/>
                <w:sz w:val="17"/>
              </w:rPr>
              <w:t>15.60</w:t>
            </w:r>
          </w:p>
        </w:tc>
        <w:tc>
          <w:tcPr>
            <w:tcW w:type="dxa" w:w="1224"/>
          </w:tcPr>
          <w:p>
            <w:pPr>
              <w:spacing w:after="20"/>
              <w:jc w:val="right"/>
            </w:pPr>
            <w:r>
              <w:rPr>
                <w:color w:val="1C3A36"/>
                <w:sz w:val="17"/>
              </w:rPr>
              <w:t>16.00</w:t>
            </w:r>
          </w:p>
        </w:tc>
        <w:tc>
          <w:tcPr>
            <w:tcW w:type="dxa" w:w="1224"/>
          </w:tcPr>
          <w:p>
            <w:pPr>
              <w:spacing w:after="20"/>
              <w:jc w:val="right"/>
            </w:pPr>
            <w:r>
              <w:rPr>
                <w:color w:val="1C3A36"/>
                <w:sz w:val="17"/>
              </w:rPr>
              <w:t>16.45</w:t>
            </w:r>
          </w:p>
        </w:tc>
        <w:tc>
          <w:tcPr>
            <w:tcW w:type="dxa" w:w="1224"/>
          </w:tcPr>
          <w:p>
            <w:pPr>
              <w:spacing w:after="20"/>
              <w:jc w:val="right"/>
            </w:pPr>
            <w:r>
              <w:rPr>
                <w:color w:val="1C3A36"/>
                <w:sz w:val="17"/>
              </w:rPr>
              <w:t>16.99</w:t>
            </w:r>
          </w:p>
        </w:tc>
        <w:tc>
          <w:tcPr>
            <w:tcW w:type="dxa" w:w="1224"/>
          </w:tcPr>
          <w:p>
            <w:pPr>
              <w:spacing w:after="20"/>
              <w:jc w:val="right"/>
            </w:pPr>
            <w:r>
              <w:rPr>
                <w:color w:val="1C3A36"/>
                <w:sz w:val="17"/>
              </w:rPr>
              <w:t>17.62</w:t>
            </w:r>
          </w:p>
        </w:tc>
      </w:tr>
      <w:tr>
        <w:tc>
          <w:tcPr>
            <w:tcW w:type="dxa" w:w="3384"/>
          </w:tcPr>
          <w:p>
            <w:pPr>
              <w:spacing w:after="20"/>
            </w:pPr>
            <w:r>
              <w:rPr>
                <w:color w:val="1C3A36"/>
                <w:sz w:val="17"/>
              </w:rPr>
              <w:t>19.14%</w:t>
            </w:r>
          </w:p>
        </w:tc>
        <w:tc>
          <w:tcPr>
            <w:tcW w:type="dxa" w:w="1224"/>
          </w:tcPr>
          <w:p>
            <w:pPr>
              <w:spacing w:after="20"/>
              <w:jc w:val="right"/>
            </w:pPr>
            <w:r>
              <w:rPr>
                <w:color w:val="1C3A36"/>
                <w:sz w:val="17"/>
              </w:rPr>
              <w:t>14.92</w:t>
            </w:r>
          </w:p>
        </w:tc>
        <w:tc>
          <w:tcPr>
            <w:tcW w:type="dxa" w:w="1224"/>
          </w:tcPr>
          <w:p>
            <w:pPr>
              <w:spacing w:after="20"/>
              <w:jc w:val="right"/>
            </w:pPr>
            <w:r>
              <w:rPr>
                <w:color w:val="1C3A36"/>
                <w:sz w:val="17"/>
              </w:rPr>
              <w:t>15.25</w:t>
            </w:r>
          </w:p>
        </w:tc>
        <w:tc>
          <w:tcPr>
            <w:tcW w:type="dxa" w:w="1224"/>
          </w:tcPr>
          <w:p>
            <w:pPr>
              <w:spacing w:after="20"/>
              <w:jc w:val="right"/>
            </w:pPr>
            <w:r>
              <w:rPr>
                <w:color w:val="1C3A36"/>
                <w:sz w:val="17"/>
              </w:rPr>
              <w:t>15.63</w:t>
            </w:r>
          </w:p>
        </w:tc>
        <w:tc>
          <w:tcPr>
            <w:tcW w:type="dxa" w:w="1224"/>
          </w:tcPr>
          <w:p>
            <w:pPr>
              <w:spacing w:after="20"/>
              <w:jc w:val="right"/>
            </w:pPr>
            <w:r>
              <w:rPr>
                <w:color w:val="1C3A36"/>
                <w:sz w:val="17"/>
              </w:rPr>
              <w:t>16.07</w:t>
            </w:r>
          </w:p>
        </w:tc>
        <w:tc>
          <w:tcPr>
            <w:tcW w:type="dxa" w:w="1224"/>
          </w:tcPr>
          <w:p>
            <w:pPr>
              <w:spacing w:after="20"/>
              <w:jc w:val="right"/>
            </w:pPr>
            <w:r>
              <w:rPr>
                <w:color w:val="1C3A36"/>
                <w:sz w:val="17"/>
              </w:rPr>
              <w:t>16.58</w:t>
            </w:r>
          </w:p>
        </w:tc>
      </w:tr>
      <w:tr>
        <w:tc>
          <w:tcPr>
            <w:tcW w:type="dxa" w:w="3384"/>
          </w:tcPr>
          <w:p>
            <w:pPr>
              <w:spacing w:after="20"/>
            </w:pPr>
            <w:r>
              <w:rPr>
                <w:color w:val="1C3A36"/>
                <w:sz w:val="17"/>
              </w:rPr>
              <w:t>20.14%</w:t>
            </w:r>
          </w:p>
        </w:tc>
        <w:tc>
          <w:tcPr>
            <w:tcW w:type="dxa" w:w="1224"/>
          </w:tcPr>
          <w:p>
            <w:pPr>
              <w:spacing w:after="20"/>
              <w:jc w:val="right"/>
            </w:pPr>
            <w:r>
              <w:rPr>
                <w:color w:val="1C3A36"/>
                <w:sz w:val="17"/>
              </w:rPr>
              <w:t>14.32</w:t>
            </w:r>
          </w:p>
        </w:tc>
        <w:tc>
          <w:tcPr>
            <w:tcW w:type="dxa" w:w="1224"/>
          </w:tcPr>
          <w:p>
            <w:pPr>
              <w:spacing w:after="20"/>
              <w:jc w:val="right"/>
            </w:pPr>
            <w:r>
              <w:rPr>
                <w:color w:val="1C3A36"/>
                <w:sz w:val="17"/>
              </w:rPr>
              <w:t>14.60</w:t>
            </w:r>
          </w:p>
        </w:tc>
        <w:tc>
          <w:tcPr>
            <w:tcW w:type="dxa" w:w="1224"/>
          </w:tcPr>
          <w:p>
            <w:pPr>
              <w:spacing w:after="20"/>
              <w:jc w:val="right"/>
            </w:pPr>
            <w:r>
              <w:rPr>
                <w:color w:val="1C3A36"/>
                <w:sz w:val="17"/>
              </w:rPr>
              <w:t>14.92</w:t>
            </w:r>
          </w:p>
        </w:tc>
        <w:tc>
          <w:tcPr>
            <w:tcW w:type="dxa" w:w="1224"/>
          </w:tcPr>
          <w:p>
            <w:pPr>
              <w:spacing w:after="20"/>
              <w:jc w:val="right"/>
            </w:pPr>
            <w:r>
              <w:rPr>
                <w:color w:val="1C3A36"/>
                <w:sz w:val="17"/>
              </w:rPr>
              <w:t>15.28</w:t>
            </w:r>
          </w:p>
        </w:tc>
        <w:tc>
          <w:tcPr>
            <w:tcW w:type="dxa" w:w="1224"/>
          </w:tcPr>
          <w:p>
            <w:pPr>
              <w:spacing w:after="20"/>
              <w:jc w:val="right"/>
            </w:pPr>
            <w:r>
              <w:rPr>
                <w:color w:val="1C3A36"/>
                <w:sz w:val="17"/>
              </w:rPr>
              <w:t>15.70</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17.62</w:t>
            </w:r>
          </w:p>
        </w:tc>
        <w:tc>
          <w:tcPr>
            <w:tcW w:type="dxa" w:w="1512"/>
          </w:tcPr>
          <w:p>
            <w:pPr>
              <w:spacing w:after="20"/>
              <w:jc w:val="right"/>
            </w:pPr>
            <w:r>
              <w:rPr>
                <w:color w:val="1C3A36"/>
                <w:sz w:val="17"/>
              </w:rPr>
              <w:t>23.90</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17.62</w:t>
            </w:r>
          </w:p>
        </w:tc>
        <w:tc>
          <w:tcPr>
            <w:tcW w:type="dxa" w:w="1224"/>
          </w:tcPr>
          <w:p>
            <w:pPr>
              <w:spacing w:after="20"/>
              <w:jc w:val="right"/>
            </w:pPr>
            <w:r>
              <w:rPr>
                <w:color w:val="1C3A36"/>
                <w:sz w:val="17"/>
              </w:rPr>
              <w:t>30.5%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18.39</w:t>
            </w:r>
          </w:p>
        </w:tc>
        <w:tc>
          <w:tcPr>
            <w:tcW w:type="dxa" w:w="1224"/>
          </w:tcPr>
          <w:p>
            <w:pPr>
              <w:spacing w:after="20"/>
              <w:jc w:val="right"/>
            </w:pPr>
            <w:r>
              <w:rPr>
                <w:color w:val="1C3A36"/>
                <w:sz w:val="17"/>
              </w:rPr>
              <w:t>36.2%</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17.82</w:t>
            </w:r>
          </w:p>
        </w:tc>
        <w:tc>
          <w:tcPr>
            <w:tcW w:type="dxa" w:w="1224"/>
          </w:tcPr>
          <w:p>
            <w:pPr>
              <w:spacing w:after="20"/>
              <w:jc w:val="right"/>
            </w:pPr>
            <w:r>
              <w:rPr>
                <w:color w:val="1C3A36"/>
                <w:sz w:val="17"/>
              </w:rPr>
              <w:t>32.0%</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17.91</w:t>
            </w:r>
          </w:p>
        </w:tc>
        <w:tc>
          <w:tcPr>
            <w:tcW w:type="dxa" w:w="1224"/>
          </w:tcPr>
          <w:p>
            <w:pPr>
              <w:spacing w:after="20"/>
              <w:jc w:val="right"/>
            </w:pPr>
            <w:r>
              <w:rPr>
                <w:color w:val="1C3A36"/>
                <w:sz w:val="17"/>
              </w:rPr>
              <w:t>32.6%</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16.45</w:t>
            </w:r>
          </w:p>
        </w:tc>
        <w:tc>
          <w:tcPr>
            <w:tcW w:type="dxa" w:w="1224"/>
          </w:tcPr>
          <w:p>
            <w:pPr>
              <w:spacing w:after="20"/>
              <w:jc w:val="right"/>
            </w:pPr>
            <w:r>
              <w:rPr>
                <w:color w:val="1C3A36"/>
                <w:sz w:val="17"/>
              </w:rPr>
              <w:t>21.9%</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17.62</w:t>
            </w:r>
          </w:p>
        </w:tc>
        <w:tc>
          <w:tcPr>
            <w:tcW w:type="dxa" w:w="1224"/>
          </w:tcPr>
          <w:p>
            <w:pPr>
              <w:spacing w:after="20"/>
              <w:jc w:val="right"/>
            </w:pPr>
            <w:r>
              <w:rPr>
                <w:color w:val="1C3A36"/>
                <w:sz w:val="17"/>
              </w:rPr>
              <w:t>30.5%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19.14</w:t>
            </w:r>
          </w:p>
        </w:tc>
        <w:tc>
          <w:tcPr>
            <w:tcW w:type="dxa" w:w="1224"/>
            <w:shd w:val="clear" w:color="auto" w:fill="F6F1E6"/>
          </w:tcPr>
          <w:p>
            <w:pPr>
              <w:spacing w:after="20"/>
              <w:jc w:val="right"/>
            </w:pPr>
            <w:r>
              <w:rPr>
                <w:b/>
                <w:color w:val="1C3A36"/>
                <w:sz w:val="17"/>
              </w:rPr>
              <w:t>41.8%</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 contested charge at once and the cash-flow lens reaches EGP 19.14, 41.8% above the market price of EGP 13.50.</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Every concession moves the answer further above the price rather than toward it, which is what makes this table adversarial in the direction that matters: the case against this valuation is not that it has been generous.</w:t>
      </w:r>
    </w:p>
    <w:p>
      <w:pPr>
        <w:spacing w:after="120" w:before="0"/>
      </w:pPr>
      <w:r>
        <w:rPr>
          <w:b w:val="0"/>
          <w:i w:val="0"/>
          <w:color w:val="1C3A36"/>
          <w:sz w:val="21"/>
        </w:rPr>
        <w:t>Two further contested choices are computed rather than conceded. On the RATING-BASIS equity risk premium instead of the CDS basis, the cash-flow lens is EGP 13.97;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18.33.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10.58% sustained in EVERY forecast year and in perpetuity, against a base year of 9.65% — that is a REDUCTION of -0.93%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10.58%.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17.62</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0.1%</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17.62  (range 1.67–23.90)</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16.0%</w:t>
            </w:r>
          </w:p>
        </w:tc>
      </w:tr>
      <w:tr>
        <w:tc>
          <w:tcPr>
            <w:tcW w:type="dxa" w:w="6048"/>
          </w:tcPr>
          <w:p>
            <w:pPr>
              <w:spacing w:after="20"/>
            </w:pPr>
            <w:r>
              <w:rPr>
                <w:color w:val="1C3A36"/>
                <w:sz w:val="18"/>
              </w:rPr>
              <w:t>EGP 13.50 (the traded price) to EGP 17.62 (fair value)</w:t>
            </w:r>
          </w:p>
        </w:tc>
        <w:tc>
          <w:tcPr>
            <w:tcW w:type="dxa" w:w="2736"/>
          </w:tcPr>
          <w:p>
            <w:pPr>
              <w:spacing w:after="20"/>
              <w:jc w:val="right"/>
            </w:pPr>
            <w:r>
              <w:rPr>
                <w:color w:val="1C3A36"/>
                <w:sz w:val="18"/>
              </w:rPr>
              <w:t>2.6%</w:t>
            </w:r>
          </w:p>
        </w:tc>
      </w:tr>
      <w:tr>
        <w:tc>
          <w:tcPr>
            <w:tcW w:type="dxa" w:w="6048"/>
          </w:tcPr>
          <w:p>
            <w:pPr>
              <w:spacing w:after="20"/>
            </w:pPr>
            <w:r>
              <w:rPr>
                <w:color w:val="1C3A36"/>
                <w:sz w:val="18"/>
              </w:rPr>
              <w:t>Above EGP 17.62 (fair value)</w:t>
            </w:r>
          </w:p>
        </w:tc>
        <w:tc>
          <w:tcPr>
            <w:tcW w:type="dxa" w:w="2736"/>
          </w:tcPr>
          <w:p>
            <w:pPr>
              <w:spacing w:after="20"/>
              <w:jc w:val="right"/>
            </w:pPr>
            <w:r>
              <w:rPr>
                <w:color w:val="1C3A36"/>
                <w:sz w:val="18"/>
              </w:rPr>
              <w:t>0.7%</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57.4%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17.62 a share against the published EGP 17.62.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21.03 to 14.68,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13.97. On GROSS rather than net debt weights — the construction this study rejects, because it counts the cash pile twice — the lens is EGP 17.62.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2,383</w:t>
            </w:r>
          </w:p>
        </w:tc>
        <w:tc>
          <w:tcPr>
            <w:tcW w:type="dxa" w:w="1296"/>
          </w:tcPr>
          <w:p>
            <w:pPr>
              <w:spacing w:after="20"/>
              <w:jc w:val="right"/>
            </w:pPr>
            <w:r>
              <w:rPr>
                <w:color w:val="1C3A36"/>
                <w:sz w:val="16"/>
              </w:rPr>
              <w:t>2,081</w:t>
            </w:r>
          </w:p>
        </w:tc>
        <w:tc>
          <w:tcPr>
            <w:tcW w:type="dxa" w:w="1296"/>
          </w:tcPr>
          <w:p>
            <w:pPr>
              <w:spacing w:after="20"/>
              <w:jc w:val="right"/>
            </w:pPr>
            <w:r>
              <w:rPr>
                <w:color w:val="1C3A36"/>
                <w:sz w:val="16"/>
              </w:rPr>
              <w:t>1,809</w:t>
            </w:r>
          </w:p>
        </w:tc>
        <w:tc>
          <w:tcPr>
            <w:tcW w:type="dxa" w:w="1296"/>
          </w:tcPr>
          <w:p>
            <w:pPr>
              <w:spacing w:after="20"/>
              <w:jc w:val="right"/>
            </w:pPr>
            <w:r>
              <w:rPr>
                <w:color w:val="1C3A36"/>
                <w:sz w:val="16"/>
              </w:rPr>
              <w:t>1,561</w:t>
            </w:r>
          </w:p>
        </w:tc>
        <w:tc>
          <w:tcPr>
            <w:tcW w:type="dxa" w:w="1296"/>
          </w:tcPr>
          <w:p>
            <w:pPr>
              <w:spacing w:after="20"/>
              <w:jc w:val="right"/>
            </w:pPr>
            <w:r>
              <w:rPr>
                <w:color w:val="1C3A36"/>
                <w:sz w:val="16"/>
              </w:rPr>
              <w:t>1,342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9,176</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10,275</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19,451</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15.06</w:t>
            </w:r>
          </w:p>
        </w:tc>
      </w:tr>
    </w:tbl>
    <w:p>
      <w:pPr>
        <w:spacing w:after="40"/>
      </w:pPr>
    </w:p>
    <w:p>
      <w:pPr>
        <w:spacing w:after="200" w:before="0"/>
      </w:pPr>
      <w:r>
        <w:rPr>
          <w:b w:val="0"/>
          <w:i/>
          <w:color w:val="6E7B77"/>
          <w:sz w:val="17"/>
        </w:rPr>
        <w:t>Table C.2 — Expert 2. Range EGP 0.58 to 19.86. This is the LOWEST of the three at 11.6%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6,681</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10,452</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21,810</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18.43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1,953</w:t>
            </w:r>
          </w:p>
        </w:tc>
        <w:tc>
          <w:tcPr>
            <w:tcW w:type="dxa" w:w="1224"/>
          </w:tcPr>
          <w:p>
            <w:pPr>
              <w:spacing w:after="20"/>
              <w:jc w:val="right"/>
            </w:pPr>
            <w:r>
              <w:rPr>
                <w:color w:val="1C3A36"/>
                <w:sz w:val="17"/>
              </w:rPr>
              <w:t>2,349</w:t>
            </w:r>
          </w:p>
        </w:tc>
        <w:tc>
          <w:tcPr>
            <w:tcW w:type="dxa" w:w="1224"/>
          </w:tcPr>
          <w:p>
            <w:pPr>
              <w:spacing w:after="20"/>
              <w:jc w:val="right"/>
            </w:pPr>
            <w:r>
              <w:rPr>
                <w:color w:val="1C3A36"/>
                <w:sz w:val="17"/>
              </w:rPr>
              <w:t>2,560</w:t>
            </w:r>
          </w:p>
        </w:tc>
        <w:tc>
          <w:tcPr>
            <w:tcW w:type="dxa" w:w="1224"/>
          </w:tcPr>
          <w:p>
            <w:pPr>
              <w:spacing w:after="20"/>
              <w:jc w:val="right"/>
            </w:pPr>
            <w:r>
              <w:rPr>
                <w:color w:val="1C3A36"/>
                <w:sz w:val="17"/>
              </w:rPr>
              <w:t>2,723</w:t>
            </w:r>
          </w:p>
        </w:tc>
        <w:tc>
          <w:tcPr>
            <w:tcW w:type="dxa" w:w="1224"/>
          </w:tcPr>
          <w:p>
            <w:pPr>
              <w:spacing w:after="20"/>
              <w:jc w:val="right"/>
            </w:pPr>
            <w:r>
              <w:rPr>
                <w:color w:val="1C3A36"/>
                <w:sz w:val="17"/>
              </w:rPr>
              <w:t>2,856</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35.71%</w:t>
            </w:r>
          </w:p>
        </w:tc>
        <w:tc>
          <w:tcPr>
            <w:tcW w:type="dxa" w:w="1224"/>
          </w:tcPr>
          <w:p>
            <w:pPr>
              <w:spacing w:after="20"/>
              <w:jc w:val="right"/>
            </w:pPr>
            <w:r>
              <w:rPr>
                <w:color w:val="1C3A36"/>
                <w:sz w:val="17"/>
              </w:rPr>
              <w:t>41.25%</w:t>
            </w:r>
          </w:p>
        </w:tc>
        <w:tc>
          <w:tcPr>
            <w:tcW w:type="dxa" w:w="1224"/>
          </w:tcPr>
          <w:p>
            <w:pPr>
              <w:spacing w:after="20"/>
              <w:jc w:val="right"/>
            </w:pPr>
            <w:r>
              <w:rPr>
                <w:color w:val="1C3A36"/>
                <w:sz w:val="17"/>
              </w:rPr>
              <w:t>43.29%</w:t>
            </w:r>
          </w:p>
        </w:tc>
        <w:tc>
          <w:tcPr>
            <w:tcW w:type="dxa" w:w="1224"/>
          </w:tcPr>
          <w:p>
            <w:pPr>
              <w:spacing w:after="20"/>
              <w:jc w:val="right"/>
            </w:pPr>
            <w:r>
              <w:rPr>
                <w:color w:val="1C3A36"/>
                <w:sz w:val="17"/>
              </w:rPr>
              <w:t>44.48%</w:t>
            </w:r>
          </w:p>
        </w:tc>
        <w:tc>
          <w:tcPr>
            <w:tcW w:type="dxa" w:w="1224"/>
          </w:tcPr>
          <w:p>
            <w:pPr>
              <w:spacing w:after="20"/>
              <w:jc w:val="right"/>
            </w:pPr>
            <w:r>
              <w:rPr>
                <w:color w:val="1C3A36"/>
                <w:sz w:val="17"/>
              </w:rPr>
              <w:t>45.02%</w:t>
            </w:r>
          </w:p>
        </w:tc>
      </w:tr>
    </w:tbl>
    <w:p>
      <w:pPr>
        <w:spacing w:after="40"/>
      </w:pPr>
    </w:p>
    <w:p>
      <w:pPr>
        <w:spacing w:after="200" w:before="0"/>
      </w:pPr>
      <w:r>
        <w:rPr>
          <w:b w:val="0"/>
          <w:i/>
          <w:color w:val="6E7B77"/>
          <w:sz w:val="17"/>
        </w:rPr>
        <w:t>Table C.3 — Expert 3. Range EGP 0.88 to 24.62.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11.87,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52.8%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57.4%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21.4% of its enterprise value is capital already in the ground and 47.9%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15.06 and EGP 21.26, a spread of 41.1% of the lower number, with a median of EGP 18.43 against a market price of EGP 13.50 — 36.5%. One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45.0%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11.87 to EGP 18.43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6.20</w:t>
            </w:r>
          </w:p>
        </w:tc>
        <w:tc>
          <w:tcPr>
            <w:tcW w:type="dxa" w:w="792"/>
          </w:tcPr>
          <w:p>
            <w:pPr>
              <w:spacing w:after="20"/>
              <w:jc w:val="right"/>
            </w:pPr>
            <w:r>
              <w:rPr>
                <w:color w:val="1C3A36"/>
                <w:sz w:val="16"/>
              </w:rPr>
              <w:t>41.1%</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3.19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2.83</w:t>
            </w:r>
          </w:p>
        </w:tc>
        <w:tc>
          <w:tcPr>
            <w:tcW w:type="dxa" w:w="792"/>
          </w:tcPr>
          <w:p>
            <w:pPr>
              <w:spacing w:after="20"/>
              <w:jc w:val="right"/>
            </w:pPr>
            <w:r>
              <w:rPr>
                <w:color w:val="1C3A36"/>
                <w:sz w:val="16"/>
              </w:rPr>
              <w:t>15.4%</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6.55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3.37</w:t>
            </w:r>
          </w:p>
        </w:tc>
        <w:tc>
          <w:tcPr>
            <w:tcW w:type="dxa" w:w="792"/>
          </w:tcPr>
          <w:p>
            <w:pPr>
              <w:spacing w:after="20"/>
              <w:jc w:val="right"/>
            </w:pPr>
            <w:r>
              <w:rPr>
                <w:color w:val="1C3A36"/>
                <w:sz w:val="16"/>
              </w:rPr>
              <w:t>22.4%</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+0.72</w:t>
            </w:r>
          </w:p>
        </w:tc>
        <w:tc>
          <w:tcPr>
            <w:tcW w:type="dxa" w:w="2664"/>
          </w:tcPr>
          <w:p>
            <w:pPr>
              <w:spacing w:after="20"/>
            </w:pPr>
            <w:r>
              <w:rPr>
                <w:color w:val="1C3A36"/>
                <w:sz w:val="16"/>
              </w:rPr>
              <w:t>0.32</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0.81</w:t>
            </w:r>
          </w:p>
        </w:tc>
        <w:tc>
          <w:tcPr>
            <w:tcW w:type="dxa" w:w="792"/>
          </w:tcPr>
          <w:p>
            <w:pPr>
              <w:spacing w:after="20"/>
              <w:jc w:val="right"/>
            </w:pPr>
            <w:r>
              <w:rPr>
                <w:color w:val="1C3A36"/>
                <w:sz w:val="16"/>
              </w:rPr>
              <w:t>4.6%</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15.78 — so the price of time is worth only EGP 0.72 of a 3.37 gap, about 21%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15.06</w:t>
            </w:r>
          </w:p>
        </w:tc>
        <w:tc>
          <w:tcPr>
            <w:tcW w:type="dxa" w:w="1728"/>
          </w:tcPr>
          <w:p>
            <w:pPr>
              <w:spacing w:after="20"/>
              <w:jc w:val="right"/>
            </w:pPr>
            <w:r>
              <w:rPr>
                <w:color w:val="1C3A36"/>
                <w:sz w:val="17"/>
              </w:rPr>
              <w:t>0.58–19.86</w:t>
            </w:r>
          </w:p>
        </w:tc>
        <w:tc>
          <w:tcPr>
            <w:tcW w:type="dxa" w:w="1296"/>
          </w:tcPr>
          <w:p>
            <w:pPr>
              <w:spacing w:after="20"/>
              <w:jc w:val="right"/>
            </w:pPr>
            <w:r>
              <w:rPr>
                <w:color w:val="1C3A36"/>
                <w:sz w:val="17"/>
              </w:rPr>
              <w:t>11.6%</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18.43</w:t>
            </w:r>
          </w:p>
        </w:tc>
        <w:tc>
          <w:tcPr>
            <w:tcW w:type="dxa" w:w="1728"/>
          </w:tcPr>
          <w:p>
            <w:pPr>
              <w:spacing w:after="20"/>
              <w:jc w:val="right"/>
            </w:pPr>
            <w:r>
              <w:rPr>
                <w:color w:val="1C3A36"/>
                <w:sz w:val="17"/>
              </w:rPr>
              <w:t>0.88–24.62</w:t>
            </w:r>
          </w:p>
        </w:tc>
        <w:tc>
          <w:tcPr>
            <w:tcW w:type="dxa" w:w="1296"/>
          </w:tcPr>
          <w:p>
            <w:pPr>
              <w:spacing w:after="20"/>
              <w:jc w:val="right"/>
            </w:pPr>
            <w:r>
              <w:rPr>
                <w:color w:val="1C3A36"/>
                <w:sz w:val="17"/>
              </w:rPr>
              <w:t>36.5%</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18.43</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