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4112"/>
      </w:tblGrid>
      <w:tr>
        <w:tc>
          <w:tcPr>
            <w:tcW w:type="dxa" w:w="14112"/>
            <w:shd w:val="clear" w:color="auto" w:fill="1C3A36"/>
          </w:tcPr>
          <w:p>
            <w:r>
              <w:rPr>
                <w:b/>
                <w:color w:val="FFFFFF"/>
                <w:sz w:val="24"/>
              </w:rPr>
              <w:t>Testahil · Bibliography and source register</w:t>
            </w:r>
            <w:r>
              <w:rPr>
                <w:color w:val="9FB0AC"/>
                <w:sz w:val="20"/>
              </w:rPr>
              <w:t xml:space="preserve">   Egyptian Chemical Industries (KIMA), EGX: EGCH — 8 August 2026</w:t>
            </w:r>
          </w:p>
        </w:tc>
      </w:tr>
    </w:tbl>
    <w:p>
      <w:pPr>
        <w:spacing w:after="0"/>
      </w:pPr>
    </w:p>
    <w:p>
      <w:pPr>
        <w:spacing w:after="100" w:before="0"/>
      </w:pPr>
      <w:r>
        <w:rPr>
          <w:b w:val="0"/>
          <w:i w:val="0"/>
          <w:color w:val="1C3A36"/>
          <w:sz w:val="20"/>
        </w:rPr>
        <w:t>This register lists every source behind the valuation study and the accompanying workbook. It separates the company's own issued documents, which are the only permitted source for anything the company itself reports, from external material used for market context and forecast drivers, and from cross-checks that inform no figure.</w:t>
      </w:r>
    </w:p>
    <w:p>
      <w:pPr>
        <w:spacing w:after="100" w:before="240"/>
      </w:pPr>
      <w:r>
        <w:rPr>
          <w:b/>
          <w:i w:val="0"/>
          <w:color w:val="1C3A36"/>
          <w:sz w:val="28"/>
        </w:rPr>
        <w:t>1.  The company's own issued documents</w:t>
      </w:r>
    </w:p>
    <w:p>
      <w:pPr>
        <w:spacing w:after="100" w:before="0"/>
      </w:pPr>
      <w:r>
        <w:rPr>
          <w:b w:val="0"/>
          <w:i w:val="0"/>
          <w:color w:val="6E7B77"/>
          <w:sz w:val="18"/>
        </w:rPr>
        <w:t>Obtained from the company's investor-relations page at kimaegypt.com, which serves its filings through the Mist investor-relations portal. Every document was downloaded, opened and read; all are scanned images, so each figure was read from the statement itself and crossfooted against its own subtotals.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2160"/>
        <w:gridCol w:w="1224"/>
        <w:gridCol w:w="2736"/>
        <w:gridCol w:w="1080"/>
        <w:gridCol w:w="4752"/>
      </w:tblGrid>
      <w:tr>
        <w:tc>
          <w:tcPr>
            <w:tcW w:type="dxa" w:w="2160"/>
            <w:shd w:val="clear" w:color="auto" w:fill="EAF0EE"/>
          </w:tcPr>
          <w:p>
            <w:pPr>
              <w:spacing w:after="20"/>
              <w:jc w:val="left"/>
            </w:pPr>
            <w:r>
              <w:rPr>
                <w:b/>
                <w:color w:val="1C3A36"/>
                <w:sz w:val="16"/>
              </w:rPr>
              <w:t>Document</w:t>
            </w:r>
          </w:p>
        </w:tc>
        <w:tc>
          <w:tcPr>
            <w:tcW w:type="dxa" w:w="2160"/>
            <w:shd w:val="clear" w:color="auto" w:fill="EAF0EE"/>
          </w:tcPr>
          <w:p>
            <w:pPr>
              <w:spacing w:after="20"/>
              <w:jc w:val="left"/>
            </w:pPr>
            <w:r>
              <w:rPr>
                <w:b/>
                <w:color w:val="1C3A36"/>
                <w:sz w:val="16"/>
              </w:rPr>
              <w:t>Period</w:t>
            </w:r>
          </w:p>
        </w:tc>
        <w:tc>
          <w:tcPr>
            <w:tcW w:type="dxa" w:w="1224"/>
            <w:shd w:val="clear" w:color="auto" w:fill="EAF0EE"/>
          </w:tcPr>
          <w:p>
            <w:pPr>
              <w:spacing w:after="20"/>
              <w:jc w:val="left"/>
            </w:pPr>
            <w:r>
              <w:rPr>
                <w:b/>
                <w:color w:val="1C3A36"/>
                <w:sz w:val="16"/>
              </w:rPr>
              <w:t>Report date</w:t>
            </w:r>
          </w:p>
        </w:tc>
        <w:tc>
          <w:tcPr>
            <w:tcW w:type="dxa" w:w="2736"/>
            <w:shd w:val="clear" w:color="auto" w:fill="EAF0EE"/>
          </w:tcPr>
          <w:p>
            <w:pPr>
              <w:spacing w:after="20"/>
              <w:jc w:val="left"/>
            </w:pPr>
            <w:r>
              <w:rPr>
                <w:b/>
                <w:color w:val="1C3A36"/>
                <w:sz w:val="16"/>
              </w:rPr>
              <w:t>Auditor</w:t>
            </w:r>
          </w:p>
        </w:tc>
        <w:tc>
          <w:tcPr>
            <w:tcW w:type="dxa" w:w="1080"/>
            <w:shd w:val="clear" w:color="auto" w:fill="EAF0EE"/>
          </w:tcPr>
          <w:p>
            <w:pPr>
              <w:spacing w:after="20"/>
              <w:jc w:val="left"/>
            </w:pPr>
            <w:r>
              <w:rPr>
                <w:b/>
                <w:color w:val="1C3A36"/>
                <w:sz w:val="16"/>
              </w:rPr>
              <w:t>Retrieved</w:t>
            </w:r>
          </w:p>
        </w:tc>
        <w:tc>
          <w:tcPr>
            <w:tcW w:type="dxa" w:w="4752"/>
            <w:shd w:val="clear" w:color="auto" w:fill="EAF0EE"/>
          </w:tcPr>
          <w:p>
            <w:pPr>
              <w:spacing w:after="20"/>
              <w:jc w:val="left"/>
            </w:pPr>
            <w:r>
              <w:rPr>
                <w:b/>
                <w:color w:val="1C3A36"/>
                <w:sz w:val="16"/>
              </w:rPr>
              <w:t>What it sources</w:t>
            </w:r>
          </w:p>
        </w:tc>
      </w:tr>
      <w:tr>
        <w:tc>
          <w:tcPr>
            <w:tcW w:type="dxa" w:w="2160"/>
          </w:tcPr>
          <w:p>
            <w:pPr>
              <w:spacing w:after="20"/>
              <w:jc w:val="left"/>
            </w:pPr>
            <w:r>
              <w:rPr>
                <w:color w:val="1C3A36"/>
                <w:sz w:val="16"/>
              </w:rPr>
              <w:t>Audited financial statements</w:t>
            </w:r>
          </w:p>
        </w:tc>
        <w:tc>
          <w:tcPr>
            <w:tcW w:type="dxa" w:w="2160"/>
          </w:tcPr>
          <w:p>
            <w:pPr>
              <w:spacing w:after="20"/>
              <w:jc w:val="left"/>
            </w:pPr>
            <w:r>
              <w:rPr>
                <w:color w:val="1C3A36"/>
                <w:sz w:val="16"/>
              </w:rPr>
              <w:t>Year to 30 June 2022 (as comparatives)</w:t>
            </w:r>
          </w:p>
        </w:tc>
        <w:tc>
          <w:tcPr>
            <w:tcW w:type="dxa" w:w="1224"/>
          </w:tcPr>
          <w:p>
            <w:pPr>
              <w:spacing w:after="20"/>
              <w:jc w:val="left"/>
            </w:pPr>
            <w:r>
              <w:rPr>
                <w:color w:val="1C3A36"/>
                <w:sz w:val="16"/>
              </w:rPr>
              <w:t>8 Oct 2023</w:t>
            </w:r>
          </w:p>
        </w:tc>
        <w:tc>
          <w:tcPr>
            <w:tcW w:type="dxa" w:w="2736"/>
          </w:tcPr>
          <w:p>
            <w:pPr>
              <w:spacing w:after="20"/>
              <w:jc w:val="left"/>
            </w:pPr>
            <w:r>
              <w:rPr>
                <w:color w:val="1C3A36"/>
                <w:sz w:val="16"/>
              </w:rPr>
              <w:t>Central Auditing Organization; PKF Rashed Badr &amp; Co</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Opening income statement and balance sheet of the four-year history</w:t>
            </w:r>
          </w:p>
        </w:tc>
      </w:tr>
      <w:tr>
        <w:tc>
          <w:tcPr>
            <w:tcW w:type="dxa" w:w="2160"/>
          </w:tcPr>
          <w:p>
            <w:pPr>
              <w:spacing w:after="20"/>
              <w:jc w:val="left"/>
            </w:pPr>
            <w:r>
              <w:rPr>
                <w:color w:val="1C3A36"/>
                <w:sz w:val="16"/>
              </w:rPr>
              <w:t>Audited financial statements</w:t>
            </w:r>
          </w:p>
        </w:tc>
        <w:tc>
          <w:tcPr>
            <w:tcW w:type="dxa" w:w="2160"/>
          </w:tcPr>
          <w:p>
            <w:pPr>
              <w:spacing w:after="20"/>
              <w:jc w:val="left"/>
            </w:pPr>
            <w:r>
              <w:rPr>
                <w:color w:val="1C3A36"/>
                <w:sz w:val="16"/>
              </w:rPr>
              <w:t>Year to 30 June 2023</w:t>
            </w:r>
          </w:p>
        </w:tc>
        <w:tc>
          <w:tcPr>
            <w:tcW w:type="dxa" w:w="1224"/>
          </w:tcPr>
          <w:p>
            <w:pPr>
              <w:spacing w:after="20"/>
              <w:jc w:val="left"/>
            </w:pPr>
            <w:r>
              <w:rPr>
                <w:color w:val="1C3A36"/>
                <w:sz w:val="16"/>
              </w:rPr>
              <w:t>8 Oct 2023</w:t>
            </w:r>
          </w:p>
        </w:tc>
        <w:tc>
          <w:tcPr>
            <w:tcW w:type="dxa" w:w="2736"/>
          </w:tcPr>
          <w:p>
            <w:pPr>
              <w:spacing w:after="20"/>
              <w:jc w:val="left"/>
            </w:pPr>
            <w:r>
              <w:rPr>
                <w:color w:val="1C3A36"/>
                <w:sz w:val="16"/>
              </w:rPr>
              <w:t>Central Auditing Organization; PKF Rashed Badr &amp; Co</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Peak-utilisation reference year; cost-of-sales and selling-cost notes</w:t>
            </w:r>
          </w:p>
        </w:tc>
      </w:tr>
      <w:tr>
        <w:tc>
          <w:tcPr>
            <w:tcW w:type="dxa" w:w="2160"/>
          </w:tcPr>
          <w:p>
            <w:pPr>
              <w:spacing w:after="20"/>
              <w:jc w:val="left"/>
            </w:pPr>
            <w:r>
              <w:rPr>
                <w:color w:val="1C3A36"/>
                <w:sz w:val="16"/>
              </w:rPr>
              <w:t>Audited financial statements</w:t>
            </w:r>
          </w:p>
        </w:tc>
        <w:tc>
          <w:tcPr>
            <w:tcW w:type="dxa" w:w="2160"/>
          </w:tcPr>
          <w:p>
            <w:pPr>
              <w:spacing w:after="20"/>
              <w:jc w:val="left"/>
            </w:pPr>
            <w:r>
              <w:rPr>
                <w:color w:val="1C3A36"/>
                <w:sz w:val="16"/>
              </w:rPr>
              <w:t>Year to 30 June 2024</w:t>
            </w:r>
          </w:p>
        </w:tc>
        <w:tc>
          <w:tcPr>
            <w:tcW w:type="dxa" w:w="1224"/>
          </w:tcPr>
          <w:p>
            <w:pPr>
              <w:spacing w:after="20"/>
              <w:jc w:val="left"/>
            </w:pPr>
            <w:r>
              <w:rPr>
                <w:color w:val="1C3A36"/>
                <w:sz w:val="16"/>
              </w:rPr>
              <w:t>23 Oct 2024</w:t>
            </w:r>
          </w:p>
        </w:tc>
        <w:tc>
          <w:tcPr>
            <w:tcW w:type="dxa" w:w="2736"/>
          </w:tcPr>
          <w:p>
            <w:pPr>
              <w:spacing w:after="20"/>
              <w:jc w:val="left"/>
            </w:pPr>
            <w:r>
              <w:rPr>
                <w:color w:val="1C3A36"/>
                <w:sz w:val="16"/>
              </w:rPr>
              <w:t>Central Auditing Organization</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Trough-utilisation year; the one-off investment-property revaluation gain; the repayment of the pound tranche of the project loan</w:t>
            </w:r>
          </w:p>
        </w:tc>
      </w:tr>
      <w:tr>
        <w:tc>
          <w:tcPr>
            <w:tcW w:type="dxa" w:w="2160"/>
          </w:tcPr>
          <w:p>
            <w:pPr>
              <w:spacing w:after="20"/>
              <w:jc w:val="left"/>
            </w:pPr>
            <w:r>
              <w:rPr>
                <w:color w:val="1C3A36"/>
                <w:sz w:val="16"/>
              </w:rPr>
              <w:t>Audited financial statements</w:t>
            </w:r>
          </w:p>
        </w:tc>
        <w:tc>
          <w:tcPr>
            <w:tcW w:type="dxa" w:w="2160"/>
          </w:tcPr>
          <w:p>
            <w:pPr>
              <w:spacing w:after="20"/>
              <w:jc w:val="left"/>
            </w:pPr>
            <w:r>
              <w:rPr>
                <w:color w:val="1C3A36"/>
                <w:sz w:val="16"/>
              </w:rPr>
              <w:t>Year to 30 June 2025</w:t>
            </w:r>
          </w:p>
        </w:tc>
        <w:tc>
          <w:tcPr>
            <w:tcW w:type="dxa" w:w="1224"/>
          </w:tcPr>
          <w:p>
            <w:pPr>
              <w:spacing w:after="20"/>
              <w:jc w:val="left"/>
            </w:pPr>
            <w:r>
              <w:rPr>
                <w:color w:val="1C3A36"/>
                <w:sz w:val="16"/>
              </w:rPr>
              <w:t>23 Sep 2025</w:t>
            </w:r>
          </w:p>
        </w:tc>
        <w:tc>
          <w:tcPr>
            <w:tcW w:type="dxa" w:w="2736"/>
          </w:tcPr>
          <w:p>
            <w:pPr>
              <w:spacing w:after="20"/>
              <w:jc w:val="left"/>
            </w:pPr>
            <w:r>
              <w:rPr>
                <w:color w:val="1C3A36"/>
                <w:sz w:val="16"/>
              </w:rPr>
              <w:t>Central Auditing Organization</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The anchor year: note 20 revenue split, the auditor's production and unit-cost table, note 21 cost of sales, note 22 selling cost, note 18 loans, note 14 share capital, note 28 gas price and capacity plates, the appropriation statement</w:t>
            </w:r>
          </w:p>
        </w:tc>
      </w:tr>
      <w:tr>
        <w:tc>
          <w:tcPr>
            <w:tcW w:type="dxa" w:w="2160"/>
          </w:tcPr>
          <w:p>
            <w:pPr>
              <w:spacing w:after="20"/>
              <w:jc w:val="left"/>
            </w:pPr>
            <w:r>
              <w:rPr>
                <w:color w:val="1C3A36"/>
                <w:sz w:val="16"/>
              </w:rPr>
              <w:t>Interim statements, limited review</w:t>
            </w:r>
          </w:p>
        </w:tc>
        <w:tc>
          <w:tcPr>
            <w:tcW w:type="dxa" w:w="2160"/>
          </w:tcPr>
          <w:p>
            <w:pPr>
              <w:spacing w:after="20"/>
              <w:jc w:val="left"/>
            </w:pPr>
            <w:r>
              <w:rPr>
                <w:color w:val="1C3A36"/>
                <w:sz w:val="16"/>
              </w:rPr>
              <w:t>Three months to 30 September 2025</w:t>
            </w:r>
          </w:p>
        </w:tc>
        <w:tc>
          <w:tcPr>
            <w:tcW w:type="dxa" w:w="1224"/>
          </w:tcPr>
          <w:p>
            <w:pPr>
              <w:spacing w:after="20"/>
              <w:jc w:val="left"/>
            </w:pPr>
            <w:r>
              <w:rPr>
                <w:color w:val="1C3A36"/>
                <w:sz w:val="16"/>
              </w:rPr>
              <w:t>13 Nov 2025</w:t>
            </w:r>
          </w:p>
        </w:tc>
        <w:tc>
          <w:tcPr>
            <w:tcW w:type="dxa" w:w="2736"/>
          </w:tcPr>
          <w:p>
            <w:pPr>
              <w:spacing w:after="20"/>
              <w:jc w:val="left"/>
            </w:pPr>
            <w:r>
              <w:rPr>
                <w:color w:val="1C3A36"/>
                <w:sz w:val="16"/>
              </w:rPr>
              <w:t>Central Auditing Organization; Nasr Abou El Abbas &amp; Co (Morison Global)</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Export volume and price movement; the gas-loss quantification and its unit valuation</w:t>
            </w:r>
          </w:p>
        </w:tc>
      </w:tr>
      <w:tr>
        <w:tc>
          <w:tcPr>
            <w:tcW w:type="dxa" w:w="2160"/>
          </w:tcPr>
          <w:p>
            <w:pPr>
              <w:spacing w:after="20"/>
              <w:jc w:val="left"/>
            </w:pPr>
            <w:r>
              <w:rPr>
                <w:color w:val="1C3A36"/>
                <w:sz w:val="16"/>
              </w:rPr>
              <w:t>Interim statements, limited review</w:t>
            </w:r>
          </w:p>
        </w:tc>
        <w:tc>
          <w:tcPr>
            <w:tcW w:type="dxa" w:w="2160"/>
          </w:tcPr>
          <w:p>
            <w:pPr>
              <w:spacing w:after="20"/>
              <w:jc w:val="left"/>
            </w:pPr>
            <w:r>
              <w:rPr>
                <w:color w:val="1C3A36"/>
                <w:sz w:val="16"/>
              </w:rPr>
              <w:t>Six months to 31 December 2025</w:t>
            </w:r>
          </w:p>
        </w:tc>
        <w:tc>
          <w:tcPr>
            <w:tcW w:type="dxa" w:w="1224"/>
          </w:tcPr>
          <w:p>
            <w:pPr>
              <w:spacing w:after="20"/>
              <w:jc w:val="left"/>
            </w:pPr>
            <w:r>
              <w:rPr>
                <w:color w:val="1C3A36"/>
                <w:sz w:val="16"/>
              </w:rPr>
              <w:t>10 Feb 2026</w:t>
            </w:r>
          </w:p>
        </w:tc>
        <w:tc>
          <w:tcPr>
            <w:tcW w:type="dxa" w:w="2736"/>
          </w:tcPr>
          <w:p>
            <w:pPr>
              <w:spacing w:after="20"/>
              <w:jc w:val="left"/>
            </w:pPr>
            <w:r>
              <w:rPr>
                <w:color w:val="1C3A36"/>
                <w:sz w:val="16"/>
              </w:rPr>
              <w:t>Central Auditing Organization; Nasr Abou El Abbas &amp; Co (Morison Global)</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Margin confirmation; the partial disposal of the listed stake</w:t>
            </w:r>
          </w:p>
        </w:tc>
      </w:tr>
      <w:tr>
        <w:tc>
          <w:tcPr>
            <w:tcW w:type="dxa" w:w="2160"/>
          </w:tcPr>
          <w:p>
            <w:pPr>
              <w:spacing w:after="20"/>
              <w:jc w:val="left"/>
            </w:pPr>
            <w:r>
              <w:rPr>
                <w:color w:val="1C3A36"/>
                <w:sz w:val="16"/>
              </w:rPr>
              <w:t>Interim statements, limited review</w:t>
            </w:r>
          </w:p>
        </w:tc>
        <w:tc>
          <w:tcPr>
            <w:tcW w:type="dxa" w:w="2160"/>
          </w:tcPr>
          <w:p>
            <w:pPr>
              <w:spacing w:after="20"/>
              <w:jc w:val="left"/>
            </w:pPr>
            <w:r>
              <w:rPr>
                <w:color w:val="1C3A36"/>
                <w:sz w:val="16"/>
              </w:rPr>
              <w:t>Nine months to 31 March 2026</w:t>
            </w:r>
          </w:p>
        </w:tc>
        <w:tc>
          <w:tcPr>
            <w:tcW w:type="dxa" w:w="1224"/>
          </w:tcPr>
          <w:p>
            <w:pPr>
              <w:spacing w:after="20"/>
              <w:jc w:val="left"/>
            </w:pPr>
            <w:r>
              <w:rPr>
                <w:color w:val="1C3A36"/>
                <w:sz w:val="16"/>
              </w:rPr>
              <w:t>20 May 2026</w:t>
            </w:r>
          </w:p>
        </w:tc>
        <w:tc>
          <w:tcPr>
            <w:tcW w:type="dxa" w:w="2736"/>
          </w:tcPr>
          <w:p>
            <w:pPr>
              <w:spacing w:after="20"/>
              <w:jc w:val="left"/>
            </w:pPr>
            <w:r>
              <w:rPr>
                <w:color w:val="1C3A36"/>
                <w:sz w:val="16"/>
              </w:rPr>
              <w:t>Central Auditing Organization; Nasr Abou El Abbas &amp; Co (Morison Global)</w:t>
            </w:r>
          </w:p>
        </w:tc>
        <w:tc>
          <w:tcPr>
            <w:tcW w:type="dxa" w:w="1080"/>
          </w:tcPr>
          <w:p>
            <w:pPr>
              <w:spacing w:after="20"/>
              <w:jc w:val="left"/>
            </w:pPr>
            <w:r>
              <w:rPr>
                <w:color w:val="1C3A36"/>
                <w:sz w:val="16"/>
              </w:rPr>
              <w:t>8 Aug 2026</w:t>
            </w:r>
          </w:p>
        </w:tc>
        <w:tc>
          <w:tcPr>
            <w:tcW w:type="dxa" w:w="4752"/>
          </w:tcPr>
          <w:p>
            <w:pPr>
              <w:spacing w:after="20"/>
              <w:jc w:val="left"/>
            </w:pPr>
            <w:r>
              <w:rPr>
                <w:color w:val="1C3A36"/>
                <w:sz w:val="16"/>
              </w:rPr>
              <w:t>The balance sheet used in the equity bridge; the company's own budget column; the translation loss on the dollar debt</w:t>
            </w:r>
          </w:p>
        </w:tc>
      </w:tr>
    </w:tbl>
    <w:p>
      <w:pPr>
        <w:spacing w:after="40"/>
      </w:pPr>
    </w:p>
    <w:p>
      <w:pPr>
        <w:spacing w:after="100" w:before="0"/>
      </w:pPr>
      <w:r>
        <w:rPr>
          <w:b w:val="0"/>
          <w:i w:val="0"/>
          <w:color w:val="6E7B77"/>
          <w:sz w:val="18"/>
        </w:rPr>
        <w:t>Also indexed on the same portal but not used: annual statements for 2009 to 2021, and quarterly board and shareholder-structure disclosure reports through 30 June 2026. The portal's audit-reports section holds only audit-committee reports and its newest item covers the period to 31 December 2021; the statutory auditor's reports for the years used here are bound inside the annual statements above.</w:t>
      </w:r>
    </w:p>
    <w:p>
      <w:pPr>
        <w:spacing w:after="100" w:before="240"/>
      </w:pPr>
      <w:r>
        <w:rPr>
          <w:b/>
          <w:i w:val="0"/>
          <w:color w:val="1C3A36"/>
          <w:sz w:val="28"/>
        </w:rPr>
        <w:t>2.  Market data, sovereign data and macroeconomic series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2232"/>
        <w:gridCol w:w="1224"/>
        <w:gridCol w:w="3384"/>
        <w:gridCol w:w="4608"/>
      </w:tblGrid>
      <w:tr>
        <w:tc>
          <w:tcPr>
            <w:tcW w:type="dxa" w:w="2664"/>
            <w:shd w:val="clear" w:color="auto" w:fill="EAF0EE"/>
          </w:tcPr>
          <w:p>
            <w:pPr>
              <w:spacing w:after="20"/>
              <w:jc w:val="left"/>
            </w:pPr>
            <w:r>
              <w:rPr>
                <w:b/>
                <w:color w:val="1C3A36"/>
                <w:sz w:val="16"/>
              </w:rPr>
              <w:t>Item</w:t>
            </w:r>
          </w:p>
        </w:tc>
        <w:tc>
          <w:tcPr>
            <w:tcW w:type="dxa" w:w="2232"/>
            <w:shd w:val="clear" w:color="auto" w:fill="EAF0EE"/>
          </w:tcPr>
          <w:p>
            <w:pPr>
              <w:spacing w:after="20"/>
              <w:jc w:val="left"/>
            </w:pPr>
            <w:r>
              <w:rPr>
                <w:b/>
                <w:color w:val="1C3A36"/>
                <w:sz w:val="16"/>
              </w:rPr>
              <w:t>Value used</w:t>
            </w:r>
          </w:p>
        </w:tc>
        <w:tc>
          <w:tcPr>
            <w:tcW w:type="dxa" w:w="1224"/>
            <w:shd w:val="clear" w:color="auto" w:fill="EAF0EE"/>
          </w:tcPr>
          <w:p>
            <w:pPr>
              <w:spacing w:after="20"/>
              <w:jc w:val="left"/>
            </w:pPr>
            <w:r>
              <w:rPr>
                <w:b/>
                <w:color w:val="1C3A36"/>
                <w:sz w:val="16"/>
              </w:rPr>
              <w:t>As of</w:t>
            </w:r>
          </w:p>
        </w:tc>
        <w:tc>
          <w:tcPr>
            <w:tcW w:type="dxa" w:w="3384"/>
            <w:shd w:val="clear" w:color="auto" w:fill="EAF0EE"/>
          </w:tcPr>
          <w:p>
            <w:pPr>
              <w:spacing w:after="20"/>
              <w:jc w:val="left"/>
            </w:pPr>
            <w:r>
              <w:rPr>
                <w:b/>
                <w:color w:val="1C3A36"/>
                <w:sz w:val="16"/>
              </w:rPr>
              <w:t>Source</w:t>
            </w:r>
          </w:p>
        </w:tc>
        <w:tc>
          <w:tcPr>
            <w:tcW w:type="dxa" w:w="4608"/>
            <w:shd w:val="clear" w:color="auto" w:fill="EAF0EE"/>
          </w:tcPr>
          <w:p>
            <w:pPr>
              <w:spacing w:after="20"/>
              <w:jc w:val="left"/>
            </w:pPr>
            <w:r>
              <w:rPr>
                <w:b/>
                <w:color w:val="1C3A36"/>
                <w:sz w:val="16"/>
              </w:rPr>
              <w:t>Where it is used</w:t>
            </w:r>
          </w:p>
        </w:tc>
      </w:tr>
      <w:tr>
        <w:tc>
          <w:tcPr>
            <w:tcW w:type="dxa" w:w="2664"/>
          </w:tcPr>
          <w:p>
            <w:pPr>
              <w:spacing w:after="20"/>
              <w:jc w:val="left"/>
            </w:pPr>
            <w:r>
              <w:rPr>
                <w:color w:val="1C3A36"/>
                <w:sz w:val="16"/>
              </w:rPr>
              <w:t>Share price</w:t>
            </w:r>
          </w:p>
        </w:tc>
        <w:tc>
          <w:tcPr>
            <w:tcW w:type="dxa" w:w="2232"/>
          </w:tcPr>
          <w:p>
            <w:pPr>
              <w:spacing w:after="20"/>
              <w:jc w:val="left"/>
            </w:pPr>
            <w:r>
              <w:rPr>
                <w:color w:val="1C3A36"/>
                <w:sz w:val="16"/>
              </w:rPr>
              <w:t>EGP 13.98</w:t>
            </w:r>
          </w:p>
        </w:tc>
        <w:tc>
          <w:tcPr>
            <w:tcW w:type="dxa" w:w="1224"/>
          </w:tcPr>
          <w:p>
            <w:pPr>
              <w:spacing w:after="20"/>
              <w:jc w:val="left"/>
            </w:pPr>
            <w:r>
              <w:rPr>
                <w:color w:val="1C3A36"/>
                <w:sz w:val="16"/>
              </w:rPr>
              <w:t>6 Aug 2026</w:t>
            </w:r>
          </w:p>
        </w:tc>
        <w:tc>
          <w:tcPr>
            <w:tcW w:type="dxa" w:w="3384"/>
          </w:tcPr>
          <w:p>
            <w:pPr>
              <w:spacing w:after="20"/>
              <w:jc w:val="left"/>
            </w:pPr>
            <w:r>
              <w:rPr>
                <w:color w:val="1C3A36"/>
                <w:sz w:val="16"/>
              </w:rPr>
              <w:t>Exchange close, from the study's own price library</w:t>
            </w:r>
          </w:p>
        </w:tc>
        <w:tc>
          <w:tcPr>
            <w:tcW w:type="dxa" w:w="4608"/>
          </w:tcPr>
          <w:p>
            <w:pPr>
              <w:spacing w:after="20"/>
              <w:jc w:val="left"/>
            </w:pPr>
            <w:r>
              <w:rPr>
                <w:color w:val="1C3A36"/>
                <w:sz w:val="16"/>
              </w:rPr>
              <w:t>Market capitalisation, the equity weight in the cost of capital, and every comparison</w:t>
            </w:r>
          </w:p>
        </w:tc>
      </w:tr>
      <w:tr>
        <w:tc>
          <w:tcPr>
            <w:tcW w:type="dxa" w:w="2664"/>
          </w:tcPr>
          <w:p>
            <w:pPr>
              <w:spacing w:after="20"/>
              <w:jc w:val="left"/>
            </w:pPr>
            <w:r>
              <w:rPr>
                <w:color w:val="1C3A36"/>
                <w:sz w:val="16"/>
              </w:rPr>
              <w:t>Share count</w:t>
            </w:r>
          </w:p>
        </w:tc>
        <w:tc>
          <w:tcPr>
            <w:tcW w:type="dxa" w:w="2232"/>
          </w:tcPr>
          <w:p>
            <w:pPr>
              <w:spacing w:after="20"/>
              <w:jc w:val="left"/>
            </w:pPr>
            <w:r>
              <w:rPr>
                <w:color w:val="1C3A36"/>
                <w:sz w:val="16"/>
              </w:rPr>
              <w:t>1,986,578,999</w:t>
            </w:r>
          </w:p>
        </w:tc>
        <w:tc>
          <w:tcPr>
            <w:tcW w:type="dxa" w:w="1224"/>
          </w:tcPr>
          <w:p>
            <w:pPr>
              <w:spacing w:after="20"/>
              <w:jc w:val="left"/>
            </w:pPr>
            <w:r>
              <w:rPr>
                <w:color w:val="1C3A36"/>
                <w:sz w:val="16"/>
              </w:rPr>
              <w:t>30 Jun 2025</w:t>
            </w:r>
          </w:p>
        </w:tc>
        <w:tc>
          <w:tcPr>
            <w:tcW w:type="dxa" w:w="3384"/>
          </w:tcPr>
          <w:p>
            <w:pPr>
              <w:spacing w:after="20"/>
              <w:jc w:val="left"/>
            </w:pPr>
            <w:r>
              <w:rPr>
                <w:color w:val="1C3A36"/>
                <w:sz w:val="16"/>
              </w:rPr>
              <w:t>Note 14 of the audited statements</w:t>
            </w:r>
          </w:p>
        </w:tc>
        <w:tc>
          <w:tcPr>
            <w:tcW w:type="dxa" w:w="4608"/>
          </w:tcPr>
          <w:p>
            <w:pPr>
              <w:spacing w:after="20"/>
              <w:jc w:val="left"/>
            </w:pPr>
            <w:r>
              <w:rPr>
                <w:color w:val="1C3A36"/>
                <w:sz w:val="16"/>
              </w:rPr>
              <w:t>Per-share values. NOT taken from an exchange page or an aggregator</w:t>
            </w:r>
          </w:p>
        </w:tc>
      </w:tr>
      <w:tr>
        <w:tc>
          <w:tcPr>
            <w:tcW w:type="dxa" w:w="2664"/>
          </w:tcPr>
          <w:p>
            <w:pPr>
              <w:spacing w:after="20"/>
              <w:jc w:val="left"/>
            </w:pPr>
            <w:r>
              <w:rPr>
                <w:color w:val="1C3A36"/>
                <w:sz w:val="16"/>
              </w:rPr>
              <w:t>Ten-year government bond yield</w:t>
            </w:r>
          </w:p>
        </w:tc>
        <w:tc>
          <w:tcPr>
            <w:tcW w:type="dxa" w:w="2232"/>
          </w:tcPr>
          <w:p>
            <w:pPr>
              <w:spacing w:after="20"/>
              <w:jc w:val="left"/>
            </w:pPr>
            <w:r>
              <w:rPr>
                <w:color w:val="1C3A36"/>
                <w:sz w:val="16"/>
              </w:rPr>
              <w:t>23.00%</w:t>
            </w:r>
          </w:p>
        </w:tc>
        <w:tc>
          <w:tcPr>
            <w:tcW w:type="dxa" w:w="1224"/>
          </w:tcPr>
          <w:p>
            <w:pPr>
              <w:spacing w:after="20"/>
              <w:jc w:val="left"/>
            </w:pPr>
            <w:r>
              <w:rPr>
                <w:color w:val="1C3A36"/>
                <w:sz w:val="16"/>
              </w:rPr>
              <w:t>6 Aug 2026</w:t>
            </w:r>
          </w:p>
        </w:tc>
        <w:tc>
          <w:tcPr>
            <w:tcW w:type="dxa" w:w="3384"/>
          </w:tcPr>
          <w:p>
            <w:pPr>
              <w:spacing w:after="20"/>
              <w:jc w:val="left"/>
            </w:pPr>
            <w:r>
              <w:rPr>
                <w:color w:val="1C3A36"/>
                <w:sz w:val="16"/>
              </w:rPr>
              <w:t>Market quote</w:t>
            </w:r>
          </w:p>
        </w:tc>
        <w:tc>
          <w:tcPr>
            <w:tcW w:type="dxa" w:w="4608"/>
          </w:tcPr>
          <w:p>
            <w:pPr>
              <w:spacing w:after="20"/>
              <w:jc w:val="left"/>
            </w:pPr>
            <w:r>
              <w:rPr>
                <w:color w:val="1C3A36"/>
                <w:sz w:val="16"/>
              </w:rPr>
              <w:t>The observed risk-free rate before normalisation</w:t>
            </w:r>
          </w:p>
        </w:tc>
      </w:tr>
      <w:tr>
        <w:tc>
          <w:tcPr>
            <w:tcW w:type="dxa" w:w="2664"/>
          </w:tcPr>
          <w:p>
            <w:pPr>
              <w:spacing w:after="20"/>
              <w:jc w:val="left"/>
            </w:pPr>
            <w:r>
              <w:rPr>
                <w:color w:val="1C3A36"/>
                <w:sz w:val="16"/>
              </w:rPr>
              <w:t>Treasury bond coupon cross-check</w:t>
            </w:r>
          </w:p>
        </w:tc>
        <w:tc>
          <w:tcPr>
            <w:tcW w:type="dxa" w:w="2232"/>
          </w:tcPr>
          <w:p>
            <w:pPr>
              <w:spacing w:after="20"/>
              <w:jc w:val="left"/>
            </w:pPr>
            <w:r>
              <w:rPr>
                <w:color w:val="1C3A36"/>
                <w:sz w:val="16"/>
              </w:rPr>
              <w:t>23.098%</w:t>
            </w:r>
          </w:p>
        </w:tc>
        <w:tc>
          <w:tcPr>
            <w:tcW w:type="dxa" w:w="1224"/>
          </w:tcPr>
          <w:p>
            <w:pPr>
              <w:spacing w:after="20"/>
              <w:jc w:val="left"/>
            </w:pPr>
            <w:r>
              <w:rPr>
                <w:color w:val="1C3A36"/>
                <w:sz w:val="16"/>
              </w:rPr>
              <w:t>2026</w:t>
            </w:r>
          </w:p>
        </w:tc>
        <w:tc>
          <w:tcPr>
            <w:tcW w:type="dxa" w:w="3384"/>
          </w:tcPr>
          <w:p>
            <w:pPr>
              <w:spacing w:after="20"/>
              <w:jc w:val="left"/>
            </w:pPr>
            <w:r>
              <w:rPr>
                <w:color w:val="1C3A36"/>
                <w:sz w:val="16"/>
              </w:rPr>
              <w:t>New EGP 120.9bn issue to May 2029</w:t>
            </w:r>
          </w:p>
        </w:tc>
        <w:tc>
          <w:tcPr>
            <w:tcW w:type="dxa" w:w="4608"/>
          </w:tcPr>
          <w:p>
            <w:pPr>
              <w:spacing w:after="20"/>
              <w:jc w:val="left"/>
            </w:pPr>
            <w:r>
              <w:rPr>
                <w:color w:val="1C3A36"/>
                <w:sz w:val="16"/>
              </w:rPr>
              <w:t>Corroborates the sovereign yield above</w:t>
            </w:r>
          </w:p>
        </w:tc>
      </w:tr>
      <w:tr>
        <w:tc>
          <w:tcPr>
            <w:tcW w:type="dxa" w:w="2664"/>
          </w:tcPr>
          <w:p>
            <w:pPr>
              <w:spacing w:after="20"/>
              <w:jc w:val="left"/>
            </w:pPr>
            <w:r>
              <w:rPr>
                <w:color w:val="1C3A36"/>
                <w:sz w:val="16"/>
              </w:rPr>
              <w:t>Sovereign rating and default spread</w:t>
            </w:r>
          </w:p>
        </w:tc>
        <w:tc>
          <w:tcPr>
            <w:tcW w:type="dxa" w:w="2232"/>
          </w:tcPr>
          <w:p>
            <w:pPr>
              <w:spacing w:after="20"/>
              <w:jc w:val="left"/>
            </w:pPr>
            <w:r>
              <w:rPr>
                <w:color w:val="1C3A36"/>
                <w:sz w:val="16"/>
              </w:rPr>
              <w:t>Caa1, 6.37%</w:t>
            </w:r>
          </w:p>
        </w:tc>
        <w:tc>
          <w:tcPr>
            <w:tcW w:type="dxa" w:w="1224"/>
          </w:tcPr>
          <w:p>
            <w:pPr>
              <w:spacing w:after="20"/>
              <w:jc w:val="left"/>
            </w:pPr>
            <w:r>
              <w:rPr>
                <w:color w:val="1C3A36"/>
                <w:sz w:val="16"/>
              </w:rPr>
              <w:t>Jan 2026</w:t>
            </w:r>
          </w:p>
        </w:tc>
        <w:tc>
          <w:tcPr>
            <w:tcW w:type="dxa" w:w="3384"/>
          </w:tcPr>
          <w:p>
            <w:pPr>
              <w:spacing w:after="20"/>
              <w:jc w:val="left"/>
            </w:pPr>
            <w:r>
              <w:rPr>
                <w:color w:val="1C3A36"/>
                <w:sz w:val="16"/>
              </w:rPr>
              <w:t>Country-premium workbook, Egypt row, read from the original file</w:t>
            </w:r>
          </w:p>
        </w:tc>
        <w:tc>
          <w:tcPr>
            <w:tcW w:type="dxa" w:w="4608"/>
          </w:tcPr>
          <w:p>
            <w:pPr>
              <w:spacing w:after="20"/>
              <w:jc w:val="left"/>
            </w:pPr>
            <w:r>
              <w:rPr>
                <w:color w:val="1C3A36"/>
                <w:sz w:val="16"/>
              </w:rPr>
              <w:t>Normalisation of the risk-free rate, rating basis</w:t>
            </w:r>
          </w:p>
        </w:tc>
      </w:tr>
      <w:tr>
        <w:tc>
          <w:tcPr>
            <w:tcW w:type="dxa" w:w="2664"/>
          </w:tcPr>
          <w:p>
            <w:pPr>
              <w:spacing w:after="20"/>
              <w:jc w:val="left"/>
            </w:pPr>
            <w:r>
              <w:rPr>
                <w:color w:val="1C3A36"/>
                <w:sz w:val="16"/>
              </w:rPr>
              <w:t>Country equity risk premium</w:t>
            </w:r>
          </w:p>
        </w:tc>
        <w:tc>
          <w:tcPr>
            <w:tcW w:type="dxa" w:w="2232"/>
          </w:tcPr>
          <w:p>
            <w:pPr>
              <w:spacing w:after="20"/>
              <w:jc w:val="left"/>
            </w:pPr>
            <w:r>
              <w:rPr>
                <w:color w:val="1C3A36"/>
                <w:sz w:val="16"/>
              </w:rPr>
              <w:t>9.71%</w:t>
            </w:r>
          </w:p>
        </w:tc>
        <w:tc>
          <w:tcPr>
            <w:tcW w:type="dxa" w:w="1224"/>
          </w:tcPr>
          <w:p>
            <w:pPr>
              <w:spacing w:after="20"/>
              <w:jc w:val="left"/>
            </w:pPr>
            <w:r>
              <w:rPr>
                <w:color w:val="1C3A36"/>
                <w:sz w:val="16"/>
              </w:rPr>
              <w:t>Jan 2026</w:t>
            </w:r>
          </w:p>
        </w:tc>
        <w:tc>
          <w:tcPr>
            <w:tcW w:type="dxa" w:w="3384"/>
          </w:tcPr>
          <w:p>
            <w:pPr>
              <w:spacing w:after="20"/>
              <w:jc w:val="left"/>
            </w:pPr>
            <w:r>
              <w:rPr>
                <w:color w:val="1C3A36"/>
                <w:sz w:val="16"/>
              </w:rPr>
              <w:t>Same workbook</w:t>
            </w:r>
          </w:p>
        </w:tc>
        <w:tc>
          <w:tcPr>
            <w:tcW w:type="dxa" w:w="4608"/>
          </w:tcPr>
          <w:p>
            <w:pPr>
              <w:spacing w:after="20"/>
              <w:jc w:val="left"/>
            </w:pPr>
            <w:r>
              <w:rPr>
                <w:color w:val="1C3A36"/>
                <w:sz w:val="16"/>
              </w:rPr>
              <w:t>The country component of the equity premium</w:t>
            </w:r>
          </w:p>
        </w:tc>
      </w:tr>
      <w:tr>
        <w:tc>
          <w:tcPr>
            <w:tcW w:type="dxa" w:w="2664"/>
          </w:tcPr>
          <w:p>
            <w:pPr>
              <w:spacing w:after="20"/>
              <w:jc w:val="left"/>
            </w:pPr>
            <w:r>
              <w:rPr>
                <w:color w:val="1C3A36"/>
                <w:sz w:val="16"/>
              </w:rPr>
              <w:t>Total equity risk premium</w:t>
            </w:r>
          </w:p>
        </w:tc>
        <w:tc>
          <w:tcPr>
            <w:tcW w:type="dxa" w:w="2232"/>
          </w:tcPr>
          <w:p>
            <w:pPr>
              <w:spacing w:after="20"/>
              <w:jc w:val="left"/>
            </w:pPr>
            <w:r>
              <w:rPr>
                <w:color w:val="1C3A36"/>
                <w:sz w:val="16"/>
              </w:rPr>
              <w:t>13.94% (rating) / 9.42% (CDS)</w:t>
            </w:r>
          </w:p>
        </w:tc>
        <w:tc>
          <w:tcPr>
            <w:tcW w:type="dxa" w:w="1224"/>
          </w:tcPr>
          <w:p>
            <w:pPr>
              <w:spacing w:after="20"/>
              <w:jc w:val="left"/>
            </w:pPr>
            <w:r>
              <w:rPr>
                <w:color w:val="1C3A36"/>
                <w:sz w:val="16"/>
              </w:rPr>
              <w:t>Jan 2026</w:t>
            </w:r>
          </w:p>
        </w:tc>
        <w:tc>
          <w:tcPr>
            <w:tcW w:type="dxa" w:w="3384"/>
          </w:tcPr>
          <w:p>
            <w:pPr>
              <w:spacing w:after="20"/>
              <w:jc w:val="left"/>
            </w:pPr>
            <w:r>
              <w:rPr>
                <w:color w:val="1C3A36"/>
                <w:sz w:val="16"/>
              </w:rPr>
              <w:t>Same workbook, both columns</w:t>
            </w:r>
          </w:p>
        </w:tc>
        <w:tc>
          <w:tcPr>
            <w:tcW w:type="dxa" w:w="4608"/>
          </w:tcPr>
          <w:p>
            <w:pPr>
              <w:spacing w:after="20"/>
              <w:jc w:val="left"/>
            </w:pPr>
            <w:r>
              <w:rPr>
                <w:color w:val="1C3A36"/>
                <w:sz w:val="16"/>
              </w:rPr>
              <w:t>Cost of equity, published on both bases</w:t>
            </w:r>
          </w:p>
        </w:tc>
      </w:tr>
      <w:tr>
        <w:tc>
          <w:tcPr>
            <w:tcW w:type="dxa" w:w="2664"/>
          </w:tcPr>
          <w:p>
            <w:pPr>
              <w:spacing w:after="20"/>
              <w:jc w:val="left"/>
            </w:pPr>
            <w:r>
              <w:rPr>
                <w:color w:val="1C3A36"/>
                <w:sz w:val="16"/>
              </w:rPr>
              <w:t>Exchange rate</w:t>
            </w:r>
          </w:p>
        </w:tc>
        <w:tc>
          <w:tcPr>
            <w:tcW w:type="dxa" w:w="2232"/>
          </w:tcPr>
          <w:p>
            <w:pPr>
              <w:spacing w:after="20"/>
              <w:jc w:val="left"/>
            </w:pPr>
            <w:r>
              <w:rPr>
                <w:color w:val="1C3A36"/>
                <w:sz w:val="16"/>
              </w:rPr>
              <w:t>EGP 49.79 per US dollar</w:t>
            </w:r>
          </w:p>
        </w:tc>
        <w:tc>
          <w:tcPr>
            <w:tcW w:type="dxa" w:w="1224"/>
          </w:tcPr>
          <w:p>
            <w:pPr>
              <w:spacing w:after="20"/>
              <w:jc w:val="left"/>
            </w:pPr>
            <w:r>
              <w:rPr>
                <w:color w:val="1C3A36"/>
                <w:sz w:val="16"/>
              </w:rPr>
              <w:t>7 Aug 2026</w:t>
            </w:r>
          </w:p>
        </w:tc>
        <w:tc>
          <w:tcPr>
            <w:tcW w:type="dxa" w:w="3384"/>
          </w:tcPr>
          <w:p>
            <w:pPr>
              <w:spacing w:after="20"/>
              <w:jc w:val="left"/>
            </w:pPr>
            <w:r>
              <w:rPr>
                <w:color w:val="1C3A36"/>
                <w:sz w:val="16"/>
              </w:rPr>
              <w:t>Market quote</w:t>
            </w:r>
          </w:p>
        </w:tc>
        <w:tc>
          <w:tcPr>
            <w:tcW w:type="dxa" w:w="4608"/>
          </w:tcPr>
          <w:p>
            <w:pPr>
              <w:spacing w:after="20"/>
              <w:jc w:val="left"/>
            </w:pPr>
            <w:r>
              <w:rPr>
                <w:color w:val="1C3A36"/>
                <w:sz w:val="16"/>
              </w:rPr>
              <w:t>The starting point of the currency path</w:t>
            </w:r>
          </w:p>
        </w:tc>
      </w:tr>
      <w:tr>
        <w:tc>
          <w:tcPr>
            <w:tcW w:type="dxa" w:w="2664"/>
          </w:tcPr>
          <w:p>
            <w:pPr>
              <w:spacing w:after="20"/>
              <w:jc w:val="left"/>
            </w:pPr>
            <w:r>
              <w:rPr>
                <w:color w:val="1C3A36"/>
                <w:sz w:val="16"/>
              </w:rPr>
              <w:t>Urea, granular, free on board Egypt</w:t>
            </w:r>
          </w:p>
        </w:tc>
        <w:tc>
          <w:tcPr>
            <w:tcW w:type="dxa" w:w="2232"/>
          </w:tcPr>
          <w:p>
            <w:pPr>
              <w:spacing w:after="20"/>
              <w:jc w:val="left"/>
            </w:pPr>
            <w:r>
              <w:rPr>
                <w:color w:val="1C3A36"/>
                <w:sz w:val="16"/>
              </w:rPr>
              <w:t>US$545 per tonne</w:t>
            </w:r>
          </w:p>
        </w:tc>
        <w:tc>
          <w:tcPr>
            <w:tcW w:type="dxa" w:w="1224"/>
          </w:tcPr>
          <w:p>
            <w:pPr>
              <w:spacing w:after="20"/>
              <w:jc w:val="left"/>
            </w:pPr>
            <w:r>
              <w:rPr>
                <w:color w:val="1C3A36"/>
                <w:sz w:val="16"/>
              </w:rPr>
              <w:t>7 Aug 2026</w:t>
            </w:r>
          </w:p>
        </w:tc>
        <w:tc>
          <w:tcPr>
            <w:tcW w:type="dxa" w:w="3384"/>
          </w:tcPr>
          <w:p>
            <w:pPr>
              <w:spacing w:after="20"/>
              <w:jc w:val="left"/>
            </w:pPr>
            <w:r>
              <w:rPr>
                <w:color w:val="1C3A36"/>
                <w:sz w:val="16"/>
              </w:rPr>
              <w:t>Listed futures contract</w:t>
            </w:r>
          </w:p>
        </w:tc>
        <w:tc>
          <w:tcPr>
            <w:tcW w:type="dxa" w:w="4608"/>
          </w:tcPr>
          <w:p>
            <w:pPr>
              <w:spacing w:after="20"/>
              <w:jc w:val="left"/>
            </w:pPr>
            <w:r>
              <w:rPr>
                <w:color w:val="1C3A36"/>
                <w:sz w:val="16"/>
              </w:rPr>
              <w:t>The export-price anchor and the crux sensitivity</w:t>
            </w:r>
          </w:p>
        </w:tc>
      </w:tr>
      <w:tr>
        <w:tc>
          <w:tcPr>
            <w:tcW w:type="dxa" w:w="2664"/>
          </w:tcPr>
          <w:p>
            <w:pPr>
              <w:spacing w:after="20"/>
              <w:jc w:val="left"/>
            </w:pPr>
            <w:r>
              <w:rPr>
                <w:color w:val="1C3A36"/>
                <w:sz w:val="16"/>
              </w:rPr>
              <w:t>Egyptian headline inflation</w:t>
            </w:r>
          </w:p>
        </w:tc>
        <w:tc>
          <w:tcPr>
            <w:tcW w:type="dxa" w:w="2232"/>
          </w:tcPr>
          <w:p>
            <w:pPr>
              <w:spacing w:after="20"/>
              <w:jc w:val="left"/>
            </w:pPr>
            <w:r>
              <w:rPr>
                <w:color w:val="1C3A36"/>
                <w:sz w:val="16"/>
              </w:rPr>
              <w:t>14.3% year on year</w:t>
            </w:r>
          </w:p>
        </w:tc>
        <w:tc>
          <w:tcPr>
            <w:tcW w:type="dxa" w:w="1224"/>
          </w:tcPr>
          <w:p>
            <w:pPr>
              <w:spacing w:after="20"/>
              <w:jc w:val="left"/>
            </w:pPr>
            <w:r>
              <w:rPr>
                <w:color w:val="1C3A36"/>
                <w:sz w:val="16"/>
              </w:rPr>
              <w:t>June 2026</w:t>
            </w:r>
          </w:p>
        </w:tc>
        <w:tc>
          <w:tcPr>
            <w:tcW w:type="dxa" w:w="3384"/>
          </w:tcPr>
          <w:p>
            <w:pPr>
              <w:spacing w:after="20"/>
              <w:jc w:val="left"/>
            </w:pPr>
            <w:r>
              <w:rPr>
                <w:color w:val="1C3A36"/>
                <w:sz w:val="16"/>
              </w:rPr>
              <w:t>Official statistics</w:t>
            </w:r>
          </w:p>
        </w:tc>
        <w:tc>
          <w:tcPr>
            <w:tcW w:type="dxa" w:w="4608"/>
          </w:tcPr>
          <w:p>
            <w:pPr>
              <w:spacing w:after="20"/>
              <w:jc w:val="left"/>
            </w:pPr>
            <w:r>
              <w:rPr>
                <w:color w:val="1C3A36"/>
                <w:sz w:val="16"/>
              </w:rPr>
              <w:t>The domestic cost escalator</w:t>
            </w:r>
          </w:p>
        </w:tc>
      </w:tr>
      <w:tr>
        <w:tc>
          <w:tcPr>
            <w:tcW w:type="dxa" w:w="2664"/>
          </w:tcPr>
          <w:p>
            <w:pPr>
              <w:spacing w:after="20"/>
              <w:jc w:val="left"/>
            </w:pPr>
            <w:r>
              <w:rPr>
                <w:color w:val="1C3A36"/>
                <w:sz w:val="16"/>
              </w:rPr>
              <w:t>Policy rate</w:t>
            </w:r>
          </w:p>
        </w:tc>
        <w:tc>
          <w:tcPr>
            <w:tcW w:type="dxa" w:w="2232"/>
          </w:tcPr>
          <w:p>
            <w:pPr>
              <w:spacing w:after="20"/>
              <w:jc w:val="left"/>
            </w:pPr>
            <w:r>
              <w:rPr>
                <w:color w:val="1C3A36"/>
                <w:sz w:val="16"/>
              </w:rPr>
              <w:t>19.00 / 20.00% corridor</w:t>
            </w:r>
          </w:p>
        </w:tc>
        <w:tc>
          <w:tcPr>
            <w:tcW w:type="dxa" w:w="1224"/>
          </w:tcPr>
          <w:p>
            <w:pPr>
              <w:spacing w:after="20"/>
              <w:jc w:val="left"/>
            </w:pPr>
            <w:r>
              <w:rPr>
                <w:color w:val="1C3A36"/>
                <w:sz w:val="16"/>
              </w:rPr>
              <w:t>9 July 2026</w:t>
            </w:r>
          </w:p>
        </w:tc>
        <w:tc>
          <w:tcPr>
            <w:tcW w:type="dxa" w:w="3384"/>
          </w:tcPr>
          <w:p>
            <w:pPr>
              <w:spacing w:after="20"/>
              <w:jc w:val="left"/>
            </w:pPr>
            <w:r>
              <w:rPr>
                <w:color w:val="1C3A36"/>
                <w:sz w:val="16"/>
              </w:rPr>
              <w:t>Central bank decision</w:t>
            </w:r>
          </w:p>
        </w:tc>
        <w:tc>
          <w:tcPr>
            <w:tcW w:type="dxa" w:w="4608"/>
          </w:tcPr>
          <w:p>
            <w:pPr>
              <w:spacing w:after="20"/>
              <w:jc w:val="left"/>
            </w:pPr>
            <w:r>
              <w:rPr>
                <w:color w:val="1C3A36"/>
                <w:sz w:val="16"/>
              </w:rPr>
              <w:t>Context for the rate path; the terminal build uses the inflation target, not this rate</w:t>
            </w:r>
          </w:p>
        </w:tc>
      </w:tr>
      <w:tr>
        <w:tc>
          <w:tcPr>
            <w:tcW w:type="dxa" w:w="2664"/>
          </w:tcPr>
          <w:p>
            <w:pPr>
              <w:spacing w:after="20"/>
              <w:jc w:val="left"/>
            </w:pPr>
            <w:r>
              <w:rPr>
                <w:color w:val="1C3A36"/>
                <w:sz w:val="16"/>
              </w:rPr>
              <w:t>Treasury-bill yields</w:t>
            </w:r>
          </w:p>
        </w:tc>
        <w:tc>
          <w:tcPr>
            <w:tcW w:type="dxa" w:w="2232"/>
          </w:tcPr>
          <w:p>
            <w:pPr>
              <w:spacing w:after="20"/>
              <w:jc w:val="left"/>
            </w:pPr>
            <w:r>
              <w:rPr>
                <w:color w:val="1C3A36"/>
                <w:sz w:val="16"/>
              </w:rPr>
              <w:t>24.86% to 25.52% by tenor</w:t>
            </w:r>
          </w:p>
        </w:tc>
        <w:tc>
          <w:tcPr>
            <w:tcW w:type="dxa" w:w="1224"/>
          </w:tcPr>
          <w:p>
            <w:pPr>
              <w:spacing w:after="20"/>
              <w:jc w:val="left"/>
            </w:pPr>
            <w:r>
              <w:rPr>
                <w:color w:val="1C3A36"/>
                <w:sz w:val="16"/>
              </w:rPr>
              <w:t>6 Aug 2026</w:t>
            </w:r>
          </w:p>
        </w:tc>
        <w:tc>
          <w:tcPr>
            <w:tcW w:type="dxa" w:w="3384"/>
          </w:tcPr>
          <w:p>
            <w:pPr>
              <w:spacing w:after="20"/>
              <w:jc w:val="left"/>
            </w:pPr>
            <w:r>
              <w:rPr>
                <w:color w:val="1C3A36"/>
                <w:sz w:val="16"/>
              </w:rPr>
              <w:t>Secondary market quotes — the central bank's own auction pages were unreachable</w:t>
            </w:r>
          </w:p>
        </w:tc>
        <w:tc>
          <w:tcPr>
            <w:tcW w:type="dxa" w:w="4608"/>
          </w:tcPr>
          <w:p>
            <w:pPr>
              <w:spacing w:after="20"/>
              <w:jc w:val="left"/>
            </w:pPr>
            <w:r>
              <w:rPr>
                <w:color w:val="1C3A36"/>
                <w:sz w:val="16"/>
              </w:rPr>
              <w:t>Context only; no valuation figure depends on them</w:t>
            </w:r>
          </w:p>
        </w:tc>
      </w:tr>
    </w:tbl>
    <w:p>
      <w:pPr>
        <w:spacing w:after="40"/>
      </w:pPr>
    </w:p>
    <w:p>
      <w:pPr>
        <w:spacing w:after="100" w:before="240"/>
      </w:pPr>
      <w:r>
        <w:rPr>
          <w:b/>
          <w:i w:val="0"/>
          <w:color w:val="1C3A36"/>
          <w:sz w:val="28"/>
        </w:rPr>
        <w:t>3.  External context and forecast drivers</w:t>
      </w:r>
    </w:p>
    <w:p>
      <w:pPr>
        <w:spacing w:after="100" w:before="0"/>
      </w:pPr>
      <w:r>
        <w:rPr>
          <w:b w:val="0"/>
          <w:i w:val="0"/>
          <w:color w:val="6E7B77"/>
          <w:sz w:val="18"/>
        </w:rPr>
        <w:t>These sources inform forward-looking judgements. None of them is a source for any figure the company reports about itself.</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6048"/>
        <w:gridCol w:w="3312"/>
        <w:gridCol w:w="1440"/>
      </w:tblGrid>
      <w:tr>
        <w:tc>
          <w:tcPr>
            <w:tcW w:type="dxa" w:w="2448"/>
            <w:shd w:val="clear" w:color="auto" w:fill="EAF0EE"/>
          </w:tcPr>
          <w:p>
            <w:pPr>
              <w:spacing w:after="20"/>
              <w:jc w:val="left"/>
            </w:pPr>
            <w:r>
              <w:rPr>
                <w:b/>
                <w:color w:val="1C3A36"/>
                <w:sz w:val="16"/>
              </w:rPr>
              <w:t>Subject</w:t>
            </w:r>
          </w:p>
        </w:tc>
        <w:tc>
          <w:tcPr>
            <w:tcW w:type="dxa" w:w="6048"/>
            <w:shd w:val="clear" w:color="auto" w:fill="EAF0EE"/>
          </w:tcPr>
          <w:p>
            <w:pPr>
              <w:spacing w:after="20"/>
              <w:jc w:val="left"/>
            </w:pPr>
            <w:r>
              <w:rPr>
                <w:b/>
                <w:color w:val="1C3A36"/>
                <w:sz w:val="16"/>
              </w:rPr>
              <w:t>What it establishes</w:t>
            </w:r>
          </w:p>
        </w:tc>
        <w:tc>
          <w:tcPr>
            <w:tcW w:type="dxa" w:w="3312"/>
            <w:shd w:val="clear" w:color="auto" w:fill="EAF0EE"/>
          </w:tcPr>
          <w:p>
            <w:pPr>
              <w:spacing w:after="20"/>
              <w:jc w:val="left"/>
            </w:pPr>
            <w:r>
              <w:rPr>
                <w:b/>
                <w:color w:val="1C3A36"/>
                <w:sz w:val="16"/>
              </w:rPr>
              <w:t>Source type</w:t>
            </w:r>
          </w:p>
        </w:tc>
        <w:tc>
          <w:tcPr>
            <w:tcW w:type="dxa" w:w="1440"/>
            <w:shd w:val="clear" w:color="auto" w:fill="EAF0EE"/>
          </w:tcPr>
          <w:p>
            <w:pPr>
              <w:spacing w:after="20"/>
              <w:jc w:val="left"/>
            </w:pPr>
            <w:r>
              <w:rPr>
                <w:b/>
                <w:color w:val="1C3A36"/>
                <w:sz w:val="16"/>
              </w:rPr>
              <w:t>Date</w:t>
            </w:r>
          </w:p>
        </w:tc>
      </w:tr>
      <w:tr>
        <w:tc>
          <w:tcPr>
            <w:tcW w:type="dxa" w:w="2448"/>
          </w:tcPr>
          <w:p>
            <w:pPr>
              <w:spacing w:after="20"/>
              <w:jc w:val="left"/>
            </w:pPr>
            <w:r>
              <w:rPr>
                <w:color w:val="1C3A36"/>
                <w:sz w:val="16"/>
              </w:rPr>
              <w:t>Egyptian gas curtailment</w:t>
            </w:r>
          </w:p>
        </w:tc>
        <w:tc>
          <w:tcPr>
            <w:tcW w:type="dxa" w:w="6048"/>
          </w:tcPr>
          <w:p>
            <w:pPr>
              <w:spacing w:after="20"/>
              <w:jc w:val="left"/>
            </w:pPr>
            <w:r>
              <w:rPr>
                <w:color w:val="1C3A36"/>
                <w:sz w:val="16"/>
              </w:rPr>
              <w:t>Industrial gas rationing after the interruption of Israeli export flows; producers curtailed by up to half</w:t>
            </w:r>
          </w:p>
        </w:tc>
        <w:tc>
          <w:tcPr>
            <w:tcW w:type="dxa" w:w="3312"/>
          </w:tcPr>
          <w:p>
            <w:pPr>
              <w:spacing w:after="20"/>
              <w:jc w:val="left"/>
            </w:pPr>
            <w:r>
              <w:rPr>
                <w:color w:val="1C3A36"/>
                <w:sz w:val="16"/>
              </w:rPr>
              <w:t>Energy and commodity press</w:t>
            </w:r>
          </w:p>
        </w:tc>
        <w:tc>
          <w:tcPr>
            <w:tcW w:type="dxa" w:w="1440"/>
          </w:tcPr>
          <w:p>
            <w:pPr>
              <w:spacing w:after="20"/>
              <w:jc w:val="left"/>
            </w:pPr>
            <w:r>
              <w:rPr>
                <w:color w:val="1C3A36"/>
                <w:sz w:val="16"/>
              </w:rPr>
              <w:t>Mar 2026</w:t>
            </w:r>
          </w:p>
        </w:tc>
      </w:tr>
      <w:tr>
        <w:tc>
          <w:tcPr>
            <w:tcW w:type="dxa" w:w="2448"/>
          </w:tcPr>
          <w:p>
            <w:pPr>
              <w:spacing w:after="20"/>
              <w:jc w:val="left"/>
            </w:pPr>
            <w:r>
              <w:rPr>
                <w:color w:val="1C3A36"/>
                <w:sz w:val="16"/>
              </w:rPr>
              <w:t>Regional urea supply shock</w:t>
            </w:r>
          </w:p>
        </w:tc>
        <w:tc>
          <w:tcPr>
            <w:tcW w:type="dxa" w:w="6048"/>
          </w:tcPr>
          <w:p>
            <w:pPr>
              <w:spacing w:after="20"/>
              <w:jc w:val="left"/>
            </w:pPr>
            <w:r>
              <w:rPr>
                <w:color w:val="1C3A36"/>
                <w:sz w:val="16"/>
              </w:rPr>
              <w:t>Middle East conflict lifting global urea above US$700 a tonne; the region carries about 35% of seaborne trade</w:t>
            </w:r>
          </w:p>
        </w:tc>
        <w:tc>
          <w:tcPr>
            <w:tcW w:type="dxa" w:w="3312"/>
          </w:tcPr>
          <w:p>
            <w:pPr>
              <w:spacing w:after="20"/>
              <w:jc w:val="left"/>
            </w:pPr>
            <w:r>
              <w:rPr>
                <w:color w:val="1C3A36"/>
                <w:sz w:val="16"/>
              </w:rPr>
              <w:t>Commodity research</w:t>
            </w:r>
          </w:p>
        </w:tc>
        <w:tc>
          <w:tcPr>
            <w:tcW w:type="dxa" w:w="1440"/>
          </w:tcPr>
          <w:p>
            <w:pPr>
              <w:spacing w:after="20"/>
              <w:jc w:val="left"/>
            </w:pPr>
            <w:r>
              <w:rPr>
                <w:color w:val="1C3A36"/>
                <w:sz w:val="16"/>
              </w:rPr>
              <w:t>Mar 2026</w:t>
            </w:r>
          </w:p>
        </w:tc>
      </w:tr>
      <w:tr>
        <w:tc>
          <w:tcPr>
            <w:tcW w:type="dxa" w:w="2448"/>
          </w:tcPr>
          <w:p>
            <w:pPr>
              <w:spacing w:after="20"/>
              <w:jc w:val="left"/>
            </w:pPr>
            <w:r>
              <w:rPr>
                <w:color w:val="1C3A36"/>
                <w:sz w:val="16"/>
              </w:rPr>
              <w:t>Fertilizer quota regime</w:t>
            </w:r>
          </w:p>
        </w:tc>
        <w:tc>
          <w:tcPr>
            <w:tcW w:type="dxa" w:w="6048"/>
          </w:tcPr>
          <w:p>
            <w:pPr>
              <w:spacing w:after="20"/>
              <w:jc w:val="left"/>
            </w:pPr>
            <w:r>
              <w:rPr>
                <w:color w:val="1C3A36"/>
                <w:sz w:val="16"/>
              </w:rPr>
              <w:t>Cabinet decision 170 of 24 November 2021 and trade-ministry decree 241 of 2021; the September 2025 revision; the 2026 switch to a 10% ad-valorem export duty</w:t>
            </w:r>
          </w:p>
        </w:tc>
        <w:tc>
          <w:tcPr>
            <w:tcW w:type="dxa" w:w="3312"/>
          </w:tcPr>
          <w:p>
            <w:pPr>
              <w:spacing w:after="20"/>
              <w:jc w:val="left"/>
            </w:pPr>
            <w:r>
              <w:rPr>
                <w:color w:val="1C3A36"/>
                <w:sz w:val="16"/>
              </w:rPr>
              <w:t>Government decisions, as recorded in the auditor's reports and in press coverage</w:t>
            </w:r>
          </w:p>
        </w:tc>
        <w:tc>
          <w:tcPr>
            <w:tcW w:type="dxa" w:w="1440"/>
          </w:tcPr>
          <w:p>
            <w:pPr>
              <w:spacing w:after="20"/>
              <w:jc w:val="left"/>
            </w:pPr>
            <w:r>
              <w:rPr>
                <w:color w:val="1C3A36"/>
                <w:sz w:val="16"/>
              </w:rPr>
              <w:t>2021 to 2026</w:t>
            </w:r>
          </w:p>
        </w:tc>
      </w:tr>
      <w:tr>
        <w:tc>
          <w:tcPr>
            <w:tcW w:type="dxa" w:w="2448"/>
          </w:tcPr>
          <w:p>
            <w:pPr>
              <w:spacing w:after="20"/>
              <w:jc w:val="left"/>
            </w:pPr>
            <w:r>
              <w:rPr>
                <w:color w:val="1C3A36"/>
                <w:sz w:val="16"/>
              </w:rPr>
              <w:t>Egyptian nitrogen capacity</w:t>
            </w:r>
          </w:p>
        </w:tc>
        <w:tc>
          <w:tcPr>
            <w:tcW w:type="dxa" w:w="6048"/>
          </w:tcPr>
          <w:p>
            <w:pPr>
              <w:spacing w:after="20"/>
              <w:jc w:val="left"/>
            </w:pPr>
            <w:r>
              <w:rPr>
                <w:color w:val="1C3A36"/>
                <w:sz w:val="16"/>
              </w:rPr>
              <w:t>About 7.2 to 7.3 million tonnes a year across the named producers</w:t>
            </w:r>
          </w:p>
        </w:tc>
        <w:tc>
          <w:tcPr>
            <w:tcW w:type="dxa" w:w="3312"/>
          </w:tcPr>
          <w:p>
            <w:pPr>
              <w:spacing w:after="20"/>
              <w:jc w:val="left"/>
            </w:pPr>
            <w:r>
              <w:rPr>
                <w:color w:val="1C3A36"/>
                <w:sz w:val="16"/>
              </w:rPr>
              <w:t>Industry analysis</w:t>
            </w:r>
          </w:p>
        </w:tc>
        <w:tc>
          <w:tcPr>
            <w:tcW w:type="dxa" w:w="1440"/>
          </w:tcPr>
          <w:p>
            <w:pPr>
              <w:spacing w:after="20"/>
              <w:jc w:val="left"/>
            </w:pPr>
            <w:r>
              <w:rPr>
                <w:color w:val="1C3A36"/>
                <w:sz w:val="16"/>
              </w:rPr>
              <w:t>Mar 2026</w:t>
            </w:r>
          </w:p>
        </w:tc>
      </w:tr>
      <w:tr>
        <w:tc>
          <w:tcPr>
            <w:tcW w:type="dxa" w:w="2448"/>
          </w:tcPr>
          <w:p>
            <w:pPr>
              <w:spacing w:after="20"/>
              <w:jc w:val="left"/>
            </w:pPr>
            <w:r>
              <w:rPr>
                <w:color w:val="1C3A36"/>
                <w:sz w:val="16"/>
              </w:rPr>
              <w:t>Local fertilizer prices</w:t>
            </w:r>
          </w:p>
        </w:tc>
        <w:tc>
          <w:tcPr>
            <w:tcW w:type="dxa" w:w="6048"/>
          </w:tcPr>
          <w:p>
            <w:pPr>
              <w:spacing w:after="20"/>
              <w:jc w:val="left"/>
            </w:pPr>
            <w:r>
              <w:rPr>
                <w:color w:val="1C3A36"/>
                <w:sz w:val="16"/>
              </w:rPr>
              <w:t>Subsidised supply at about EGP 6,000 a tonne against open-market sacks at EGP 1,400 to 1,600 per 50 kilograms</w:t>
            </w:r>
          </w:p>
        </w:tc>
        <w:tc>
          <w:tcPr>
            <w:tcW w:type="dxa" w:w="3312"/>
          </w:tcPr>
          <w:p>
            <w:pPr>
              <w:spacing w:after="20"/>
              <w:jc w:val="left"/>
            </w:pPr>
            <w:r>
              <w:rPr>
                <w:color w:val="1C3A36"/>
                <w:sz w:val="16"/>
              </w:rPr>
              <w:t>Egyptian press</w:t>
            </w:r>
          </w:p>
        </w:tc>
        <w:tc>
          <w:tcPr>
            <w:tcW w:type="dxa" w:w="1440"/>
          </w:tcPr>
          <w:p>
            <w:pPr>
              <w:spacing w:after="20"/>
              <w:jc w:val="left"/>
            </w:pPr>
            <w:r>
              <w:rPr>
                <w:color w:val="1C3A36"/>
                <w:sz w:val="16"/>
              </w:rPr>
              <w:t>2025-2026</w:t>
            </w:r>
          </w:p>
        </w:tc>
      </w:tr>
      <w:tr>
        <w:tc>
          <w:tcPr>
            <w:tcW w:type="dxa" w:w="2448"/>
          </w:tcPr>
          <w:p>
            <w:pPr>
              <w:spacing w:after="20"/>
              <w:jc w:val="left"/>
            </w:pPr>
            <w:r>
              <w:rPr>
                <w:color w:val="1C3A36"/>
                <w:sz w:val="16"/>
              </w:rPr>
              <w:t>Project contractor and scope</w:t>
            </w:r>
          </w:p>
        </w:tc>
        <w:tc>
          <w:tcPr>
            <w:tcW w:type="dxa" w:w="6048"/>
          </w:tcPr>
          <w:p>
            <w:pPr>
              <w:spacing w:after="20"/>
              <w:jc w:val="left"/>
            </w:pPr>
            <w:r>
              <w:rPr>
                <w:color w:val="1C3A36"/>
                <w:sz w:val="16"/>
              </w:rPr>
              <w:t>The engineering consortium, the contract value and the settlement history of the earlier project</w:t>
            </w:r>
          </w:p>
        </w:tc>
        <w:tc>
          <w:tcPr>
            <w:tcW w:type="dxa" w:w="3312"/>
          </w:tcPr>
          <w:p>
            <w:pPr>
              <w:spacing w:after="20"/>
              <w:jc w:val="left"/>
            </w:pPr>
            <w:r>
              <w:rPr>
                <w:color w:val="1C3A36"/>
                <w:sz w:val="16"/>
              </w:rPr>
              <w:t>Contractor announcements, corroborated against the notes to the audited statements</w:t>
            </w:r>
          </w:p>
        </w:tc>
        <w:tc>
          <w:tcPr>
            <w:tcW w:type="dxa" w:w="1440"/>
          </w:tcPr>
          <w:p>
            <w:pPr>
              <w:spacing w:after="20"/>
              <w:jc w:val="left"/>
            </w:pPr>
            <w:r>
              <w:rPr>
                <w:color w:val="1C3A36"/>
                <w:sz w:val="16"/>
              </w:rPr>
              <w:t>2022 to 2025</w:t>
            </w:r>
          </w:p>
        </w:tc>
      </w:tr>
      <w:tr>
        <w:tc>
          <w:tcPr>
            <w:tcW w:type="dxa" w:w="2448"/>
          </w:tcPr>
          <w:p>
            <w:pPr>
              <w:spacing w:after="20"/>
              <w:jc w:val="left"/>
            </w:pPr>
            <w:r>
              <w:rPr>
                <w:color w:val="1C3A36"/>
                <w:sz w:val="16"/>
              </w:rPr>
              <w:t>Carbon border adjustment</w:t>
            </w:r>
          </w:p>
        </w:tc>
        <w:tc>
          <w:tcPr>
            <w:tcW w:type="dxa" w:w="6048"/>
          </w:tcPr>
          <w:p>
            <w:pPr>
              <w:spacing w:after="20"/>
              <w:jc w:val="left"/>
            </w:pPr>
            <w:r>
              <w:rPr>
                <w:color w:val="1C3A36"/>
                <w:sz w:val="16"/>
              </w:rPr>
              <w:t>European reporting obligations reaching Egyptian nitrogen exports from 2026</w:t>
            </w:r>
          </w:p>
        </w:tc>
        <w:tc>
          <w:tcPr>
            <w:tcW w:type="dxa" w:w="3312"/>
          </w:tcPr>
          <w:p>
            <w:pPr>
              <w:spacing w:after="20"/>
              <w:jc w:val="left"/>
            </w:pPr>
            <w:r>
              <w:rPr>
                <w:color w:val="1C3A36"/>
                <w:sz w:val="16"/>
              </w:rPr>
              <w:t>Auditor's report; European policy</w:t>
            </w:r>
          </w:p>
        </w:tc>
        <w:tc>
          <w:tcPr>
            <w:tcW w:type="dxa" w:w="1440"/>
          </w:tcPr>
          <w:p>
            <w:pPr>
              <w:spacing w:after="20"/>
              <w:jc w:val="left"/>
            </w:pPr>
            <w:r>
              <w:rPr>
                <w:color w:val="1C3A36"/>
                <w:sz w:val="16"/>
              </w:rPr>
              <w:t>2025-2026</w:t>
            </w:r>
          </w:p>
        </w:tc>
      </w:tr>
    </w:tbl>
    <w:p>
      <w:pPr>
        <w:spacing w:after="40"/>
      </w:pPr>
    </w:p>
    <w:p>
      <w:pPr>
        <w:spacing w:after="100" w:before="240"/>
      </w:pPr>
      <w:r>
        <w:rPr>
          <w:b/>
          <w:i w:val="0"/>
          <w:color w:val="1C3A36"/>
          <w:sz w:val="28"/>
        </w:rPr>
        <w:t>4.  Cross-checks, used to test and never to build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5328"/>
        <w:gridCol w:w="5904"/>
      </w:tblGrid>
      <w:tr>
        <w:tc>
          <w:tcPr>
            <w:tcW w:type="dxa" w:w="2880"/>
            <w:shd w:val="clear" w:color="auto" w:fill="EAF0EE"/>
          </w:tcPr>
          <w:p>
            <w:pPr>
              <w:spacing w:after="20"/>
              <w:jc w:val="left"/>
            </w:pPr>
            <w:r>
              <w:rPr>
                <w:b/>
                <w:color w:val="1C3A36"/>
                <w:sz w:val="16"/>
              </w:rPr>
              <w:t>Cross-check</w:t>
            </w:r>
          </w:p>
        </w:tc>
        <w:tc>
          <w:tcPr>
            <w:tcW w:type="dxa" w:w="5328"/>
            <w:shd w:val="clear" w:color="auto" w:fill="EAF0EE"/>
          </w:tcPr>
          <w:p>
            <w:pPr>
              <w:spacing w:after="20"/>
              <w:jc w:val="left"/>
            </w:pPr>
            <w:r>
              <w:rPr>
                <w:b/>
                <w:color w:val="1C3A36"/>
                <w:sz w:val="16"/>
              </w:rPr>
              <w:t>What it was used for</w:t>
            </w:r>
          </w:p>
        </w:tc>
        <w:tc>
          <w:tcPr>
            <w:tcW w:type="dxa" w:w="5904"/>
            <w:shd w:val="clear" w:color="auto" w:fill="EAF0EE"/>
          </w:tcPr>
          <w:p>
            <w:pPr>
              <w:spacing w:after="20"/>
              <w:jc w:val="left"/>
            </w:pPr>
            <w:r>
              <w:rPr>
                <w:b/>
                <w:color w:val="1C3A36"/>
                <w:sz w:val="16"/>
              </w:rPr>
              <w:t>Why it is not a build source</w:t>
            </w:r>
          </w:p>
        </w:tc>
      </w:tr>
      <w:tr>
        <w:tc>
          <w:tcPr>
            <w:tcW w:type="dxa" w:w="2880"/>
          </w:tcPr>
          <w:p>
            <w:pPr>
              <w:spacing w:after="20"/>
              <w:jc w:val="left"/>
            </w:pPr>
            <w:r>
              <w:rPr>
                <w:color w:val="1C3A36"/>
                <w:sz w:val="16"/>
              </w:rPr>
              <w:t>Financial data aggregators</w:t>
            </w:r>
          </w:p>
        </w:tc>
        <w:tc>
          <w:tcPr>
            <w:tcW w:type="dxa" w:w="5328"/>
          </w:tcPr>
          <w:p>
            <w:pPr>
              <w:spacing w:after="20"/>
              <w:jc w:val="left"/>
            </w:pPr>
            <w:r>
              <w:rPr>
                <w:color w:val="1C3A36"/>
                <w:sz w:val="16"/>
              </w:rPr>
              <w:t>Confirming the ticker, the fiscal-year convention and the order of magnitude of market capitalisation</w:t>
            </w:r>
          </w:p>
        </w:tc>
        <w:tc>
          <w:tcPr>
            <w:tcW w:type="dxa" w:w="5904"/>
          </w:tcPr>
          <w:p>
            <w:pPr>
              <w:spacing w:after="20"/>
              <w:jc w:val="left"/>
            </w:pPr>
            <w:r>
              <w:rPr>
                <w:color w:val="1C3A36"/>
                <w:sz w:val="16"/>
              </w:rPr>
              <w:t>Aggregators restate and normalise; the company's own statements are the only permitted source for its reported figures</w:t>
            </w:r>
          </w:p>
        </w:tc>
      </w:tr>
      <w:tr>
        <w:tc>
          <w:tcPr>
            <w:tcW w:type="dxa" w:w="2880"/>
          </w:tcPr>
          <w:p>
            <w:pPr>
              <w:spacing w:after="20"/>
              <w:jc w:val="left"/>
            </w:pPr>
            <w:r>
              <w:rPr>
                <w:color w:val="1C3A36"/>
                <w:sz w:val="16"/>
              </w:rPr>
              <w:t>Press reporting of half-year profit</w:t>
            </w:r>
          </w:p>
        </w:tc>
        <w:tc>
          <w:tcPr>
            <w:tcW w:type="dxa" w:w="5328"/>
          </w:tcPr>
          <w:p>
            <w:pPr>
              <w:spacing w:after="20"/>
              <w:jc w:val="left"/>
            </w:pPr>
            <w:r>
              <w:rPr>
                <w:color w:val="1C3A36"/>
                <w:sz w:val="16"/>
              </w:rPr>
              <w:t>A first sanity check on the interim result before the filing itself was read</w:t>
            </w:r>
          </w:p>
        </w:tc>
        <w:tc>
          <w:tcPr>
            <w:tcW w:type="dxa" w:w="5904"/>
          </w:tcPr>
          <w:p>
            <w:pPr>
              <w:spacing w:after="20"/>
              <w:jc w:val="left"/>
            </w:pPr>
            <w:r>
              <w:rPr>
                <w:color w:val="1C3A36"/>
                <w:sz w:val="16"/>
              </w:rPr>
              <w:t>Superseded entirely by the reviewed statements</w:t>
            </w:r>
          </w:p>
        </w:tc>
      </w:tr>
      <w:tr>
        <w:tc>
          <w:tcPr>
            <w:tcW w:type="dxa" w:w="2880"/>
          </w:tcPr>
          <w:p>
            <w:pPr>
              <w:spacing w:after="20"/>
              <w:jc w:val="left"/>
            </w:pPr>
            <w:r>
              <w:rPr>
                <w:color w:val="1C3A36"/>
                <w:sz w:val="16"/>
              </w:rPr>
              <w:t>Peer capacity and location</w:t>
            </w:r>
          </w:p>
        </w:tc>
        <w:tc>
          <w:tcPr>
            <w:tcW w:type="dxa" w:w="5328"/>
          </w:tcPr>
          <w:p>
            <w:pPr>
              <w:spacing w:after="20"/>
              <w:jc w:val="left"/>
            </w:pPr>
            <w:r>
              <w:rPr>
                <w:color w:val="1C3A36"/>
                <w:sz w:val="16"/>
              </w:rPr>
              <w:t>Framing the freight disadvantage of an inland plant</w:t>
            </w:r>
          </w:p>
        </w:tc>
        <w:tc>
          <w:tcPr>
            <w:tcW w:type="dxa" w:w="5904"/>
          </w:tcPr>
          <w:p>
            <w:pPr>
              <w:spacing w:after="20"/>
              <w:jc w:val="left"/>
            </w:pPr>
            <w:r>
              <w:rPr>
                <w:color w:val="1C3A36"/>
                <w:sz w:val="16"/>
              </w:rPr>
              <w:t>Peer data informs comparison only, never this company's own history</w:t>
            </w:r>
          </w:p>
        </w:tc>
      </w:tr>
    </w:tbl>
    <w:p>
      <w:pPr>
        <w:spacing w:after="40"/>
      </w:pPr>
    </w:p>
    <w:p>
      <w:pPr>
        <w:spacing w:after="100" w:before="240"/>
      </w:pPr>
      <w:r>
        <w:rPr>
          <w:b/>
          <w:i w:val="0"/>
          <w:color w:val="1C3A36"/>
          <w:sz w:val="28"/>
        </w:rPr>
        <w:t>5.  Access notes, including what could not be obtained</w:t>
      </w:r>
    </w:p>
    <w:p>
      <w:pPr>
        <w:spacing w:after="100" w:before="0"/>
      </w:pPr>
      <w:r>
        <w:rPr>
          <w:b/>
          <w:i w:val="0"/>
          <w:color w:val="1C3A36"/>
          <w:sz w:val="18"/>
        </w:rPr>
        <w:t>REACHED — https://www.kimaegypt.com/InvestorsRelations.aspx</w:t>
      </w:r>
    </w:p>
    <w:p>
      <w:pPr>
        <w:spacing w:after="140" w:before="0"/>
      </w:pPr>
      <w:r>
        <w:rPr>
          <w:b w:val="0"/>
          <w:i w:val="0"/>
          <w:color w:val="6E7B77"/>
          <w:sz w:val="17"/>
        </w:rPr>
        <w:t>Company's own IR page. This session's original proxy refused CONNECT (403); the user opened an unrestricted environment and a network-enabled helper session retrieved the page and every filing. The page embeds the IR portal from mistnews.com (the company's IR-portal provider); the PDFs are the company's own issued filings.</w:t>
      </w:r>
    </w:p>
    <w:p>
      <w:pPr>
        <w:spacing w:after="100" w:before="0"/>
      </w:pPr>
      <w:r>
        <w:rPr>
          <w:b/>
          <w:i w:val="0"/>
          <w:color w:val="1C3A36"/>
          <w:sz w:val="18"/>
        </w:rPr>
        <w:t>REACHED — https://www.mistnews.com/ir/ir.aspx?sk=1034241017</w:t>
      </w:r>
    </w:p>
    <w:p>
      <w:pPr>
        <w:spacing w:after="140" w:before="0"/>
      </w:pPr>
      <w:r>
        <w:rPr>
          <w:b w:val="0"/>
          <w:i w:val="0"/>
          <w:color w:val="6E7B77"/>
          <w:sz w:val="17"/>
        </w:rPr>
        <w:t>KIMA's IR portal (Financial Statements / Disclosure Reports / Audit Reports / Share Price / News). Source of all seven filing PDFs; full index in filings/SOURCES.md.</w:t>
      </w:r>
    </w:p>
    <w:p>
      <w:pPr>
        <w:spacing w:after="100" w:before="0"/>
      </w:pPr>
      <w:r>
        <w:rPr>
          <w:b/>
          <w:i w:val="0"/>
          <w:color w:val="1C3A36"/>
          <w:sz w:val="18"/>
        </w:rPr>
        <w:t>NOT REACHED — https://www.egx.com.eg/en/CompanyProfile.aspx?ISIN=EGS38201C017</w:t>
      </w:r>
    </w:p>
    <w:p>
      <w:pPr>
        <w:spacing w:after="140" w:before="0"/>
      </w:pPr>
      <w:r>
        <w:rPr>
          <w:b w:val="0"/>
          <w:i w:val="0"/>
          <w:color w:val="6E7B77"/>
          <w:sz w:val="17"/>
        </w:rPr>
        <w:t>Exchange disclosure portal behind an F5/TSPD JS bot-challenge: WebFetch 503, curl got the challenge HTML, headless Chromium reset — even from the unrestricted helper. Exchange-stated share count therefore NOT obtained from EGX; the share count is taken from note 14 of the audited FY2024/25 statements instead (1,986,578,999 x EGP 5).</w:t>
      </w:r>
    </w:p>
    <w:p>
      <w:pPr>
        <w:spacing w:after="100" w:before="0"/>
      </w:pPr>
      <w:r>
        <w:rPr>
          <w:b/>
          <w:i w:val="0"/>
          <w:color w:val="1C3A36"/>
          <w:sz w:val="18"/>
        </w:rPr>
        <w:t>NOT REACHED — https://www.cbe.org.eg/en/auctions/egp-t-bills</w:t>
      </w:r>
    </w:p>
    <w:p>
      <w:pPr>
        <w:spacing w:after="140" w:before="0"/>
      </w:pPr>
      <w:r>
        <w:rPr>
          <w:b w:val="0"/>
          <w:i w:val="0"/>
          <w:color w:val="6E7B77"/>
          <w:sz w:val="17"/>
        </w:rPr>
        <w:t>CBE auction pages WAF-blocked ('requested URL was rejected') from the helper too; T-bill yields carried from secondary quotes (investing.com), labelled as such.</w:t>
      </w:r>
    </w:p>
    <w:p>
      <w:pPr>
        <w:spacing w:after="100" w:before="0"/>
      </w:pPr>
      <w:r>
        <w:rPr>
          <w:b w:val="0"/>
          <w:i w:val="0"/>
          <w:color w:val="1C3A36"/>
          <w:sz w:val="18"/>
        </w:rPr>
        <w:t>Two consequences follow and both are stated in the study itself. The share count comes from the audited statements rather than the exchange, and treasury-bill yields are secondary quotes rather than auction results. Neither substitution touches a figure the company reports about itself.</w:t>
      </w:r>
    </w:p>
    <w:p>
      <w:r>
        <w:br w:type="page"/>
      </w:r>
    </w:p>
    <w:p>
      <w:pPr>
        <w:spacing w:after="100" w:before="240"/>
      </w:pPr>
      <w:r>
        <w:rPr>
          <w:b/>
          <w:i w:val="0"/>
          <w:color w:val="1C3A36"/>
          <w:sz w:val="28"/>
        </w:rPr>
        <w:t>6.  The full input register — every input, four fields, grouped by layer</w:t>
      </w:r>
    </w:p>
    <w:p>
      <w:pPr>
        <w:spacing w:after="100" w:before="0"/>
      </w:pPr>
      <w:r>
        <w:rPr>
          <w:b w:val="0"/>
          <w:i w:val="0"/>
          <w:color w:val="6E7B77"/>
          <w:sz w:val="18"/>
        </w:rPr>
        <w:t>Value, source-and-construction, date and layer for every input the study uses. Nothing in the deliverables is an orphan number.</w:t>
      </w:r>
    </w:p>
    <w:p>
      <w:pPr>
        <w:spacing w:after="100" w:before="160"/>
      </w:pPr>
      <w:r>
        <w:rPr>
          <w:b/>
          <w:i w:val="0"/>
          <w:color w:val="1C3A36"/>
          <w:sz w:val="21"/>
        </w:rPr>
        <w:t>L1 — Primary filing — the company's own statements  (174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944"/>
        <w:gridCol w:w="1224"/>
        <w:gridCol w:w="1152"/>
        <w:gridCol w:w="7344"/>
      </w:tblGrid>
      <w:tr>
        <w:tc>
          <w:tcPr>
            <w:tcW w:type="dxa" w:w="2448"/>
            <w:shd w:val="clear" w:color="auto" w:fill="EAF0EE"/>
          </w:tcPr>
          <w:p>
            <w:pPr>
              <w:spacing w:after="20"/>
              <w:jc w:val="left"/>
            </w:pPr>
            <w:r>
              <w:rPr>
                <w:b/>
                <w:color w:val="1C3A36"/>
                <w:sz w:val="14"/>
              </w:rPr>
              <w:t>Input</w:t>
            </w:r>
          </w:p>
        </w:tc>
        <w:tc>
          <w:tcPr>
            <w:tcW w:type="dxa" w:w="1944"/>
            <w:shd w:val="clear" w:color="auto" w:fill="EAF0EE"/>
          </w:tcPr>
          <w:p>
            <w:pPr>
              <w:spacing w:after="20"/>
              <w:jc w:val="left"/>
            </w:pPr>
            <w:r>
              <w:rPr>
                <w:b/>
                <w:color w:val="1C3A36"/>
                <w:sz w:val="14"/>
              </w:rPr>
              <w:t>Value</w:t>
            </w:r>
          </w:p>
        </w:tc>
        <w:tc>
          <w:tcPr>
            <w:tcW w:type="dxa" w:w="1224"/>
            <w:shd w:val="clear" w:color="auto" w:fill="EAF0EE"/>
          </w:tcPr>
          <w:p>
            <w:pPr>
              <w:spacing w:after="20"/>
              <w:jc w:val="left"/>
            </w:pPr>
            <w:r>
              <w:rPr>
                <w:b/>
                <w:color w:val="1C3A36"/>
                <w:sz w:val="14"/>
              </w:rPr>
              <w:t>Unit</w:t>
            </w:r>
          </w:p>
        </w:tc>
        <w:tc>
          <w:tcPr>
            <w:tcW w:type="dxa" w:w="1152"/>
            <w:shd w:val="clear" w:color="auto" w:fill="EAF0EE"/>
          </w:tcPr>
          <w:p>
            <w:pPr>
              <w:spacing w:after="20"/>
              <w:jc w:val="left"/>
            </w:pPr>
            <w:r>
              <w:rPr>
                <w:b/>
                <w:color w:val="1C3A36"/>
                <w:sz w:val="14"/>
              </w:rPr>
              <w:t>Date</w:t>
            </w:r>
          </w:p>
        </w:tc>
        <w:tc>
          <w:tcPr>
            <w:tcW w:type="dxa" w:w="7344"/>
            <w:shd w:val="clear" w:color="auto" w:fill="EAF0EE"/>
          </w:tcPr>
          <w:p>
            <w:pPr>
              <w:spacing w:after="20"/>
              <w:jc w:val="left"/>
            </w:pPr>
            <w:r>
              <w:rPr>
                <w:b/>
                <w:color w:val="1C3A36"/>
                <w:sz w:val="14"/>
              </w:rPr>
              <w:t>Source and construction</w:t>
            </w:r>
          </w:p>
        </w:tc>
      </w:tr>
      <w:tr>
        <w:tc>
          <w:tcPr>
            <w:tcW w:type="dxa" w:w="2448"/>
          </w:tcPr>
          <w:p>
            <w:pPr>
              <w:spacing w:after="20"/>
              <w:jc w:val="left"/>
            </w:pPr>
            <w:r>
              <w:rPr>
                <w:color w:val="1C3A36"/>
                <w:sz w:val="14"/>
              </w:rPr>
              <w:t>amort_FY2223</w:t>
            </w:r>
          </w:p>
        </w:tc>
        <w:tc>
          <w:tcPr>
            <w:tcW w:type="dxa" w:w="1944"/>
          </w:tcPr>
          <w:p>
            <w:pPr>
              <w:spacing w:after="20"/>
              <w:jc w:val="left"/>
            </w:pPr>
            <w:r>
              <w:rPr>
                <w:color w:val="1C3A36"/>
                <w:sz w:val="14"/>
              </w:rPr>
              <w:t>92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amortisation of intangible assets — Modelled split of the depreciation and amortisation charge; flagged</w:t>
            </w:r>
          </w:p>
        </w:tc>
      </w:tr>
      <w:tr>
        <w:tc>
          <w:tcPr>
            <w:tcW w:type="dxa" w:w="2448"/>
          </w:tcPr>
          <w:p>
            <w:pPr>
              <w:spacing w:after="20"/>
              <w:jc w:val="left"/>
            </w:pPr>
            <w:r>
              <w:rPr>
                <w:color w:val="1C3A36"/>
                <w:sz w:val="14"/>
              </w:rPr>
              <w:t>amort_FY2324</w:t>
            </w:r>
          </w:p>
        </w:tc>
        <w:tc>
          <w:tcPr>
            <w:tcW w:type="dxa" w:w="1944"/>
          </w:tcPr>
          <w:p>
            <w:pPr>
              <w:spacing w:after="20"/>
              <w:jc w:val="left"/>
            </w:pPr>
            <w:r>
              <w:rPr>
                <w:color w:val="1C3A36"/>
                <w:sz w:val="14"/>
              </w:rPr>
              <w:t>110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amortisation of intangible assets — Modelled split of the depreciation and amortisation charge; flagged</w:t>
            </w:r>
          </w:p>
        </w:tc>
      </w:tr>
      <w:tr>
        <w:tc>
          <w:tcPr>
            <w:tcW w:type="dxa" w:w="2448"/>
          </w:tcPr>
          <w:p>
            <w:pPr>
              <w:spacing w:after="20"/>
              <w:jc w:val="left"/>
            </w:pPr>
            <w:r>
              <w:rPr>
                <w:color w:val="1C3A36"/>
                <w:sz w:val="14"/>
              </w:rPr>
              <w:t>amort_FY2425</w:t>
            </w:r>
          </w:p>
        </w:tc>
        <w:tc>
          <w:tcPr>
            <w:tcW w:type="dxa" w:w="1944"/>
          </w:tcPr>
          <w:p>
            <w:pPr>
              <w:spacing w:after="20"/>
              <w:jc w:val="left"/>
            </w:pPr>
            <w:r>
              <w:rPr>
                <w:color w:val="1C3A36"/>
                <w:sz w:val="14"/>
              </w:rPr>
              <w:t>119.378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10 usufruct intangible</w:t>
            </w:r>
          </w:p>
        </w:tc>
      </w:tr>
      <w:tr>
        <w:tc>
          <w:tcPr>
            <w:tcW w:type="dxa" w:w="2448"/>
          </w:tcPr>
          <w:p>
            <w:pPr>
              <w:spacing w:after="20"/>
              <w:jc w:val="left"/>
            </w:pPr>
            <w:r>
              <w:rPr>
                <w:color w:val="1C3A36"/>
                <w:sz w:val="14"/>
              </w:rPr>
              <w:t>anna_cost_egp</w:t>
            </w:r>
          </w:p>
        </w:tc>
        <w:tc>
          <w:tcPr>
            <w:tcW w:type="dxa" w:w="1944"/>
          </w:tcPr>
          <w:p>
            <w:pPr>
              <w:spacing w:after="20"/>
              <w:jc w:val="left"/>
            </w:pPr>
            <w:r>
              <w:rPr>
                <w:color w:val="1C3A36"/>
                <w:sz w:val="14"/>
              </w:rPr>
              <w:t>6,422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18-3 — bank-approved investment cost, agreement of 25 June 2025</w:t>
            </w:r>
          </w:p>
        </w:tc>
      </w:tr>
      <w:tr>
        <w:tc>
          <w:tcPr>
            <w:tcW w:type="dxa" w:w="2448"/>
          </w:tcPr>
          <w:p>
            <w:pPr>
              <w:spacing w:after="20"/>
              <w:jc w:val="left"/>
            </w:pPr>
            <w:r>
              <w:rPr>
                <w:color w:val="1C3A36"/>
                <w:sz w:val="14"/>
              </w:rPr>
              <w:t>anna_cost_usd</w:t>
            </w:r>
          </w:p>
        </w:tc>
        <w:tc>
          <w:tcPr>
            <w:tcW w:type="dxa" w:w="1944"/>
          </w:tcPr>
          <w:p>
            <w:pPr>
              <w:spacing w:after="20"/>
              <w:jc w:val="left"/>
            </w:pPr>
            <w:r>
              <w:rPr>
                <w:color w:val="1C3A36"/>
                <w:sz w:val="14"/>
              </w:rPr>
              <w:t>278.385</w:t>
            </w:r>
          </w:p>
        </w:tc>
        <w:tc>
          <w:tcPr>
            <w:tcW w:type="dxa" w:w="1224"/>
          </w:tcPr>
          <w:p>
            <w:pPr>
              <w:spacing w:after="20"/>
              <w:jc w:val="left"/>
            </w:pPr>
            <w:r>
              <w:rPr>
                <w:color w:val="1C3A36"/>
                <w:sz w:val="14"/>
              </w:rPr>
              <w:t>US$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18-3</w:t>
            </w:r>
          </w:p>
        </w:tc>
      </w:tr>
      <w:tr>
        <w:tc>
          <w:tcPr>
            <w:tcW w:type="dxa" w:w="2448"/>
          </w:tcPr>
          <w:p>
            <w:pPr>
              <w:spacing w:after="20"/>
              <w:jc w:val="left"/>
            </w:pPr>
            <w:r>
              <w:rPr>
                <w:color w:val="1C3A36"/>
                <w:sz w:val="14"/>
              </w:rPr>
              <w:t>anna_cwip_FY2425</w:t>
            </w:r>
          </w:p>
        </w:tc>
        <w:tc>
          <w:tcPr>
            <w:tcW w:type="dxa" w:w="1944"/>
          </w:tcPr>
          <w:p>
            <w:pPr>
              <w:spacing w:after="20"/>
              <w:jc w:val="left"/>
            </w:pPr>
            <w:r>
              <w:rPr>
                <w:color w:val="1C3A36"/>
                <w:sz w:val="14"/>
              </w:rPr>
              <w:t>3,746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on the project</w:t>
            </w:r>
          </w:p>
        </w:tc>
      </w:tr>
      <w:tr>
        <w:tc>
          <w:tcPr>
            <w:tcW w:type="dxa" w:w="2448"/>
          </w:tcPr>
          <w:p>
            <w:pPr>
              <w:spacing w:after="20"/>
              <w:jc w:val="left"/>
            </w:pPr>
            <w:r>
              <w:rPr>
                <w:color w:val="1C3A36"/>
                <w:sz w:val="14"/>
              </w:rPr>
              <w:t>anna_loan_egp</w:t>
            </w:r>
          </w:p>
        </w:tc>
        <w:tc>
          <w:tcPr>
            <w:tcW w:type="dxa" w:w="1944"/>
          </w:tcPr>
          <w:p>
            <w:pPr>
              <w:spacing w:after="20"/>
              <w:jc w:val="left"/>
            </w:pPr>
            <w:r>
              <w:rPr>
                <w:color w:val="1C3A36"/>
                <w:sz w:val="14"/>
              </w:rPr>
              <w:t>5,931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18-3</w:t>
            </w:r>
          </w:p>
        </w:tc>
      </w:tr>
      <w:tr>
        <w:tc>
          <w:tcPr>
            <w:tcW w:type="dxa" w:w="2448"/>
          </w:tcPr>
          <w:p>
            <w:pPr>
              <w:spacing w:after="20"/>
              <w:jc w:val="left"/>
            </w:pPr>
            <w:r>
              <w:rPr>
                <w:color w:val="1C3A36"/>
                <w:sz w:val="14"/>
              </w:rPr>
              <w:t>anna_loan_usd</w:t>
            </w:r>
          </w:p>
        </w:tc>
        <w:tc>
          <w:tcPr>
            <w:tcW w:type="dxa" w:w="1944"/>
          </w:tcPr>
          <w:p>
            <w:pPr>
              <w:spacing w:after="20"/>
              <w:jc w:val="left"/>
            </w:pPr>
            <w:r>
              <w:rPr>
                <w:color w:val="1C3A36"/>
                <w:sz w:val="14"/>
              </w:rPr>
              <w:t>82.945</w:t>
            </w:r>
          </w:p>
        </w:tc>
        <w:tc>
          <w:tcPr>
            <w:tcW w:type="dxa" w:w="1224"/>
          </w:tcPr>
          <w:p>
            <w:pPr>
              <w:spacing w:after="20"/>
              <w:jc w:val="left"/>
            </w:pPr>
            <w:r>
              <w:rPr>
                <w:color w:val="1C3A36"/>
                <w:sz w:val="14"/>
              </w:rPr>
              <w:t>US$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18-3</w:t>
            </w:r>
          </w:p>
        </w:tc>
      </w:tr>
      <w:tr>
        <w:tc>
          <w:tcPr>
            <w:tcW w:type="dxa" w:w="2448"/>
          </w:tcPr>
          <w:p>
            <w:pPr>
              <w:spacing w:after="20"/>
              <w:jc w:val="left"/>
            </w:pPr>
            <w:r>
              <w:rPr>
                <w:color w:val="1C3A36"/>
                <w:sz w:val="14"/>
              </w:rPr>
              <w:t>anna_plan_sep2025</w:t>
            </w:r>
          </w:p>
        </w:tc>
        <w:tc>
          <w:tcPr>
            <w:tcW w:type="dxa" w:w="1944"/>
          </w:tcPr>
          <w:p>
            <w:pPr>
              <w:spacing w:after="20"/>
              <w:jc w:val="left"/>
            </w:pPr>
            <w:r>
              <w:rPr>
                <w:color w:val="1C3A36"/>
                <w:sz w:val="14"/>
              </w:rPr>
              <w:t>0.37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w:t>
            </w:r>
          </w:p>
        </w:tc>
      </w:tr>
      <w:tr>
        <w:tc>
          <w:tcPr>
            <w:tcW w:type="dxa" w:w="2448"/>
          </w:tcPr>
          <w:p>
            <w:pPr>
              <w:spacing w:after="20"/>
              <w:jc w:val="left"/>
            </w:pPr>
            <w:r>
              <w:rPr>
                <w:color w:val="1C3A36"/>
                <w:sz w:val="14"/>
              </w:rPr>
              <w:t>anna_progress_sep2025</w:t>
            </w:r>
          </w:p>
        </w:tc>
        <w:tc>
          <w:tcPr>
            <w:tcW w:type="dxa" w:w="1944"/>
          </w:tcPr>
          <w:p>
            <w:pPr>
              <w:spacing w:after="20"/>
              <w:jc w:val="left"/>
            </w:pPr>
            <w:r>
              <w:rPr>
                <w:color w:val="1C3A36"/>
                <w:sz w:val="14"/>
              </w:rPr>
              <w:t>0.129</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 — physical progress against a 37% plan</w:t>
            </w:r>
          </w:p>
        </w:tc>
      </w:tr>
      <w:tr>
        <w:tc>
          <w:tcPr>
            <w:tcW w:type="dxa" w:w="2448"/>
          </w:tcPr>
          <w:p>
            <w:pPr>
              <w:spacing w:after="20"/>
              <w:jc w:val="left"/>
            </w:pPr>
            <w:r>
              <w:rPr>
                <w:color w:val="1C3A36"/>
                <w:sz w:val="14"/>
              </w:rPr>
              <w:t>bs_acc_dep_M9FY2526</w:t>
            </w:r>
          </w:p>
        </w:tc>
        <w:tc>
          <w:tcPr>
            <w:tcW w:type="dxa" w:w="1944"/>
          </w:tcPr>
          <w:p>
            <w:pPr>
              <w:spacing w:after="20"/>
              <w:jc w:val="left"/>
            </w:pPr>
            <w:r>
              <w:rPr>
                <w:color w:val="1C3A36"/>
                <w:sz w:val="14"/>
              </w:rPr>
              <w:t>3,435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2026-05-20</w:t>
            </w:r>
          </w:p>
        </w:tc>
        <w:tc>
          <w:tcPr>
            <w:tcW w:type="dxa" w:w="7344"/>
          </w:tcPr>
          <w:p>
            <w:pPr>
              <w:spacing w:after="20"/>
              <w:jc w:val="left"/>
            </w:pPr>
            <w:r>
              <w:rPr>
                <w:color w:val="1C3A36"/>
                <w:sz w:val="14"/>
              </w:rPr>
              <w:t>Interim statements, nine months ended 31 March 2026, limited review dated 20 May 2026, note 6 accumulated depreciation</w:t>
            </w:r>
          </w:p>
        </w:tc>
      </w:tr>
      <w:tr>
        <w:tc>
          <w:tcPr>
            <w:tcW w:type="dxa" w:w="2448"/>
          </w:tcPr>
          <w:p>
            <w:pPr>
              <w:spacing w:after="20"/>
              <w:jc w:val="left"/>
            </w:pPr>
            <w:r>
              <w:rPr>
                <w:color w:val="1C3A36"/>
                <w:sz w:val="14"/>
              </w:rPr>
              <w:t>bs_capital_FY2223</w:t>
            </w:r>
          </w:p>
        </w:tc>
        <w:tc>
          <w:tcPr>
            <w:tcW w:type="dxa" w:w="1944"/>
          </w:tcPr>
          <w:p>
            <w:pPr>
              <w:spacing w:after="20"/>
              <w:jc w:val="left"/>
            </w:pPr>
            <w:r>
              <w:rPr>
                <w:color w:val="1C3A36"/>
                <w:sz w:val="14"/>
              </w:rPr>
              <w:t>5,933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bs_capital_FY2324</w:t>
            </w:r>
          </w:p>
        </w:tc>
        <w:tc>
          <w:tcPr>
            <w:tcW w:type="dxa" w:w="1944"/>
          </w:tcPr>
          <w:p>
            <w:pPr>
              <w:spacing w:after="20"/>
              <w:jc w:val="left"/>
            </w:pPr>
            <w:r>
              <w:rPr>
                <w:color w:val="1C3A36"/>
                <w:sz w:val="14"/>
              </w:rPr>
              <w:t>9,933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bs_capital_FY2425</w:t>
            </w:r>
          </w:p>
        </w:tc>
        <w:tc>
          <w:tcPr>
            <w:tcW w:type="dxa" w:w="1944"/>
          </w:tcPr>
          <w:p>
            <w:pPr>
              <w:spacing w:after="20"/>
              <w:jc w:val="left"/>
            </w:pPr>
            <w:r>
              <w:rPr>
                <w:color w:val="1C3A36"/>
                <w:sz w:val="14"/>
              </w:rPr>
              <w:t>9,933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bs_capital_M9FY2526</w:t>
            </w:r>
          </w:p>
        </w:tc>
        <w:tc>
          <w:tcPr>
            <w:tcW w:type="dxa" w:w="1944"/>
          </w:tcPr>
          <w:p>
            <w:pPr>
              <w:spacing w:after="20"/>
              <w:jc w:val="left"/>
            </w:pPr>
            <w:r>
              <w:rPr>
                <w:color w:val="1C3A36"/>
                <w:sz w:val="14"/>
              </w:rPr>
              <w:t>9,933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bs_cash_FY2223</w:t>
            </w:r>
          </w:p>
        </w:tc>
        <w:tc>
          <w:tcPr>
            <w:tcW w:type="dxa" w:w="1944"/>
          </w:tcPr>
          <w:p>
            <w:pPr>
              <w:spacing w:after="20"/>
              <w:jc w:val="left"/>
            </w:pPr>
            <w:r>
              <w:rPr>
                <w:color w:val="1C3A36"/>
                <w:sz w:val="14"/>
              </w:rPr>
              <w:t>1,416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bs_cash_FY2324</w:t>
            </w:r>
          </w:p>
        </w:tc>
        <w:tc>
          <w:tcPr>
            <w:tcW w:type="dxa" w:w="1944"/>
          </w:tcPr>
          <w:p>
            <w:pPr>
              <w:spacing w:after="20"/>
              <w:jc w:val="left"/>
            </w:pPr>
            <w:r>
              <w:rPr>
                <w:color w:val="1C3A36"/>
                <w:sz w:val="14"/>
              </w:rPr>
              <w:t>3,103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bs_cash_FY2425</w:t>
            </w:r>
          </w:p>
        </w:tc>
        <w:tc>
          <w:tcPr>
            <w:tcW w:type="dxa" w:w="1944"/>
          </w:tcPr>
          <w:p>
            <w:pPr>
              <w:spacing w:after="20"/>
              <w:jc w:val="left"/>
            </w:pPr>
            <w:r>
              <w:rPr>
                <w:color w:val="1C3A36"/>
                <w:sz w:val="14"/>
              </w:rPr>
              <w:t>3,057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bs_cash_M9FY2526</w:t>
            </w:r>
          </w:p>
        </w:tc>
        <w:tc>
          <w:tcPr>
            <w:tcW w:type="dxa" w:w="1944"/>
          </w:tcPr>
          <w:p>
            <w:pPr>
              <w:spacing w:after="20"/>
              <w:jc w:val="left"/>
            </w:pPr>
            <w:r>
              <w:rPr>
                <w:color w:val="1C3A36"/>
                <w:sz w:val="14"/>
              </w:rPr>
              <w:t>4,607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bs_cwip_FY2223</w:t>
            </w:r>
          </w:p>
        </w:tc>
        <w:tc>
          <w:tcPr>
            <w:tcW w:type="dxa" w:w="1944"/>
          </w:tcPr>
          <w:p>
            <w:pPr>
              <w:spacing w:after="20"/>
              <w:jc w:val="left"/>
            </w:pPr>
            <w:r>
              <w:rPr>
                <w:color w:val="1C3A36"/>
                <w:sz w:val="14"/>
              </w:rPr>
              <w:t>56.405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bs_cwip_FY2324</w:t>
            </w:r>
          </w:p>
        </w:tc>
        <w:tc>
          <w:tcPr>
            <w:tcW w:type="dxa" w:w="1944"/>
          </w:tcPr>
          <w:p>
            <w:pPr>
              <w:spacing w:after="20"/>
              <w:jc w:val="left"/>
            </w:pPr>
            <w:r>
              <w:rPr>
                <w:color w:val="1C3A36"/>
                <w:sz w:val="14"/>
              </w:rPr>
              <w:t>2,535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bs_cwip_FY2425</w:t>
            </w:r>
          </w:p>
        </w:tc>
        <w:tc>
          <w:tcPr>
            <w:tcW w:type="dxa" w:w="1944"/>
          </w:tcPr>
          <w:p>
            <w:pPr>
              <w:spacing w:after="20"/>
              <w:jc w:val="left"/>
            </w:pPr>
            <w:r>
              <w:rPr>
                <w:color w:val="1C3A36"/>
                <w:sz w:val="14"/>
              </w:rPr>
              <w:t>3,790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bs_cwip_M9FY2526</w:t>
            </w:r>
          </w:p>
        </w:tc>
        <w:tc>
          <w:tcPr>
            <w:tcW w:type="dxa" w:w="1944"/>
          </w:tcPr>
          <w:p>
            <w:pPr>
              <w:spacing w:after="20"/>
              <w:jc w:val="left"/>
            </w:pPr>
            <w:r>
              <w:rPr>
                <w:color w:val="1C3A36"/>
                <w:sz w:val="14"/>
              </w:rPr>
              <w:t>5,654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bs_debt_cur_FY2223</w:t>
            </w:r>
          </w:p>
        </w:tc>
        <w:tc>
          <w:tcPr>
            <w:tcW w:type="dxa" w:w="1944"/>
          </w:tcPr>
          <w:p>
            <w:pPr>
              <w:spacing w:after="20"/>
              <w:jc w:val="left"/>
            </w:pPr>
            <w:r>
              <w:rPr>
                <w:color w:val="1C3A36"/>
                <w:sz w:val="14"/>
              </w:rPr>
              <w:t>21.391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bs_debt_cur_FY2324</w:t>
            </w:r>
          </w:p>
        </w:tc>
        <w:tc>
          <w:tcPr>
            <w:tcW w:type="dxa" w:w="1944"/>
          </w:tcPr>
          <w:p>
            <w:pPr>
              <w:spacing w:after="20"/>
              <w:jc w:val="left"/>
            </w:pPr>
            <w:r>
              <w:rPr>
                <w:color w:val="1C3A36"/>
                <w:sz w:val="14"/>
              </w:rPr>
              <w:t>354.051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bs_debt_cur_FY2425</w:t>
            </w:r>
          </w:p>
        </w:tc>
        <w:tc>
          <w:tcPr>
            <w:tcW w:type="dxa" w:w="1944"/>
          </w:tcPr>
          <w:p>
            <w:pPr>
              <w:spacing w:after="20"/>
              <w:jc w:val="left"/>
            </w:pPr>
            <w:r>
              <w:rPr>
                <w:color w:val="1C3A36"/>
                <w:sz w:val="14"/>
              </w:rPr>
              <w:t>397.314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bs_debt_cur_M9FY2526</w:t>
            </w:r>
          </w:p>
        </w:tc>
        <w:tc>
          <w:tcPr>
            <w:tcW w:type="dxa" w:w="1944"/>
          </w:tcPr>
          <w:p>
            <w:pPr>
              <w:spacing w:after="20"/>
              <w:jc w:val="left"/>
            </w:pPr>
            <w:r>
              <w:rPr>
                <w:color w:val="1C3A36"/>
                <w:sz w:val="14"/>
              </w:rPr>
              <w:t>206.994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bs_debt_holdco_FY2223</w:t>
            </w:r>
          </w:p>
        </w:tc>
        <w:tc>
          <w:tcPr>
            <w:tcW w:type="dxa" w:w="1944"/>
          </w:tcPr>
          <w:p>
            <w:pPr>
              <w:spacing w:after="20"/>
              <w:jc w:val="left"/>
            </w:pPr>
            <w:r>
              <w:rPr>
                <w:color w:val="1C3A36"/>
                <w:sz w:val="14"/>
              </w:rPr>
              <w:t>50.266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bs_debt_holdco_FY2324</w:t>
            </w:r>
          </w:p>
        </w:tc>
        <w:tc>
          <w:tcPr>
            <w:tcW w:type="dxa" w:w="1944"/>
          </w:tcPr>
          <w:p>
            <w:pPr>
              <w:spacing w:after="20"/>
              <w:jc w:val="left"/>
            </w:pPr>
            <w:r>
              <w:rPr>
                <w:color w:val="1C3A36"/>
                <w:sz w:val="14"/>
              </w:rPr>
              <w:t>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bs_debt_holdco_FY2425</w:t>
            </w:r>
          </w:p>
        </w:tc>
        <w:tc>
          <w:tcPr>
            <w:tcW w:type="dxa" w:w="1944"/>
          </w:tcPr>
          <w:p>
            <w:pPr>
              <w:spacing w:after="20"/>
              <w:jc w:val="left"/>
            </w:pPr>
            <w:r>
              <w:rPr>
                <w:color w:val="1C3A36"/>
                <w:sz w:val="14"/>
              </w:rPr>
              <w:t>596.896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bs_debt_holdco_M9FY2526</w:t>
            </w:r>
          </w:p>
        </w:tc>
        <w:tc>
          <w:tcPr>
            <w:tcW w:type="dxa" w:w="1944"/>
          </w:tcPr>
          <w:p>
            <w:pPr>
              <w:spacing w:after="20"/>
              <w:jc w:val="left"/>
            </w:pPr>
            <w:r>
              <w:rPr>
                <w:color w:val="1C3A36"/>
                <w:sz w:val="14"/>
              </w:rPr>
              <w:t>45.955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bs_debt_lt_FY2223</w:t>
            </w:r>
          </w:p>
        </w:tc>
        <w:tc>
          <w:tcPr>
            <w:tcW w:type="dxa" w:w="1944"/>
          </w:tcPr>
          <w:p>
            <w:pPr>
              <w:spacing w:after="20"/>
              <w:jc w:val="left"/>
            </w:pPr>
            <w:r>
              <w:rPr>
                <w:color w:val="1C3A36"/>
                <w:sz w:val="14"/>
              </w:rPr>
              <w:t>8,425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bs_debt_lt_FY2324</w:t>
            </w:r>
          </w:p>
        </w:tc>
        <w:tc>
          <w:tcPr>
            <w:tcW w:type="dxa" w:w="1944"/>
          </w:tcPr>
          <w:p>
            <w:pPr>
              <w:spacing w:after="20"/>
              <w:jc w:val="left"/>
            </w:pPr>
            <w:r>
              <w:rPr>
                <w:color w:val="1C3A36"/>
                <w:sz w:val="14"/>
              </w:rPr>
              <w:t>11,226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bs_debt_lt_FY2425</w:t>
            </w:r>
          </w:p>
        </w:tc>
        <w:tc>
          <w:tcPr>
            <w:tcW w:type="dxa" w:w="1944"/>
          </w:tcPr>
          <w:p>
            <w:pPr>
              <w:spacing w:after="20"/>
              <w:jc w:val="left"/>
            </w:pPr>
            <w:r>
              <w:rPr>
                <w:color w:val="1C3A36"/>
                <w:sz w:val="14"/>
              </w:rPr>
              <w:t>11,183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bs_debt_lt_M9FY2526</w:t>
            </w:r>
          </w:p>
        </w:tc>
        <w:tc>
          <w:tcPr>
            <w:tcW w:type="dxa" w:w="1944"/>
          </w:tcPr>
          <w:p>
            <w:pPr>
              <w:spacing w:after="20"/>
              <w:jc w:val="left"/>
            </w:pPr>
            <w:r>
              <w:rPr>
                <w:color w:val="1C3A36"/>
                <w:sz w:val="14"/>
              </w:rPr>
              <w:t>14,386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bs_dtl_FY2223</w:t>
            </w:r>
          </w:p>
        </w:tc>
        <w:tc>
          <w:tcPr>
            <w:tcW w:type="dxa" w:w="1944"/>
          </w:tcPr>
          <w:p>
            <w:pPr>
              <w:spacing w:after="20"/>
              <w:jc w:val="left"/>
            </w:pPr>
            <w:r>
              <w:rPr>
                <w:color w:val="1C3A36"/>
                <w:sz w:val="14"/>
              </w:rPr>
              <w:t>1,469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bs_dtl_FY2324</w:t>
            </w:r>
          </w:p>
        </w:tc>
        <w:tc>
          <w:tcPr>
            <w:tcW w:type="dxa" w:w="1944"/>
          </w:tcPr>
          <w:p>
            <w:pPr>
              <w:spacing w:after="20"/>
              <w:jc w:val="left"/>
            </w:pPr>
            <w:r>
              <w:rPr>
                <w:color w:val="1C3A36"/>
                <w:sz w:val="14"/>
              </w:rPr>
              <w:t>1,001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bs_dtl_FY2425</w:t>
            </w:r>
          </w:p>
        </w:tc>
        <w:tc>
          <w:tcPr>
            <w:tcW w:type="dxa" w:w="1944"/>
          </w:tcPr>
          <w:p>
            <w:pPr>
              <w:spacing w:after="20"/>
              <w:jc w:val="left"/>
            </w:pPr>
            <w:r>
              <w:rPr>
                <w:color w:val="1C3A36"/>
                <w:sz w:val="14"/>
              </w:rPr>
              <w:t>990.863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bs_dtl_M9FY2526</w:t>
            </w:r>
          </w:p>
        </w:tc>
        <w:tc>
          <w:tcPr>
            <w:tcW w:type="dxa" w:w="1944"/>
          </w:tcPr>
          <w:p>
            <w:pPr>
              <w:spacing w:after="20"/>
              <w:jc w:val="left"/>
            </w:pPr>
            <w:r>
              <w:rPr>
                <w:color w:val="1C3A36"/>
                <w:sz w:val="14"/>
              </w:rPr>
              <w:t>961.184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bs_fixed_FY2223</w:t>
            </w:r>
          </w:p>
        </w:tc>
        <w:tc>
          <w:tcPr>
            <w:tcW w:type="dxa" w:w="1944"/>
          </w:tcPr>
          <w:p>
            <w:pPr>
              <w:spacing w:after="20"/>
              <w:jc w:val="left"/>
            </w:pPr>
            <w:r>
              <w:rPr>
                <w:color w:val="1C3A36"/>
                <w:sz w:val="14"/>
              </w:rPr>
              <w:t>11,300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bs_fixed_FY2324</w:t>
            </w:r>
          </w:p>
        </w:tc>
        <w:tc>
          <w:tcPr>
            <w:tcW w:type="dxa" w:w="1944"/>
          </w:tcPr>
          <w:p>
            <w:pPr>
              <w:spacing w:after="20"/>
              <w:jc w:val="left"/>
            </w:pPr>
            <w:r>
              <w:rPr>
                <w:color w:val="1C3A36"/>
                <w:sz w:val="14"/>
              </w:rPr>
              <w:t>14,144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bs_fixed_FY2425</w:t>
            </w:r>
          </w:p>
        </w:tc>
        <w:tc>
          <w:tcPr>
            <w:tcW w:type="dxa" w:w="1944"/>
          </w:tcPr>
          <w:p>
            <w:pPr>
              <w:spacing w:after="20"/>
              <w:jc w:val="left"/>
            </w:pPr>
            <w:r>
              <w:rPr>
                <w:color w:val="1C3A36"/>
                <w:sz w:val="14"/>
              </w:rPr>
              <w:t>13,587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bs_fixed_M9FY2526</w:t>
            </w:r>
          </w:p>
        </w:tc>
        <w:tc>
          <w:tcPr>
            <w:tcW w:type="dxa" w:w="1944"/>
          </w:tcPr>
          <w:p>
            <w:pPr>
              <w:spacing w:after="20"/>
              <w:jc w:val="left"/>
            </w:pPr>
            <w:r>
              <w:rPr>
                <w:color w:val="1C3A36"/>
                <w:sz w:val="14"/>
              </w:rPr>
              <w:t>13,058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bs_fvoci_FY2223</w:t>
            </w:r>
          </w:p>
        </w:tc>
        <w:tc>
          <w:tcPr>
            <w:tcW w:type="dxa" w:w="1944"/>
          </w:tcPr>
          <w:p>
            <w:pPr>
              <w:spacing w:after="20"/>
              <w:jc w:val="left"/>
            </w:pPr>
            <w:r>
              <w:rPr>
                <w:color w:val="1C3A36"/>
                <w:sz w:val="14"/>
              </w:rPr>
              <w:t>1,855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bs_fvoci_FY2324</w:t>
            </w:r>
          </w:p>
        </w:tc>
        <w:tc>
          <w:tcPr>
            <w:tcW w:type="dxa" w:w="1944"/>
          </w:tcPr>
          <w:p>
            <w:pPr>
              <w:spacing w:after="20"/>
              <w:jc w:val="left"/>
            </w:pPr>
            <w:r>
              <w:rPr>
                <w:color w:val="1C3A36"/>
                <w:sz w:val="14"/>
              </w:rPr>
              <w:t>2,491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bs_fvoci_FY2425</w:t>
            </w:r>
          </w:p>
        </w:tc>
        <w:tc>
          <w:tcPr>
            <w:tcW w:type="dxa" w:w="1944"/>
          </w:tcPr>
          <w:p>
            <w:pPr>
              <w:spacing w:after="20"/>
              <w:jc w:val="left"/>
            </w:pPr>
            <w:r>
              <w:rPr>
                <w:color w:val="1C3A36"/>
                <w:sz w:val="14"/>
              </w:rPr>
              <w:t>2,163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bs_fvoci_M9FY2526</w:t>
            </w:r>
          </w:p>
        </w:tc>
        <w:tc>
          <w:tcPr>
            <w:tcW w:type="dxa" w:w="1944"/>
          </w:tcPr>
          <w:p>
            <w:pPr>
              <w:spacing w:after="20"/>
              <w:jc w:val="left"/>
            </w:pPr>
            <w:r>
              <w:rPr>
                <w:color w:val="1C3A36"/>
                <w:sz w:val="14"/>
              </w:rPr>
              <w:t>1,383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bs_gross_fixed_M9FY2526</w:t>
            </w:r>
          </w:p>
        </w:tc>
        <w:tc>
          <w:tcPr>
            <w:tcW w:type="dxa" w:w="1944"/>
          </w:tcPr>
          <w:p>
            <w:pPr>
              <w:spacing w:after="20"/>
              <w:jc w:val="left"/>
            </w:pPr>
            <w:r>
              <w:rPr>
                <w:color w:val="1C3A36"/>
                <w:sz w:val="14"/>
              </w:rPr>
              <w:t>17,022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2026-05-20</w:t>
            </w:r>
          </w:p>
        </w:tc>
        <w:tc>
          <w:tcPr>
            <w:tcW w:type="dxa" w:w="7344"/>
          </w:tcPr>
          <w:p>
            <w:pPr>
              <w:spacing w:after="20"/>
              <w:jc w:val="left"/>
            </w:pPr>
            <w:r>
              <w:rPr>
                <w:color w:val="1C3A36"/>
                <w:sz w:val="14"/>
              </w:rPr>
              <w:t>Interim statements, nine months ended 31 March 2026, limited review dated 20 May 2026, note 6 fixed assets at cost</w:t>
            </w:r>
          </w:p>
        </w:tc>
      </w:tr>
      <w:tr>
        <w:tc>
          <w:tcPr>
            <w:tcW w:type="dxa" w:w="2448"/>
          </w:tcPr>
          <w:p>
            <w:pPr>
              <w:spacing w:after="20"/>
              <w:jc w:val="left"/>
            </w:pPr>
            <w:r>
              <w:rPr>
                <w:color w:val="1C3A36"/>
                <w:sz w:val="14"/>
              </w:rPr>
              <w:t>bs_intang_FY2223</w:t>
            </w:r>
          </w:p>
        </w:tc>
        <w:tc>
          <w:tcPr>
            <w:tcW w:type="dxa" w:w="1944"/>
          </w:tcPr>
          <w:p>
            <w:pPr>
              <w:spacing w:after="20"/>
              <w:jc w:val="left"/>
            </w:pPr>
            <w:r>
              <w:rPr>
                <w:color w:val="1C3A36"/>
                <w:sz w:val="14"/>
              </w:rPr>
              <w:t>1,909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bs_intang_FY2324</w:t>
            </w:r>
          </w:p>
        </w:tc>
        <w:tc>
          <w:tcPr>
            <w:tcW w:type="dxa" w:w="1944"/>
          </w:tcPr>
          <w:p>
            <w:pPr>
              <w:spacing w:after="20"/>
              <w:jc w:val="left"/>
            </w:pPr>
            <w:r>
              <w:rPr>
                <w:color w:val="1C3A36"/>
                <w:sz w:val="14"/>
              </w:rPr>
              <w:t>2,376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bs_intang_FY2425</w:t>
            </w:r>
          </w:p>
        </w:tc>
        <w:tc>
          <w:tcPr>
            <w:tcW w:type="dxa" w:w="1944"/>
          </w:tcPr>
          <w:p>
            <w:pPr>
              <w:spacing w:after="20"/>
              <w:jc w:val="left"/>
            </w:pPr>
            <w:r>
              <w:rPr>
                <w:color w:val="1C3A36"/>
                <w:sz w:val="14"/>
              </w:rPr>
              <w:t>2,257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bs_intang_M9FY2526</w:t>
            </w:r>
          </w:p>
        </w:tc>
        <w:tc>
          <w:tcPr>
            <w:tcW w:type="dxa" w:w="1944"/>
          </w:tcPr>
          <w:p>
            <w:pPr>
              <w:spacing w:after="20"/>
              <w:jc w:val="left"/>
            </w:pPr>
            <w:r>
              <w:rPr>
                <w:color w:val="1C3A36"/>
                <w:sz w:val="14"/>
              </w:rPr>
              <w:t>2,170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bs_inventory_FY2223</w:t>
            </w:r>
          </w:p>
        </w:tc>
        <w:tc>
          <w:tcPr>
            <w:tcW w:type="dxa" w:w="1944"/>
          </w:tcPr>
          <w:p>
            <w:pPr>
              <w:spacing w:after="20"/>
              <w:jc w:val="left"/>
            </w:pPr>
            <w:r>
              <w:rPr>
                <w:color w:val="1C3A36"/>
                <w:sz w:val="14"/>
              </w:rPr>
              <w:t>1,392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bs_inventory_FY2324</w:t>
            </w:r>
          </w:p>
        </w:tc>
        <w:tc>
          <w:tcPr>
            <w:tcW w:type="dxa" w:w="1944"/>
          </w:tcPr>
          <w:p>
            <w:pPr>
              <w:spacing w:after="20"/>
              <w:jc w:val="left"/>
            </w:pPr>
            <w:r>
              <w:rPr>
                <w:color w:val="1C3A36"/>
                <w:sz w:val="14"/>
              </w:rPr>
              <w:t>1,615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bs_inventory_FY2425</w:t>
            </w:r>
          </w:p>
        </w:tc>
        <w:tc>
          <w:tcPr>
            <w:tcW w:type="dxa" w:w="1944"/>
          </w:tcPr>
          <w:p>
            <w:pPr>
              <w:spacing w:after="20"/>
              <w:jc w:val="left"/>
            </w:pPr>
            <w:r>
              <w:rPr>
                <w:color w:val="1C3A36"/>
                <w:sz w:val="14"/>
              </w:rPr>
              <w:t>2,400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bs_inventory_M9FY2526</w:t>
            </w:r>
          </w:p>
        </w:tc>
        <w:tc>
          <w:tcPr>
            <w:tcW w:type="dxa" w:w="1944"/>
          </w:tcPr>
          <w:p>
            <w:pPr>
              <w:spacing w:after="20"/>
              <w:jc w:val="left"/>
            </w:pPr>
            <w:r>
              <w:rPr>
                <w:color w:val="1C3A36"/>
                <w:sz w:val="14"/>
              </w:rPr>
              <w:t>3,378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bs_invprop_FY2223</w:t>
            </w:r>
          </w:p>
        </w:tc>
        <w:tc>
          <w:tcPr>
            <w:tcW w:type="dxa" w:w="1944"/>
          </w:tcPr>
          <w:p>
            <w:pPr>
              <w:spacing w:after="20"/>
              <w:jc w:val="left"/>
            </w:pPr>
            <w:r>
              <w:rPr>
                <w:color w:val="1C3A36"/>
                <w:sz w:val="14"/>
              </w:rPr>
              <w:t>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bs_invprop_FY2324</w:t>
            </w:r>
          </w:p>
        </w:tc>
        <w:tc>
          <w:tcPr>
            <w:tcW w:type="dxa" w:w="1944"/>
          </w:tcPr>
          <w:p>
            <w:pPr>
              <w:spacing w:after="20"/>
              <w:jc w:val="left"/>
            </w:pPr>
            <w:r>
              <w:rPr>
                <w:color w:val="1C3A36"/>
                <w:sz w:val="14"/>
              </w:rPr>
              <w:t>2,035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bs_invprop_FY2425</w:t>
            </w:r>
          </w:p>
        </w:tc>
        <w:tc>
          <w:tcPr>
            <w:tcW w:type="dxa" w:w="1944"/>
          </w:tcPr>
          <w:p>
            <w:pPr>
              <w:spacing w:after="20"/>
              <w:jc w:val="left"/>
            </w:pPr>
            <w:r>
              <w:rPr>
                <w:color w:val="1C3A36"/>
                <w:sz w:val="14"/>
              </w:rPr>
              <w:t>2,161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bs_invprop_M9FY2526</w:t>
            </w:r>
          </w:p>
        </w:tc>
        <w:tc>
          <w:tcPr>
            <w:tcW w:type="dxa" w:w="1944"/>
          </w:tcPr>
          <w:p>
            <w:pPr>
              <w:spacing w:after="20"/>
              <w:jc w:val="left"/>
            </w:pPr>
            <w:r>
              <w:rPr>
                <w:color w:val="1C3A36"/>
                <w:sz w:val="14"/>
              </w:rPr>
              <w:t>2,155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bs_payables_FY2223</w:t>
            </w:r>
          </w:p>
        </w:tc>
        <w:tc>
          <w:tcPr>
            <w:tcW w:type="dxa" w:w="1944"/>
          </w:tcPr>
          <w:p>
            <w:pPr>
              <w:spacing w:after="20"/>
              <w:jc w:val="left"/>
            </w:pPr>
            <w:r>
              <w:rPr>
                <w:color w:val="1C3A36"/>
                <w:sz w:val="14"/>
              </w:rPr>
              <w:t>1,368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bs_payables_FY2324</w:t>
            </w:r>
          </w:p>
        </w:tc>
        <w:tc>
          <w:tcPr>
            <w:tcW w:type="dxa" w:w="1944"/>
          </w:tcPr>
          <w:p>
            <w:pPr>
              <w:spacing w:after="20"/>
              <w:jc w:val="left"/>
            </w:pPr>
            <w:r>
              <w:rPr>
                <w:color w:val="1C3A36"/>
                <w:sz w:val="14"/>
              </w:rPr>
              <w:t>1,587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bs_payables_FY2425</w:t>
            </w:r>
          </w:p>
        </w:tc>
        <w:tc>
          <w:tcPr>
            <w:tcW w:type="dxa" w:w="1944"/>
          </w:tcPr>
          <w:p>
            <w:pPr>
              <w:spacing w:after="20"/>
              <w:jc w:val="left"/>
            </w:pPr>
            <w:r>
              <w:rPr>
                <w:color w:val="1C3A36"/>
                <w:sz w:val="14"/>
              </w:rPr>
              <w:t>1,208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bs_payables_M9FY2526</w:t>
            </w:r>
          </w:p>
        </w:tc>
        <w:tc>
          <w:tcPr>
            <w:tcW w:type="dxa" w:w="1944"/>
          </w:tcPr>
          <w:p>
            <w:pPr>
              <w:spacing w:after="20"/>
              <w:jc w:val="left"/>
            </w:pPr>
            <w:r>
              <w:rPr>
                <w:color w:val="1C3A36"/>
                <w:sz w:val="14"/>
              </w:rPr>
              <w:t>1,539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bs_provisions_FY2223</w:t>
            </w:r>
          </w:p>
        </w:tc>
        <w:tc>
          <w:tcPr>
            <w:tcW w:type="dxa" w:w="1944"/>
          </w:tcPr>
          <w:p>
            <w:pPr>
              <w:spacing w:after="20"/>
              <w:jc w:val="left"/>
            </w:pPr>
            <w:r>
              <w:rPr>
                <w:color w:val="1C3A36"/>
                <w:sz w:val="14"/>
              </w:rPr>
              <w:t>144.359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bs_provisions_FY2324</w:t>
            </w:r>
          </w:p>
        </w:tc>
        <w:tc>
          <w:tcPr>
            <w:tcW w:type="dxa" w:w="1944"/>
          </w:tcPr>
          <w:p>
            <w:pPr>
              <w:spacing w:after="20"/>
              <w:jc w:val="left"/>
            </w:pPr>
            <w:r>
              <w:rPr>
                <w:color w:val="1C3A36"/>
                <w:sz w:val="14"/>
              </w:rPr>
              <w:t>432.156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bs_provisions_FY2425</w:t>
            </w:r>
          </w:p>
        </w:tc>
        <w:tc>
          <w:tcPr>
            <w:tcW w:type="dxa" w:w="1944"/>
          </w:tcPr>
          <w:p>
            <w:pPr>
              <w:spacing w:after="20"/>
              <w:jc w:val="left"/>
            </w:pPr>
            <w:r>
              <w:rPr>
                <w:color w:val="1C3A36"/>
                <w:sz w:val="14"/>
              </w:rPr>
              <w:t>309.113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bs_provisions_M9FY2526</w:t>
            </w:r>
          </w:p>
        </w:tc>
        <w:tc>
          <w:tcPr>
            <w:tcW w:type="dxa" w:w="1944"/>
          </w:tcPr>
          <w:p>
            <w:pPr>
              <w:spacing w:after="20"/>
              <w:jc w:val="left"/>
            </w:pPr>
            <w:r>
              <w:rPr>
                <w:color w:val="1C3A36"/>
                <w:sz w:val="14"/>
              </w:rPr>
              <w:t>291.769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bs_receivables_FY2223</w:t>
            </w:r>
          </w:p>
        </w:tc>
        <w:tc>
          <w:tcPr>
            <w:tcW w:type="dxa" w:w="1944"/>
          </w:tcPr>
          <w:p>
            <w:pPr>
              <w:spacing w:after="20"/>
              <w:jc w:val="left"/>
            </w:pPr>
            <w:r>
              <w:rPr>
                <w:color w:val="1C3A36"/>
                <w:sz w:val="14"/>
              </w:rPr>
              <w:t>798.577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bs_receivables_FY2324</w:t>
            </w:r>
          </w:p>
        </w:tc>
        <w:tc>
          <w:tcPr>
            <w:tcW w:type="dxa" w:w="1944"/>
          </w:tcPr>
          <w:p>
            <w:pPr>
              <w:spacing w:after="20"/>
              <w:jc w:val="left"/>
            </w:pPr>
            <w:r>
              <w:rPr>
                <w:color w:val="1C3A36"/>
                <w:sz w:val="14"/>
              </w:rPr>
              <w:t>858.39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bs_receivables_FY2425</w:t>
            </w:r>
          </w:p>
        </w:tc>
        <w:tc>
          <w:tcPr>
            <w:tcW w:type="dxa" w:w="1944"/>
          </w:tcPr>
          <w:p>
            <w:pPr>
              <w:spacing w:after="20"/>
              <w:jc w:val="left"/>
            </w:pPr>
            <w:r>
              <w:rPr>
                <w:color w:val="1C3A36"/>
                <w:sz w:val="14"/>
              </w:rPr>
              <w:t>631.047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bs_receivables_M9FY2526</w:t>
            </w:r>
          </w:p>
        </w:tc>
        <w:tc>
          <w:tcPr>
            <w:tcW w:type="dxa" w:w="1944"/>
          </w:tcPr>
          <w:p>
            <w:pPr>
              <w:spacing w:after="20"/>
              <w:jc w:val="left"/>
            </w:pPr>
            <w:r>
              <w:rPr>
                <w:color w:val="1C3A36"/>
                <w:sz w:val="14"/>
              </w:rPr>
              <w:t>1,230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bs_reserves_FY2223</w:t>
            </w:r>
          </w:p>
        </w:tc>
        <w:tc>
          <w:tcPr>
            <w:tcW w:type="dxa" w:w="1944"/>
          </w:tcPr>
          <w:p>
            <w:pPr>
              <w:spacing w:after="20"/>
              <w:jc w:val="left"/>
            </w:pPr>
            <w:r>
              <w:rPr>
                <w:color w:val="1C3A36"/>
                <w:sz w:val="14"/>
              </w:rPr>
              <w:t>1,317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statement of financial position</w:t>
            </w:r>
          </w:p>
        </w:tc>
      </w:tr>
      <w:tr>
        <w:tc>
          <w:tcPr>
            <w:tcW w:type="dxa" w:w="2448"/>
          </w:tcPr>
          <w:p>
            <w:pPr>
              <w:spacing w:after="20"/>
              <w:jc w:val="left"/>
            </w:pPr>
            <w:r>
              <w:rPr>
                <w:color w:val="1C3A36"/>
                <w:sz w:val="14"/>
              </w:rPr>
              <w:t>bs_reserves_FY2324</w:t>
            </w:r>
          </w:p>
        </w:tc>
        <w:tc>
          <w:tcPr>
            <w:tcW w:type="dxa" w:w="1944"/>
          </w:tcPr>
          <w:p>
            <w:pPr>
              <w:spacing w:after="20"/>
              <w:jc w:val="left"/>
            </w:pPr>
            <w:r>
              <w:rPr>
                <w:color w:val="1C3A36"/>
                <w:sz w:val="14"/>
              </w:rPr>
              <w:t>4,627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statement of financial position</w:t>
            </w:r>
          </w:p>
        </w:tc>
      </w:tr>
      <w:tr>
        <w:tc>
          <w:tcPr>
            <w:tcW w:type="dxa" w:w="2448"/>
          </w:tcPr>
          <w:p>
            <w:pPr>
              <w:spacing w:after="20"/>
              <w:jc w:val="left"/>
            </w:pPr>
            <w:r>
              <w:rPr>
                <w:color w:val="1C3A36"/>
                <w:sz w:val="14"/>
              </w:rPr>
              <w:t>bs_reserves_FY2425</w:t>
            </w:r>
          </w:p>
        </w:tc>
        <w:tc>
          <w:tcPr>
            <w:tcW w:type="dxa" w:w="1944"/>
          </w:tcPr>
          <w:p>
            <w:pPr>
              <w:spacing w:after="20"/>
              <w:jc w:val="left"/>
            </w:pPr>
            <w:r>
              <w:rPr>
                <w:color w:val="1C3A36"/>
                <w:sz w:val="14"/>
              </w:rPr>
              <w:t>5,430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statement of financial position</w:t>
            </w:r>
          </w:p>
        </w:tc>
      </w:tr>
      <w:tr>
        <w:tc>
          <w:tcPr>
            <w:tcW w:type="dxa" w:w="2448"/>
          </w:tcPr>
          <w:p>
            <w:pPr>
              <w:spacing w:after="20"/>
              <w:jc w:val="left"/>
            </w:pPr>
            <w:r>
              <w:rPr>
                <w:color w:val="1C3A36"/>
                <w:sz w:val="14"/>
              </w:rPr>
              <w:t>bs_reserves_M9FY2526</w:t>
            </w:r>
          </w:p>
        </w:tc>
        <w:tc>
          <w:tcPr>
            <w:tcW w:type="dxa" w:w="1944"/>
          </w:tcPr>
          <w:p>
            <w:pPr>
              <w:spacing w:after="20"/>
              <w:jc w:val="left"/>
            </w:pPr>
            <w:r>
              <w:rPr>
                <w:color w:val="1C3A36"/>
                <w:sz w:val="14"/>
              </w:rPr>
              <w:t>6,273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statement of financial position</w:t>
            </w:r>
          </w:p>
        </w:tc>
      </w:tr>
      <w:tr>
        <w:tc>
          <w:tcPr>
            <w:tcW w:type="dxa" w:w="2448"/>
          </w:tcPr>
          <w:p>
            <w:pPr>
              <w:spacing w:after="20"/>
              <w:jc w:val="left"/>
            </w:pPr>
            <w:r>
              <w:rPr>
                <w:color w:val="1C3A36"/>
                <w:sz w:val="14"/>
              </w:rPr>
              <w:t>budget_net_9M</w:t>
            </w:r>
          </w:p>
        </w:tc>
        <w:tc>
          <w:tcPr>
            <w:tcW w:type="dxa" w:w="1944"/>
          </w:tcPr>
          <w:p>
            <w:pPr>
              <w:spacing w:after="20"/>
              <w:jc w:val="left"/>
            </w:pPr>
            <w:r>
              <w:rPr>
                <w:color w:val="1C3A36"/>
                <w:sz w:val="14"/>
              </w:rPr>
              <w:t>1,022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the company's own budget column</w:t>
            </w:r>
          </w:p>
        </w:tc>
      </w:tr>
      <w:tr>
        <w:tc>
          <w:tcPr>
            <w:tcW w:type="dxa" w:w="2448"/>
          </w:tcPr>
          <w:p>
            <w:pPr>
              <w:spacing w:after="20"/>
              <w:jc w:val="left"/>
            </w:pPr>
            <w:r>
              <w:rPr>
                <w:color w:val="1C3A36"/>
                <w:sz w:val="14"/>
              </w:rPr>
              <w:t>cogs_dep_FY2223</w:t>
            </w:r>
          </w:p>
        </w:tc>
        <w:tc>
          <w:tcPr>
            <w:tcW w:type="dxa" w:w="1944"/>
          </w:tcPr>
          <w:p>
            <w:pPr>
              <w:spacing w:after="20"/>
              <w:jc w:val="left"/>
            </w:pPr>
            <w:r>
              <w:rPr>
                <w:color w:val="1C3A36"/>
                <w:sz w:val="14"/>
              </w:rPr>
              <w:t>627.213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note 21 cost of sales</w:t>
            </w:r>
          </w:p>
        </w:tc>
      </w:tr>
      <w:tr>
        <w:tc>
          <w:tcPr>
            <w:tcW w:type="dxa" w:w="2448"/>
          </w:tcPr>
          <w:p>
            <w:pPr>
              <w:spacing w:after="20"/>
              <w:jc w:val="left"/>
            </w:pPr>
            <w:r>
              <w:rPr>
                <w:color w:val="1C3A36"/>
                <w:sz w:val="14"/>
              </w:rPr>
              <w:t>cogs_dep_FY2324</w:t>
            </w:r>
          </w:p>
        </w:tc>
        <w:tc>
          <w:tcPr>
            <w:tcW w:type="dxa" w:w="1944"/>
          </w:tcPr>
          <w:p>
            <w:pPr>
              <w:spacing w:after="20"/>
              <w:jc w:val="left"/>
            </w:pPr>
            <w:r>
              <w:rPr>
                <w:color w:val="1C3A36"/>
                <w:sz w:val="14"/>
              </w:rPr>
              <w:t>662.634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note 21 cost of sales</w:t>
            </w:r>
          </w:p>
        </w:tc>
      </w:tr>
      <w:tr>
        <w:tc>
          <w:tcPr>
            <w:tcW w:type="dxa" w:w="2448"/>
          </w:tcPr>
          <w:p>
            <w:pPr>
              <w:spacing w:after="20"/>
              <w:jc w:val="left"/>
            </w:pPr>
            <w:r>
              <w:rPr>
                <w:color w:val="1C3A36"/>
                <w:sz w:val="14"/>
              </w:rPr>
              <w:t>cogs_dep_FY2425</w:t>
            </w:r>
          </w:p>
        </w:tc>
        <w:tc>
          <w:tcPr>
            <w:tcW w:type="dxa" w:w="1944"/>
          </w:tcPr>
          <w:p>
            <w:pPr>
              <w:spacing w:after="20"/>
              <w:jc w:val="left"/>
            </w:pPr>
            <w:r>
              <w:rPr>
                <w:color w:val="1C3A36"/>
                <w:sz w:val="14"/>
              </w:rPr>
              <w:t>776.471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21</w:t>
            </w:r>
          </w:p>
        </w:tc>
      </w:tr>
      <w:tr>
        <w:tc>
          <w:tcPr>
            <w:tcW w:type="dxa" w:w="2448"/>
          </w:tcPr>
          <w:p>
            <w:pPr>
              <w:spacing w:after="20"/>
              <w:jc w:val="left"/>
            </w:pPr>
            <w:r>
              <w:rPr>
                <w:color w:val="1C3A36"/>
                <w:sz w:val="14"/>
              </w:rPr>
              <w:t>cogs_materials_FY2425</w:t>
            </w:r>
          </w:p>
        </w:tc>
        <w:tc>
          <w:tcPr>
            <w:tcW w:type="dxa" w:w="1944"/>
          </w:tcPr>
          <w:p>
            <w:pPr>
              <w:spacing w:after="20"/>
              <w:jc w:val="left"/>
            </w:pPr>
            <w:r>
              <w:rPr>
                <w:color w:val="1C3A36"/>
                <w:sz w:val="14"/>
              </w:rPr>
              <w:t>4,399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21</w:t>
            </w:r>
          </w:p>
        </w:tc>
      </w:tr>
      <w:tr>
        <w:tc>
          <w:tcPr>
            <w:tcW w:type="dxa" w:w="2448"/>
          </w:tcPr>
          <w:p>
            <w:pPr>
              <w:spacing w:after="20"/>
              <w:jc w:val="left"/>
            </w:pPr>
            <w:r>
              <w:rPr>
                <w:color w:val="1C3A36"/>
                <w:sz w:val="14"/>
              </w:rPr>
              <w:t>cogs_services_FY2425</w:t>
            </w:r>
          </w:p>
        </w:tc>
        <w:tc>
          <w:tcPr>
            <w:tcW w:type="dxa" w:w="1944"/>
          </w:tcPr>
          <w:p>
            <w:pPr>
              <w:spacing w:after="20"/>
              <w:jc w:val="left"/>
            </w:pPr>
            <w:r>
              <w:rPr>
                <w:color w:val="1C3A36"/>
                <w:sz w:val="14"/>
              </w:rPr>
              <w:t>62.557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21</w:t>
            </w:r>
          </w:p>
        </w:tc>
      </w:tr>
      <w:tr>
        <w:tc>
          <w:tcPr>
            <w:tcW w:type="dxa" w:w="2448"/>
          </w:tcPr>
          <w:p>
            <w:pPr>
              <w:spacing w:after="20"/>
              <w:jc w:val="left"/>
            </w:pPr>
            <w:r>
              <w:rPr>
                <w:color w:val="1C3A36"/>
                <w:sz w:val="14"/>
              </w:rPr>
              <w:t>cogs_wages_FY2425</w:t>
            </w:r>
          </w:p>
        </w:tc>
        <w:tc>
          <w:tcPr>
            <w:tcW w:type="dxa" w:w="1944"/>
          </w:tcPr>
          <w:p>
            <w:pPr>
              <w:spacing w:after="20"/>
              <w:jc w:val="left"/>
            </w:pPr>
            <w:r>
              <w:rPr>
                <w:color w:val="1C3A36"/>
                <w:sz w:val="14"/>
              </w:rPr>
              <w:t>212.857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21</w:t>
            </w:r>
          </w:p>
        </w:tc>
      </w:tr>
      <w:tr>
        <w:tc>
          <w:tcPr>
            <w:tcW w:type="dxa" w:w="2448"/>
          </w:tcPr>
          <w:p>
            <w:pPr>
              <w:spacing w:after="20"/>
              <w:jc w:val="left"/>
            </w:pPr>
            <w:r>
              <w:rPr>
                <w:color w:val="1C3A36"/>
                <w:sz w:val="14"/>
              </w:rPr>
              <w:t>dep_charge_FY2425</w:t>
            </w:r>
          </w:p>
        </w:tc>
        <w:tc>
          <w:tcPr>
            <w:tcW w:type="dxa" w:w="1944"/>
          </w:tcPr>
          <w:p>
            <w:pPr>
              <w:spacing w:after="20"/>
              <w:jc w:val="left"/>
            </w:pPr>
            <w:r>
              <w:rPr>
                <w:color w:val="1C3A36"/>
                <w:sz w:val="14"/>
              </w:rPr>
              <w:t>771.213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6 fixed-asset register</w:t>
            </w:r>
          </w:p>
        </w:tc>
      </w:tr>
      <w:tr>
        <w:tc>
          <w:tcPr>
            <w:tcW w:type="dxa" w:w="2448"/>
          </w:tcPr>
          <w:p>
            <w:pPr>
              <w:spacing w:after="20"/>
              <w:jc w:val="left"/>
            </w:pPr>
            <w:r>
              <w:rPr>
                <w:color w:val="1C3A36"/>
                <w:sz w:val="14"/>
              </w:rPr>
              <w:t>dep_rate_intangible</w:t>
            </w:r>
          </w:p>
        </w:tc>
        <w:tc>
          <w:tcPr>
            <w:tcW w:type="dxa" w:w="1944"/>
          </w:tcPr>
          <w:p>
            <w:pPr>
              <w:spacing w:after="20"/>
              <w:jc w:val="left"/>
            </w:pPr>
            <w:r>
              <w:rPr>
                <w:color w:val="1C3A36"/>
                <w:sz w:val="14"/>
              </w:rPr>
              <w:t>0.0475</w:t>
            </w:r>
          </w:p>
        </w:tc>
        <w:tc>
          <w:tcPr>
            <w:tcW w:type="dxa" w:w="1224"/>
          </w:tcPr>
          <w:p>
            <w:pPr>
              <w:spacing w:after="20"/>
              <w:jc w:val="left"/>
            </w:pPr>
            <w:r>
              <w:rPr>
                <w:color w:val="1C3A36"/>
                <w:sz w:val="14"/>
              </w:rPr>
              <w:t>per year</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5-2</w:t>
            </w:r>
          </w:p>
        </w:tc>
      </w:tr>
      <w:tr>
        <w:tc>
          <w:tcPr>
            <w:tcW w:type="dxa" w:w="2448"/>
          </w:tcPr>
          <w:p>
            <w:pPr>
              <w:spacing w:after="20"/>
              <w:jc w:val="left"/>
            </w:pPr>
            <w:r>
              <w:rPr>
                <w:color w:val="1C3A36"/>
                <w:sz w:val="14"/>
              </w:rPr>
              <w:t>dep_rate_kima2_machinery</w:t>
            </w:r>
          </w:p>
        </w:tc>
        <w:tc>
          <w:tcPr>
            <w:tcW w:type="dxa" w:w="1944"/>
          </w:tcPr>
          <w:p>
            <w:pPr>
              <w:spacing w:after="20"/>
              <w:jc w:val="left"/>
            </w:pPr>
            <w:r>
              <w:rPr>
                <w:color w:val="1C3A36"/>
                <w:sz w:val="14"/>
              </w:rPr>
              <w:t>0.0395</w:t>
            </w:r>
          </w:p>
        </w:tc>
        <w:tc>
          <w:tcPr>
            <w:tcW w:type="dxa" w:w="1224"/>
          </w:tcPr>
          <w:p>
            <w:pPr>
              <w:spacing w:after="20"/>
              <w:jc w:val="left"/>
            </w:pPr>
            <w:r>
              <w:rPr>
                <w:color w:val="1C3A36"/>
                <w:sz w:val="14"/>
              </w:rPr>
              <w:t>per year</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5-2 depreciation rates</w:t>
            </w:r>
          </w:p>
        </w:tc>
      </w:tr>
      <w:tr>
        <w:tc>
          <w:tcPr>
            <w:tcW w:type="dxa" w:w="2448"/>
          </w:tcPr>
          <w:p>
            <w:pPr>
              <w:spacing w:after="20"/>
              <w:jc w:val="left"/>
            </w:pPr>
            <w:r>
              <w:rPr>
                <w:color w:val="1C3A36"/>
                <w:sz w:val="14"/>
              </w:rPr>
              <w:t>design_ammonia_tpd</w:t>
            </w:r>
          </w:p>
        </w:tc>
        <w:tc>
          <w:tcPr>
            <w:tcW w:type="dxa" w:w="1944"/>
          </w:tcPr>
          <w:p>
            <w:pPr>
              <w:spacing w:after="20"/>
              <w:jc w:val="left"/>
            </w:pPr>
            <w:r>
              <w:rPr>
                <w:color w:val="1C3A36"/>
                <w:sz w:val="14"/>
              </w:rPr>
              <w:t>1,200</w:t>
            </w:r>
          </w:p>
        </w:tc>
        <w:tc>
          <w:tcPr>
            <w:tcW w:type="dxa" w:w="1224"/>
          </w:tcPr>
          <w:p>
            <w:pPr>
              <w:spacing w:after="20"/>
              <w:jc w:val="left"/>
            </w:pPr>
            <w:r>
              <w:rPr>
                <w:color w:val="1C3A36"/>
                <w:sz w:val="14"/>
              </w:rPr>
              <w:t>tonnes/day</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28 contractual operating benchmark</w:t>
            </w:r>
          </w:p>
        </w:tc>
      </w:tr>
      <w:tr>
        <w:tc>
          <w:tcPr>
            <w:tcW w:type="dxa" w:w="2448"/>
          </w:tcPr>
          <w:p>
            <w:pPr>
              <w:spacing w:after="20"/>
              <w:jc w:val="left"/>
            </w:pPr>
            <w:r>
              <w:rPr>
                <w:color w:val="1C3A36"/>
                <w:sz w:val="14"/>
              </w:rPr>
              <w:t>design_ammonia_tpy</w:t>
            </w:r>
          </w:p>
        </w:tc>
        <w:tc>
          <w:tcPr>
            <w:tcW w:type="dxa" w:w="1944"/>
          </w:tcPr>
          <w:p>
            <w:pPr>
              <w:spacing w:after="20"/>
              <w:jc w:val="left"/>
            </w:pPr>
            <w:r>
              <w:rPr>
                <w:color w:val="1C3A36"/>
                <w:sz w:val="14"/>
              </w:rPr>
              <w:t>438,000</w:t>
            </w:r>
          </w:p>
        </w:tc>
        <w:tc>
          <w:tcPr>
            <w:tcW w:type="dxa" w:w="1224"/>
          </w:tcPr>
          <w:p>
            <w:pPr>
              <w:spacing w:after="20"/>
              <w:jc w:val="left"/>
            </w:pPr>
            <w:r>
              <w:rPr>
                <w:color w:val="1C3A36"/>
                <w:sz w:val="14"/>
              </w:rPr>
              <w:t>tonnes/year</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28</w:t>
            </w:r>
          </w:p>
        </w:tc>
      </w:tr>
      <w:tr>
        <w:tc>
          <w:tcPr>
            <w:tcW w:type="dxa" w:w="2448"/>
          </w:tcPr>
          <w:p>
            <w:pPr>
              <w:spacing w:after="20"/>
              <w:jc w:val="left"/>
            </w:pPr>
            <w:r>
              <w:rPr>
                <w:color w:val="1C3A36"/>
                <w:sz w:val="14"/>
              </w:rPr>
              <w:t>design_urea_tpd</w:t>
            </w:r>
          </w:p>
        </w:tc>
        <w:tc>
          <w:tcPr>
            <w:tcW w:type="dxa" w:w="1944"/>
          </w:tcPr>
          <w:p>
            <w:pPr>
              <w:spacing w:after="20"/>
              <w:jc w:val="left"/>
            </w:pPr>
            <w:r>
              <w:rPr>
                <w:color w:val="1C3A36"/>
                <w:sz w:val="14"/>
              </w:rPr>
              <w:t>1,575</w:t>
            </w:r>
          </w:p>
        </w:tc>
        <w:tc>
          <w:tcPr>
            <w:tcW w:type="dxa" w:w="1224"/>
          </w:tcPr>
          <w:p>
            <w:pPr>
              <w:spacing w:after="20"/>
              <w:jc w:val="left"/>
            </w:pPr>
            <w:r>
              <w:rPr>
                <w:color w:val="1C3A36"/>
                <w:sz w:val="14"/>
              </w:rPr>
              <w:t>tonnes/day</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28 contractual operating benchmark</w:t>
            </w:r>
          </w:p>
        </w:tc>
      </w:tr>
      <w:tr>
        <w:tc>
          <w:tcPr>
            <w:tcW w:type="dxa" w:w="2448"/>
          </w:tcPr>
          <w:p>
            <w:pPr>
              <w:spacing w:after="20"/>
              <w:jc w:val="left"/>
            </w:pPr>
            <w:r>
              <w:rPr>
                <w:color w:val="1C3A36"/>
                <w:sz w:val="14"/>
              </w:rPr>
              <w:t>dividend_FY2324</w:t>
            </w:r>
          </w:p>
        </w:tc>
        <w:tc>
          <w:tcPr>
            <w:tcW w:type="dxa" w:w="1944"/>
          </w:tcPr>
          <w:p>
            <w:pPr>
              <w:spacing w:after="20"/>
              <w:jc w:val="left"/>
            </w:pPr>
            <w:r>
              <w:rPr>
                <w:color w:val="1C3A36"/>
                <w:sz w:val="14"/>
              </w:rPr>
              <w:t>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proposed appropriation statement</w:t>
            </w:r>
          </w:p>
        </w:tc>
      </w:tr>
      <w:tr>
        <w:tc>
          <w:tcPr>
            <w:tcW w:type="dxa" w:w="2448"/>
          </w:tcPr>
          <w:p>
            <w:pPr>
              <w:spacing w:after="20"/>
              <w:jc w:val="left"/>
            </w:pPr>
            <w:r>
              <w:rPr>
                <w:color w:val="1C3A36"/>
                <w:sz w:val="14"/>
              </w:rPr>
              <w:t>dividend_FY2425</w:t>
            </w:r>
          </w:p>
        </w:tc>
        <w:tc>
          <w:tcPr>
            <w:tcW w:type="dxa" w:w="1944"/>
          </w:tcPr>
          <w:p>
            <w:pPr>
              <w:spacing w:after="20"/>
              <w:jc w:val="left"/>
            </w:pPr>
            <w:r>
              <w:rPr>
                <w:color w:val="1C3A36"/>
                <w:sz w:val="14"/>
              </w:rPr>
              <w:t>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proposed appropriation statement</w:t>
            </w:r>
          </w:p>
        </w:tc>
      </w:tr>
      <w:tr>
        <w:tc>
          <w:tcPr>
            <w:tcW w:type="dxa" w:w="2448"/>
          </w:tcPr>
          <w:p>
            <w:pPr>
              <w:spacing w:after="20"/>
              <w:jc w:val="left"/>
            </w:pPr>
            <w:r>
              <w:rPr>
                <w:color w:val="1C3A36"/>
                <w:sz w:val="14"/>
              </w:rPr>
              <w:t>export_levy_charged_FY2425</w:t>
            </w:r>
          </w:p>
        </w:tc>
        <w:tc>
          <w:tcPr>
            <w:tcW w:type="dxa" w:w="1944"/>
          </w:tcPr>
          <w:p>
            <w:pPr>
              <w:spacing w:after="20"/>
              <w:jc w:val="left"/>
            </w:pPr>
            <w:r>
              <w:rPr>
                <w:color w:val="1C3A36"/>
                <w:sz w:val="14"/>
              </w:rPr>
              <w:t>437.5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 levy on the 175kt quota shortfall</w:t>
            </w:r>
          </w:p>
        </w:tc>
      </w:tr>
      <w:tr>
        <w:tc>
          <w:tcPr>
            <w:tcW w:type="dxa" w:w="2448"/>
          </w:tcPr>
          <w:p>
            <w:pPr>
              <w:spacing w:after="20"/>
              <w:jc w:val="left"/>
            </w:pPr>
            <w:r>
              <w:rPr>
                <w:color w:val="1C3A36"/>
                <w:sz w:val="14"/>
              </w:rPr>
              <w:t>export_price_FY2425_usd</w:t>
            </w:r>
          </w:p>
        </w:tc>
        <w:tc>
          <w:tcPr>
            <w:tcW w:type="dxa" w:w="1944"/>
          </w:tcPr>
          <w:p>
            <w:pPr>
              <w:spacing w:after="20"/>
              <w:jc w:val="left"/>
            </w:pPr>
            <w:r>
              <w:rPr>
                <w:color w:val="1C3A36"/>
                <w:sz w:val="14"/>
              </w:rPr>
              <w:t>385</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on the Damietta urea stock — average export selling price for the year</w:t>
            </w:r>
          </w:p>
        </w:tc>
      </w:tr>
      <w:tr>
        <w:tc>
          <w:tcPr>
            <w:tcW w:type="dxa" w:w="2448"/>
          </w:tcPr>
          <w:p>
            <w:pPr>
              <w:spacing w:after="20"/>
              <w:jc w:val="left"/>
            </w:pPr>
            <w:r>
              <w:rPr>
                <w:color w:val="1C3A36"/>
                <w:sz w:val="14"/>
              </w:rPr>
              <w:t>free_float</w:t>
            </w:r>
          </w:p>
        </w:tc>
        <w:tc>
          <w:tcPr>
            <w:tcW w:type="dxa" w:w="1944"/>
          </w:tcPr>
          <w:p>
            <w:pPr>
              <w:spacing w:after="20"/>
              <w:jc w:val="left"/>
            </w:pPr>
            <w:r>
              <w:rPr>
                <w:color w:val="1C3A36"/>
                <w:sz w:val="14"/>
              </w:rPr>
              <w:t>0.0618</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14 shareholder register</w:t>
            </w:r>
          </w:p>
        </w:tc>
      </w:tr>
      <w:tr>
        <w:tc>
          <w:tcPr>
            <w:tcW w:type="dxa" w:w="2448"/>
          </w:tcPr>
          <w:p>
            <w:pPr>
              <w:spacing w:after="20"/>
              <w:jc w:val="left"/>
            </w:pPr>
            <w:r>
              <w:rPr>
                <w:color w:val="1C3A36"/>
                <w:sz w:val="14"/>
              </w:rPr>
              <w:t>fx_gain_Q1</w:t>
            </w:r>
          </w:p>
        </w:tc>
        <w:tc>
          <w:tcPr>
            <w:tcW w:type="dxa" w:w="1944"/>
          </w:tcPr>
          <w:p>
            <w:pPr>
              <w:spacing w:after="20"/>
              <w:jc w:val="left"/>
            </w:pPr>
            <w:r>
              <w:rPr>
                <w:color w:val="1C3A36"/>
                <w:sz w:val="14"/>
              </w:rPr>
              <w:t>357.162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income statement</w:t>
            </w:r>
          </w:p>
        </w:tc>
      </w:tr>
      <w:tr>
        <w:tc>
          <w:tcPr>
            <w:tcW w:type="dxa" w:w="2448"/>
          </w:tcPr>
          <w:p>
            <w:pPr>
              <w:spacing w:after="20"/>
              <w:jc w:val="left"/>
            </w:pPr>
            <w:r>
              <w:rPr>
                <w:color w:val="1C3A36"/>
                <w:sz w:val="14"/>
              </w:rPr>
              <w:t>fx_loss_9M</w:t>
            </w:r>
          </w:p>
        </w:tc>
        <w:tc>
          <w:tcPr>
            <w:tcW w:type="dxa" w:w="1944"/>
          </w:tcPr>
          <w:p>
            <w:pPr>
              <w:spacing w:after="20"/>
              <w:jc w:val="left"/>
            </w:pPr>
            <w:r>
              <w:rPr>
                <w:color w:val="1C3A36"/>
                <w:sz w:val="14"/>
              </w:rPr>
              <w:t>1,072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income statement</w:t>
            </w:r>
          </w:p>
        </w:tc>
      </w:tr>
      <w:tr>
        <w:tc>
          <w:tcPr>
            <w:tcW w:type="dxa" w:w="2448"/>
          </w:tcPr>
          <w:p>
            <w:pPr>
              <w:spacing w:after="20"/>
              <w:jc w:val="left"/>
            </w:pPr>
            <w:r>
              <w:rPr>
                <w:color w:val="1C3A36"/>
                <w:sz w:val="14"/>
              </w:rPr>
              <w:t>gas_abnormal_cum</w:t>
            </w:r>
          </w:p>
        </w:tc>
        <w:tc>
          <w:tcPr>
            <w:tcW w:type="dxa" w:w="1944"/>
          </w:tcPr>
          <w:p>
            <w:pPr>
              <w:spacing w:after="20"/>
              <w:jc w:val="left"/>
            </w:pPr>
            <w:r>
              <w:rPr>
                <w:color w:val="1C3A36"/>
                <w:sz w:val="14"/>
              </w:rPr>
              <w:t>781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 cumulative since 1 July 2022</w:t>
            </w:r>
          </w:p>
        </w:tc>
      </w:tr>
      <w:tr>
        <w:tc>
          <w:tcPr>
            <w:tcW w:type="dxa" w:w="2448"/>
          </w:tcPr>
          <w:p>
            <w:pPr>
              <w:spacing w:after="20"/>
              <w:jc w:val="left"/>
            </w:pPr>
            <w:r>
              <w:rPr>
                <w:color w:val="1C3A36"/>
                <w:sz w:val="14"/>
              </w:rPr>
              <w:t>gas_abnormal_loss_FY2425</w:t>
            </w:r>
          </w:p>
        </w:tc>
        <w:tc>
          <w:tcPr>
            <w:tcW w:type="dxa" w:w="1944"/>
          </w:tcPr>
          <w:p>
            <w:pPr>
              <w:spacing w:after="20"/>
              <w:jc w:val="left"/>
            </w:pPr>
            <w:r>
              <w:rPr>
                <w:color w:val="1C3A36"/>
                <w:sz w:val="14"/>
              </w:rPr>
              <w:t>249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w:t>
            </w:r>
          </w:p>
        </w:tc>
      </w:tr>
      <w:tr>
        <w:tc>
          <w:tcPr>
            <w:tcW w:type="dxa" w:w="2448"/>
          </w:tcPr>
          <w:p>
            <w:pPr>
              <w:spacing w:after="20"/>
              <w:jc w:val="left"/>
            </w:pPr>
            <w:r>
              <w:rPr>
                <w:color w:val="1C3A36"/>
                <w:sz w:val="14"/>
              </w:rPr>
              <w:t>gas_august_m3_t</w:t>
            </w:r>
          </w:p>
        </w:tc>
        <w:tc>
          <w:tcPr>
            <w:tcW w:type="dxa" w:w="1944"/>
          </w:tcPr>
          <w:p>
            <w:pPr>
              <w:spacing w:after="20"/>
              <w:jc w:val="left"/>
            </w:pPr>
            <w:r>
              <w:rPr>
                <w:color w:val="1C3A36"/>
                <w:sz w:val="14"/>
              </w:rPr>
              <w:t>8,492</w:t>
            </w:r>
          </w:p>
        </w:tc>
        <w:tc>
          <w:tcPr>
            <w:tcW w:type="dxa" w:w="1224"/>
          </w:tcPr>
          <w:p>
            <w:pPr>
              <w:spacing w:after="20"/>
              <w:jc w:val="left"/>
            </w:pPr>
            <w:r>
              <w:rPr>
                <w:color w:val="1C3A36"/>
                <w:sz w:val="14"/>
              </w:rPr>
              <w:t>m3/t</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 — August 2025 actual, the plant idling and restarting</w:t>
            </w:r>
          </w:p>
        </w:tc>
      </w:tr>
      <w:tr>
        <w:tc>
          <w:tcPr>
            <w:tcW w:type="dxa" w:w="2448"/>
          </w:tcPr>
          <w:p>
            <w:pPr>
              <w:spacing w:after="20"/>
              <w:jc w:val="left"/>
            </w:pPr>
            <w:r>
              <w:rPr>
                <w:color w:val="1C3A36"/>
                <w:sz w:val="14"/>
              </w:rPr>
              <w:t>gas_contract_usd_mmbtu</w:t>
            </w:r>
          </w:p>
        </w:tc>
        <w:tc>
          <w:tcPr>
            <w:tcW w:type="dxa" w:w="1944"/>
          </w:tcPr>
          <w:p>
            <w:pPr>
              <w:spacing w:after="20"/>
              <w:jc w:val="left"/>
            </w:pPr>
            <w:r>
              <w:rPr>
                <w:color w:val="1C3A36"/>
                <w:sz w:val="14"/>
              </w:rPr>
              <w:t>5.75</w:t>
            </w:r>
          </w:p>
        </w:tc>
        <w:tc>
          <w:tcPr>
            <w:tcW w:type="dxa" w:w="1224"/>
          </w:tcPr>
          <w:p>
            <w:pPr>
              <w:spacing w:after="20"/>
              <w:jc w:val="left"/>
            </w:pPr>
            <w:r>
              <w:rPr>
                <w:color w:val="1C3A36"/>
                <w:sz w:val="14"/>
              </w:rPr>
              <w:t>US$/mmBtu</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28 contingent liabilities — gas price raised from US$4.50 under the November 2021 decision</w:t>
            </w:r>
          </w:p>
        </w:tc>
      </w:tr>
      <w:tr>
        <w:tc>
          <w:tcPr>
            <w:tcW w:type="dxa" w:w="2448"/>
          </w:tcPr>
          <w:p>
            <w:pPr>
              <w:spacing w:after="20"/>
              <w:jc w:val="left"/>
            </w:pPr>
            <w:r>
              <w:rPr>
                <w:color w:val="1C3A36"/>
                <w:sz w:val="14"/>
              </w:rPr>
              <w:t>gas_loss_FY2425_m3</w:t>
            </w:r>
          </w:p>
        </w:tc>
        <w:tc>
          <w:tcPr>
            <w:tcW w:type="dxa" w:w="1944"/>
          </w:tcPr>
          <w:p>
            <w:pPr>
              <w:spacing w:after="20"/>
              <w:jc w:val="left"/>
            </w:pPr>
            <w:r>
              <w:rPr>
                <w:color w:val="1C3A36"/>
                <w:sz w:val="14"/>
              </w:rPr>
              <w:t>38,480,270</w:t>
            </w:r>
          </w:p>
        </w:tc>
        <w:tc>
          <w:tcPr>
            <w:tcW w:type="dxa" w:w="1224"/>
          </w:tcPr>
          <w:p>
            <w:pPr>
              <w:spacing w:after="20"/>
              <w:jc w:val="left"/>
            </w:pPr>
            <w:r>
              <w:rPr>
                <w:color w:val="1C3A36"/>
                <w:sz w:val="14"/>
              </w:rPr>
              <w:t>m3</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w:t>
            </w:r>
          </w:p>
        </w:tc>
      </w:tr>
      <w:tr>
        <w:tc>
          <w:tcPr>
            <w:tcW w:type="dxa" w:w="2448"/>
          </w:tcPr>
          <w:p>
            <w:pPr>
              <w:spacing w:after="20"/>
              <w:jc w:val="left"/>
            </w:pPr>
            <w:r>
              <w:rPr>
                <w:color w:val="1C3A36"/>
                <w:sz w:val="14"/>
              </w:rPr>
              <w:t>gas_loss_Q1_egp</w:t>
            </w:r>
          </w:p>
        </w:tc>
        <w:tc>
          <w:tcPr>
            <w:tcW w:type="dxa" w:w="1944"/>
          </w:tcPr>
          <w:p>
            <w:pPr>
              <w:spacing w:after="20"/>
              <w:jc w:val="left"/>
            </w:pPr>
            <w:r>
              <w:rPr>
                <w:color w:val="1C3A36"/>
                <w:sz w:val="14"/>
              </w:rPr>
              <w:t>251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w:t>
            </w:r>
          </w:p>
        </w:tc>
      </w:tr>
      <w:tr>
        <w:tc>
          <w:tcPr>
            <w:tcW w:type="dxa" w:w="2448"/>
          </w:tcPr>
          <w:p>
            <w:pPr>
              <w:spacing w:after="20"/>
              <w:jc w:val="left"/>
            </w:pPr>
            <w:r>
              <w:rPr>
                <w:color w:val="1C3A36"/>
                <w:sz w:val="14"/>
              </w:rPr>
              <w:t>gas_loss_Q1_m3</w:t>
            </w:r>
          </w:p>
        </w:tc>
        <w:tc>
          <w:tcPr>
            <w:tcW w:type="dxa" w:w="1944"/>
          </w:tcPr>
          <w:p>
            <w:pPr>
              <w:spacing w:after="20"/>
              <w:jc w:val="left"/>
            </w:pPr>
            <w:r>
              <w:rPr>
                <w:color w:val="1C3A36"/>
                <w:sz w:val="14"/>
              </w:rPr>
              <w:t>31,313,235</w:t>
            </w:r>
          </w:p>
        </w:tc>
        <w:tc>
          <w:tcPr>
            <w:tcW w:type="dxa" w:w="1224"/>
          </w:tcPr>
          <w:p>
            <w:pPr>
              <w:spacing w:after="20"/>
              <w:jc w:val="left"/>
            </w:pPr>
            <w:r>
              <w:rPr>
                <w:color w:val="1C3A36"/>
                <w:sz w:val="14"/>
              </w:rPr>
              <w:t>m3</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w:t>
            </w:r>
          </w:p>
        </w:tc>
      </w:tr>
      <w:tr>
        <w:tc>
          <w:tcPr>
            <w:tcW w:type="dxa" w:w="2448"/>
          </w:tcPr>
          <w:p>
            <w:pPr>
              <w:spacing w:after="20"/>
              <w:jc w:val="left"/>
            </w:pPr>
            <w:r>
              <w:rPr>
                <w:color w:val="1C3A36"/>
                <w:sz w:val="14"/>
              </w:rPr>
              <w:t>gas_standard_m3_t</w:t>
            </w:r>
          </w:p>
        </w:tc>
        <w:tc>
          <w:tcPr>
            <w:tcW w:type="dxa" w:w="1944"/>
          </w:tcPr>
          <w:p>
            <w:pPr>
              <w:spacing w:after="20"/>
              <w:jc w:val="left"/>
            </w:pPr>
            <w:r>
              <w:rPr>
                <w:color w:val="1C3A36"/>
                <w:sz w:val="14"/>
              </w:rPr>
              <w:t>1,200</w:t>
            </w:r>
          </w:p>
        </w:tc>
        <w:tc>
          <w:tcPr>
            <w:tcW w:type="dxa" w:w="1224"/>
          </w:tcPr>
          <w:p>
            <w:pPr>
              <w:spacing w:after="20"/>
              <w:jc w:val="left"/>
            </w:pPr>
            <w:r>
              <w:rPr>
                <w:color w:val="1C3A36"/>
                <w:sz w:val="14"/>
              </w:rPr>
              <w:t>m3/t</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 auditor's report — the standard rate</w:t>
            </w:r>
          </w:p>
        </w:tc>
      </w:tr>
      <w:tr>
        <w:tc>
          <w:tcPr>
            <w:tcW w:type="dxa" w:w="2448"/>
          </w:tcPr>
          <w:p>
            <w:pPr>
              <w:spacing w:after="20"/>
              <w:jc w:val="left"/>
            </w:pPr>
            <w:r>
              <w:rPr>
                <w:color w:val="1C3A36"/>
                <w:sz w:val="14"/>
              </w:rPr>
              <w:t>gas_usage_high_m3_t</w:t>
            </w:r>
          </w:p>
        </w:tc>
        <w:tc>
          <w:tcPr>
            <w:tcW w:type="dxa" w:w="1944"/>
          </w:tcPr>
          <w:p>
            <w:pPr>
              <w:spacing w:after="20"/>
              <w:jc w:val="left"/>
            </w:pPr>
            <w:r>
              <w:rPr>
                <w:color w:val="1C3A36"/>
                <w:sz w:val="14"/>
              </w:rPr>
              <w:t>1,771</w:t>
            </w:r>
          </w:p>
        </w:tc>
        <w:tc>
          <w:tcPr>
            <w:tcW w:type="dxa" w:w="1224"/>
          </w:tcPr>
          <w:p>
            <w:pPr>
              <w:spacing w:after="20"/>
              <w:jc w:val="left"/>
            </w:pPr>
            <w:r>
              <w:rPr>
                <w:color w:val="1C3A36"/>
                <w:sz w:val="14"/>
              </w:rPr>
              <w:t>m3/t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on gas consumption</w:t>
            </w:r>
          </w:p>
        </w:tc>
      </w:tr>
      <w:tr>
        <w:tc>
          <w:tcPr>
            <w:tcW w:type="dxa" w:w="2448"/>
          </w:tcPr>
          <w:p>
            <w:pPr>
              <w:spacing w:after="20"/>
              <w:jc w:val="left"/>
            </w:pPr>
            <w:r>
              <w:rPr>
                <w:color w:val="1C3A36"/>
                <w:sz w:val="14"/>
              </w:rPr>
              <w:t>gas_usage_low_m3_t</w:t>
            </w:r>
          </w:p>
        </w:tc>
        <w:tc>
          <w:tcPr>
            <w:tcW w:type="dxa" w:w="1944"/>
          </w:tcPr>
          <w:p>
            <w:pPr>
              <w:spacing w:after="20"/>
              <w:jc w:val="left"/>
            </w:pPr>
            <w:r>
              <w:rPr>
                <w:color w:val="1C3A36"/>
                <w:sz w:val="14"/>
              </w:rPr>
              <w:t>1,025</w:t>
            </w:r>
          </w:p>
        </w:tc>
        <w:tc>
          <w:tcPr>
            <w:tcW w:type="dxa" w:w="1224"/>
          </w:tcPr>
          <w:p>
            <w:pPr>
              <w:spacing w:after="20"/>
              <w:jc w:val="left"/>
            </w:pPr>
            <w:r>
              <w:rPr>
                <w:color w:val="1C3A36"/>
                <w:sz w:val="14"/>
              </w:rPr>
              <w:t>m3/t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on gas consumption</w:t>
            </w:r>
          </w:p>
        </w:tc>
      </w:tr>
      <w:tr>
        <w:tc>
          <w:tcPr>
            <w:tcW w:type="dxa" w:w="2448"/>
          </w:tcPr>
          <w:p>
            <w:pPr>
              <w:spacing w:after="20"/>
              <w:jc w:val="left"/>
            </w:pPr>
            <w:r>
              <w:rPr>
                <w:color w:val="1C3A36"/>
                <w:sz w:val="14"/>
              </w:rPr>
              <w:t>gross_margin_Q3</w:t>
            </w:r>
          </w:p>
        </w:tc>
        <w:tc>
          <w:tcPr>
            <w:tcW w:type="dxa" w:w="1944"/>
          </w:tcPr>
          <w:p>
            <w:pPr>
              <w:spacing w:after="20"/>
              <w:jc w:val="left"/>
            </w:pPr>
            <w:r>
              <w:rPr>
                <w:color w:val="1C3A36"/>
                <w:sz w:val="14"/>
              </w:rPr>
              <w:t>0.463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derived from the nine-month and six-month columns</w:t>
            </w:r>
          </w:p>
        </w:tc>
      </w:tr>
      <w:tr>
        <w:tc>
          <w:tcPr>
            <w:tcW w:type="dxa" w:w="2448"/>
          </w:tcPr>
          <w:p>
            <w:pPr>
              <w:spacing w:after="20"/>
              <w:jc w:val="left"/>
            </w:pPr>
            <w:r>
              <w:rPr>
                <w:color w:val="1C3A36"/>
                <w:sz w:val="14"/>
              </w:rPr>
              <w:t>holdco_drawn_FY2425</w:t>
            </w:r>
          </w:p>
        </w:tc>
        <w:tc>
          <w:tcPr>
            <w:tcW w:type="dxa" w:w="1944"/>
          </w:tcPr>
          <w:p>
            <w:pPr>
              <w:spacing w:after="20"/>
              <w:jc w:val="left"/>
            </w:pPr>
            <w:r>
              <w:rPr>
                <w:color w:val="1C3A36"/>
                <w:sz w:val="14"/>
              </w:rPr>
              <w:t>500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18-2 holding-company loan</w:t>
            </w:r>
          </w:p>
        </w:tc>
      </w:tr>
      <w:tr>
        <w:tc>
          <w:tcPr>
            <w:tcW w:type="dxa" w:w="2448"/>
          </w:tcPr>
          <w:p>
            <w:pPr>
              <w:spacing w:after="20"/>
              <w:jc w:val="left"/>
            </w:pPr>
            <w:r>
              <w:rPr>
                <w:color w:val="1C3A36"/>
                <w:sz w:val="14"/>
              </w:rPr>
              <w:t>holdco_interest_FY2425</w:t>
            </w:r>
          </w:p>
        </w:tc>
        <w:tc>
          <w:tcPr>
            <w:tcW w:type="dxa" w:w="1944"/>
          </w:tcPr>
          <w:p>
            <w:pPr>
              <w:spacing w:after="20"/>
              <w:jc w:val="left"/>
            </w:pPr>
            <w:r>
              <w:rPr>
                <w:color w:val="1C3A36"/>
                <w:sz w:val="14"/>
              </w:rPr>
              <w:t>96.896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26 finance cost</w:t>
            </w:r>
          </w:p>
        </w:tc>
      </w:tr>
      <w:tr>
        <w:tc>
          <w:tcPr>
            <w:tcW w:type="dxa" w:w="2448"/>
          </w:tcPr>
          <w:p>
            <w:pPr>
              <w:spacing w:after="20"/>
              <w:jc w:val="left"/>
            </w:pPr>
            <w:r>
              <w:rPr>
                <w:color w:val="1C3A36"/>
                <w:sz w:val="14"/>
              </w:rPr>
              <w:t>holding_stake</w:t>
            </w:r>
          </w:p>
        </w:tc>
        <w:tc>
          <w:tcPr>
            <w:tcW w:type="dxa" w:w="1944"/>
          </w:tcPr>
          <w:p>
            <w:pPr>
              <w:spacing w:after="20"/>
              <w:jc w:val="left"/>
            </w:pPr>
            <w:r>
              <w:rPr>
                <w:color w:val="1C3A36"/>
                <w:sz w:val="14"/>
              </w:rPr>
              <w:t>0.6983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14 shareholder register</w:t>
            </w:r>
          </w:p>
        </w:tc>
      </w:tr>
      <w:tr>
        <w:tc>
          <w:tcPr>
            <w:tcW w:type="dxa" w:w="2448"/>
          </w:tcPr>
          <w:p>
            <w:pPr>
              <w:spacing w:after="20"/>
              <w:jc w:val="left"/>
            </w:pPr>
            <w:r>
              <w:rPr>
                <w:color w:val="1C3A36"/>
                <w:sz w:val="14"/>
              </w:rPr>
              <w:t>is_admin_9M</w:t>
            </w:r>
          </w:p>
        </w:tc>
        <w:tc>
          <w:tcPr>
            <w:tcW w:type="dxa" w:w="1944"/>
          </w:tcPr>
          <w:p>
            <w:pPr>
              <w:spacing w:after="20"/>
              <w:jc w:val="left"/>
            </w:pPr>
            <w:r>
              <w:rPr>
                <w:color w:val="1C3A36"/>
                <w:sz w:val="14"/>
              </w:rPr>
              <w:t>273.831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w:t>
            </w:r>
          </w:p>
        </w:tc>
      </w:tr>
      <w:tr>
        <w:tc>
          <w:tcPr>
            <w:tcW w:type="dxa" w:w="2448"/>
          </w:tcPr>
          <w:p>
            <w:pPr>
              <w:spacing w:after="20"/>
              <w:jc w:val="left"/>
            </w:pPr>
            <w:r>
              <w:rPr>
                <w:color w:val="1C3A36"/>
                <w:sz w:val="14"/>
              </w:rPr>
              <w:t>is_admin_FY2122</w:t>
            </w:r>
          </w:p>
        </w:tc>
        <w:tc>
          <w:tcPr>
            <w:tcW w:type="dxa" w:w="1944"/>
          </w:tcPr>
          <w:p>
            <w:pPr>
              <w:spacing w:after="20"/>
              <w:jc w:val="left"/>
            </w:pPr>
            <w:r>
              <w:rPr>
                <w:color w:val="1C3A36"/>
                <w:sz w:val="14"/>
              </w:rPr>
              <w:t>196.357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comparative column</w:t>
            </w:r>
          </w:p>
        </w:tc>
      </w:tr>
      <w:tr>
        <w:tc>
          <w:tcPr>
            <w:tcW w:type="dxa" w:w="2448"/>
          </w:tcPr>
          <w:p>
            <w:pPr>
              <w:spacing w:after="20"/>
              <w:jc w:val="left"/>
            </w:pPr>
            <w:r>
              <w:rPr>
                <w:color w:val="1C3A36"/>
                <w:sz w:val="14"/>
              </w:rPr>
              <w:t>is_admin_FY2223</w:t>
            </w:r>
          </w:p>
        </w:tc>
        <w:tc>
          <w:tcPr>
            <w:tcW w:type="dxa" w:w="1944"/>
          </w:tcPr>
          <w:p>
            <w:pPr>
              <w:spacing w:after="20"/>
              <w:jc w:val="left"/>
            </w:pPr>
            <w:r>
              <w:rPr>
                <w:color w:val="1C3A36"/>
                <w:sz w:val="14"/>
              </w:rPr>
              <w:t>188.851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income statement</w:t>
            </w:r>
          </w:p>
        </w:tc>
      </w:tr>
      <w:tr>
        <w:tc>
          <w:tcPr>
            <w:tcW w:type="dxa" w:w="2448"/>
          </w:tcPr>
          <w:p>
            <w:pPr>
              <w:spacing w:after="20"/>
              <w:jc w:val="left"/>
            </w:pPr>
            <w:r>
              <w:rPr>
                <w:color w:val="1C3A36"/>
                <w:sz w:val="14"/>
              </w:rPr>
              <w:t>is_admin_FY2324</w:t>
            </w:r>
          </w:p>
        </w:tc>
        <w:tc>
          <w:tcPr>
            <w:tcW w:type="dxa" w:w="1944"/>
          </w:tcPr>
          <w:p>
            <w:pPr>
              <w:spacing w:after="20"/>
              <w:jc w:val="left"/>
            </w:pPr>
            <w:r>
              <w:rPr>
                <w:color w:val="1C3A36"/>
                <w:sz w:val="14"/>
              </w:rPr>
              <w:t>297.887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w:t>
            </w:r>
          </w:p>
        </w:tc>
      </w:tr>
      <w:tr>
        <w:tc>
          <w:tcPr>
            <w:tcW w:type="dxa" w:w="2448"/>
          </w:tcPr>
          <w:p>
            <w:pPr>
              <w:spacing w:after="20"/>
              <w:jc w:val="left"/>
            </w:pPr>
            <w:r>
              <w:rPr>
                <w:color w:val="1C3A36"/>
                <w:sz w:val="14"/>
              </w:rPr>
              <w:t>is_admin_FY2425</w:t>
            </w:r>
          </w:p>
        </w:tc>
        <w:tc>
          <w:tcPr>
            <w:tcW w:type="dxa" w:w="1944"/>
          </w:tcPr>
          <w:p>
            <w:pPr>
              <w:spacing w:after="20"/>
              <w:jc w:val="left"/>
            </w:pPr>
            <w:r>
              <w:rPr>
                <w:color w:val="1C3A36"/>
                <w:sz w:val="14"/>
              </w:rPr>
              <w:t>359.624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is_cogs_FY2122</w:t>
            </w:r>
          </w:p>
        </w:tc>
        <w:tc>
          <w:tcPr>
            <w:tcW w:type="dxa" w:w="1944"/>
          </w:tcPr>
          <w:p>
            <w:pPr>
              <w:spacing w:after="20"/>
              <w:jc w:val="left"/>
            </w:pPr>
            <w:r>
              <w:rPr>
                <w:color w:val="1C3A36"/>
                <w:sz w:val="14"/>
              </w:rPr>
              <w:t>2,323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comparative column</w:t>
            </w:r>
          </w:p>
        </w:tc>
      </w:tr>
      <w:tr>
        <w:tc>
          <w:tcPr>
            <w:tcW w:type="dxa" w:w="2448"/>
          </w:tcPr>
          <w:p>
            <w:pPr>
              <w:spacing w:after="20"/>
              <w:jc w:val="left"/>
            </w:pPr>
            <w:r>
              <w:rPr>
                <w:color w:val="1C3A36"/>
                <w:sz w:val="14"/>
              </w:rPr>
              <w:t>is_cogs_FY2223</w:t>
            </w:r>
          </w:p>
        </w:tc>
        <w:tc>
          <w:tcPr>
            <w:tcW w:type="dxa" w:w="1944"/>
          </w:tcPr>
          <w:p>
            <w:pPr>
              <w:spacing w:after="20"/>
              <w:jc w:val="left"/>
            </w:pPr>
            <w:r>
              <w:rPr>
                <w:color w:val="1C3A36"/>
                <w:sz w:val="14"/>
              </w:rPr>
              <w:t>3,574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income statement</w:t>
            </w:r>
          </w:p>
        </w:tc>
      </w:tr>
      <w:tr>
        <w:tc>
          <w:tcPr>
            <w:tcW w:type="dxa" w:w="2448"/>
          </w:tcPr>
          <w:p>
            <w:pPr>
              <w:spacing w:after="20"/>
              <w:jc w:val="left"/>
            </w:pPr>
            <w:r>
              <w:rPr>
                <w:color w:val="1C3A36"/>
                <w:sz w:val="14"/>
              </w:rPr>
              <w:t>is_cogs_FY2324</w:t>
            </w:r>
          </w:p>
        </w:tc>
        <w:tc>
          <w:tcPr>
            <w:tcW w:type="dxa" w:w="1944"/>
          </w:tcPr>
          <w:p>
            <w:pPr>
              <w:spacing w:after="20"/>
              <w:jc w:val="left"/>
            </w:pPr>
            <w:r>
              <w:rPr>
                <w:color w:val="1C3A36"/>
                <w:sz w:val="14"/>
              </w:rPr>
              <w:t>4,396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w:t>
            </w:r>
          </w:p>
        </w:tc>
      </w:tr>
      <w:tr>
        <w:tc>
          <w:tcPr>
            <w:tcW w:type="dxa" w:w="2448"/>
          </w:tcPr>
          <w:p>
            <w:pPr>
              <w:spacing w:after="20"/>
              <w:jc w:val="left"/>
            </w:pPr>
            <w:r>
              <w:rPr>
                <w:color w:val="1C3A36"/>
                <w:sz w:val="14"/>
              </w:rPr>
              <w:t>is_cogs_FY2425</w:t>
            </w:r>
          </w:p>
        </w:tc>
        <w:tc>
          <w:tcPr>
            <w:tcW w:type="dxa" w:w="1944"/>
          </w:tcPr>
          <w:p>
            <w:pPr>
              <w:spacing w:after="20"/>
              <w:jc w:val="left"/>
            </w:pPr>
            <w:r>
              <w:rPr>
                <w:color w:val="1C3A36"/>
                <w:sz w:val="14"/>
              </w:rPr>
              <w:t>5,300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is_eps_FY2425</w:t>
            </w:r>
          </w:p>
        </w:tc>
        <w:tc>
          <w:tcPr>
            <w:tcW w:type="dxa" w:w="1944"/>
          </w:tcPr>
          <w:p>
            <w:pPr>
              <w:spacing w:after="20"/>
              <w:jc w:val="left"/>
            </w:pPr>
            <w:r>
              <w:rPr>
                <w:color w:val="1C3A36"/>
                <w:sz w:val="14"/>
              </w:rPr>
              <w:t>0.4968</w:t>
            </w:r>
          </w:p>
        </w:tc>
        <w:tc>
          <w:tcPr>
            <w:tcW w:type="dxa" w:w="1224"/>
          </w:tcPr>
          <w:p>
            <w:pPr>
              <w:spacing w:after="20"/>
              <w:jc w:val="left"/>
            </w:pPr>
            <w:r>
              <w:rPr>
                <w:color w:val="1C3A36"/>
                <w:sz w:val="14"/>
              </w:rPr>
              <w:t>EGP</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is_gross_9M</w:t>
            </w:r>
          </w:p>
        </w:tc>
        <w:tc>
          <w:tcPr>
            <w:tcW w:type="dxa" w:w="1944"/>
          </w:tcPr>
          <w:p>
            <w:pPr>
              <w:spacing w:after="20"/>
              <w:jc w:val="left"/>
            </w:pPr>
            <w:r>
              <w:rPr>
                <w:color w:val="1C3A36"/>
                <w:sz w:val="14"/>
              </w:rPr>
              <w:t>3,135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w:t>
            </w:r>
          </w:p>
        </w:tc>
      </w:tr>
      <w:tr>
        <w:tc>
          <w:tcPr>
            <w:tcW w:type="dxa" w:w="2448"/>
          </w:tcPr>
          <w:p>
            <w:pPr>
              <w:spacing w:after="20"/>
              <w:jc w:val="left"/>
            </w:pPr>
            <w:r>
              <w:rPr>
                <w:color w:val="1C3A36"/>
                <w:sz w:val="14"/>
              </w:rPr>
              <w:t>is_gross_H1</w:t>
            </w:r>
          </w:p>
        </w:tc>
        <w:tc>
          <w:tcPr>
            <w:tcW w:type="dxa" w:w="1944"/>
          </w:tcPr>
          <w:p>
            <w:pPr>
              <w:spacing w:after="20"/>
              <w:jc w:val="left"/>
            </w:pPr>
            <w:r>
              <w:rPr>
                <w:color w:val="1C3A36"/>
                <w:sz w:val="14"/>
              </w:rPr>
              <w:t>1,673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2026-02-10</w:t>
            </w:r>
          </w:p>
        </w:tc>
        <w:tc>
          <w:tcPr>
            <w:tcW w:type="dxa" w:w="7344"/>
          </w:tcPr>
          <w:p>
            <w:pPr>
              <w:spacing w:after="20"/>
              <w:jc w:val="left"/>
            </w:pPr>
            <w:r>
              <w:rPr>
                <w:color w:val="1C3A36"/>
                <w:sz w:val="14"/>
              </w:rPr>
              <w:t>Interim statements, six months ended 31 December 2025, limited review dated 10 February 2026</w:t>
            </w:r>
          </w:p>
        </w:tc>
      </w:tr>
      <w:tr>
        <w:tc>
          <w:tcPr>
            <w:tcW w:type="dxa" w:w="2448"/>
          </w:tcPr>
          <w:p>
            <w:pPr>
              <w:spacing w:after="20"/>
              <w:jc w:val="left"/>
            </w:pPr>
            <w:r>
              <w:rPr>
                <w:color w:val="1C3A36"/>
                <w:sz w:val="14"/>
              </w:rPr>
              <w:t>is_gross_Q1</w:t>
            </w:r>
          </w:p>
        </w:tc>
        <w:tc>
          <w:tcPr>
            <w:tcW w:type="dxa" w:w="1944"/>
          </w:tcPr>
          <w:p>
            <w:pPr>
              <w:spacing w:after="20"/>
              <w:jc w:val="left"/>
            </w:pPr>
            <w:r>
              <w:rPr>
                <w:color w:val="1C3A36"/>
                <w:sz w:val="14"/>
              </w:rPr>
              <w:t>389.837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w:t>
            </w:r>
          </w:p>
        </w:tc>
      </w:tr>
      <w:tr>
        <w:tc>
          <w:tcPr>
            <w:tcW w:type="dxa" w:w="2448"/>
          </w:tcPr>
          <w:p>
            <w:pPr>
              <w:spacing w:after="20"/>
              <w:jc w:val="left"/>
            </w:pPr>
            <w:r>
              <w:rPr>
                <w:color w:val="1C3A36"/>
                <w:sz w:val="14"/>
              </w:rPr>
              <w:t>is_net_9M</w:t>
            </w:r>
          </w:p>
        </w:tc>
        <w:tc>
          <w:tcPr>
            <w:tcW w:type="dxa" w:w="1944"/>
          </w:tcPr>
          <w:p>
            <w:pPr>
              <w:spacing w:after="20"/>
              <w:jc w:val="left"/>
            </w:pPr>
            <w:r>
              <w:rPr>
                <w:color w:val="1C3A36"/>
                <w:sz w:val="14"/>
              </w:rPr>
              <w:t>531.31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w:t>
            </w:r>
          </w:p>
        </w:tc>
      </w:tr>
      <w:tr>
        <w:tc>
          <w:tcPr>
            <w:tcW w:type="dxa" w:w="2448"/>
          </w:tcPr>
          <w:p>
            <w:pPr>
              <w:spacing w:after="20"/>
              <w:jc w:val="left"/>
            </w:pPr>
            <w:r>
              <w:rPr>
                <w:color w:val="1C3A36"/>
                <w:sz w:val="14"/>
              </w:rPr>
              <w:t>is_net_FY2122</w:t>
            </w:r>
          </w:p>
        </w:tc>
        <w:tc>
          <w:tcPr>
            <w:tcW w:type="dxa" w:w="1944"/>
          </w:tcPr>
          <w:p>
            <w:pPr>
              <w:spacing w:after="20"/>
              <w:jc w:val="left"/>
            </w:pPr>
            <w:r>
              <w:rPr>
                <w:color w:val="1C3A36"/>
                <w:sz w:val="14"/>
              </w:rPr>
              <w:t>651.486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comparative column</w:t>
            </w:r>
          </w:p>
        </w:tc>
      </w:tr>
      <w:tr>
        <w:tc>
          <w:tcPr>
            <w:tcW w:type="dxa" w:w="2448"/>
          </w:tcPr>
          <w:p>
            <w:pPr>
              <w:spacing w:after="20"/>
              <w:jc w:val="left"/>
            </w:pPr>
            <w:r>
              <w:rPr>
                <w:color w:val="1C3A36"/>
                <w:sz w:val="14"/>
              </w:rPr>
              <w:t>is_net_FY2223</w:t>
            </w:r>
          </w:p>
        </w:tc>
        <w:tc>
          <w:tcPr>
            <w:tcW w:type="dxa" w:w="1944"/>
          </w:tcPr>
          <w:p>
            <w:pPr>
              <w:spacing w:after="20"/>
              <w:jc w:val="left"/>
            </w:pPr>
            <w:r>
              <w:rPr>
                <w:color w:val="1C3A36"/>
                <w:sz w:val="14"/>
              </w:rPr>
              <w:t>1,151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income statement</w:t>
            </w:r>
          </w:p>
        </w:tc>
      </w:tr>
      <w:tr>
        <w:tc>
          <w:tcPr>
            <w:tcW w:type="dxa" w:w="2448"/>
          </w:tcPr>
          <w:p>
            <w:pPr>
              <w:spacing w:after="20"/>
              <w:jc w:val="left"/>
            </w:pPr>
            <w:r>
              <w:rPr>
                <w:color w:val="1C3A36"/>
                <w:sz w:val="14"/>
              </w:rPr>
              <w:t>is_net_FY2324</w:t>
            </w:r>
          </w:p>
        </w:tc>
        <w:tc>
          <w:tcPr>
            <w:tcW w:type="dxa" w:w="1944"/>
          </w:tcPr>
          <w:p>
            <w:pPr>
              <w:spacing w:after="20"/>
              <w:jc w:val="left"/>
            </w:pPr>
            <w:r>
              <w:rPr>
                <w:color w:val="1C3A36"/>
                <w:sz w:val="14"/>
              </w:rPr>
              <w:t>2,538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w:t>
            </w:r>
          </w:p>
        </w:tc>
      </w:tr>
      <w:tr>
        <w:tc>
          <w:tcPr>
            <w:tcW w:type="dxa" w:w="2448"/>
          </w:tcPr>
          <w:p>
            <w:pPr>
              <w:spacing w:after="20"/>
              <w:jc w:val="left"/>
            </w:pPr>
            <w:r>
              <w:rPr>
                <w:color w:val="1C3A36"/>
                <w:sz w:val="14"/>
              </w:rPr>
              <w:t>is_net_FY2425</w:t>
            </w:r>
          </w:p>
        </w:tc>
        <w:tc>
          <w:tcPr>
            <w:tcW w:type="dxa" w:w="1944"/>
          </w:tcPr>
          <w:p>
            <w:pPr>
              <w:spacing w:after="20"/>
              <w:jc w:val="left"/>
            </w:pPr>
            <w:r>
              <w:rPr>
                <w:color w:val="1C3A36"/>
                <w:sz w:val="14"/>
              </w:rPr>
              <w:t>986.964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is_net_H1</w:t>
            </w:r>
          </w:p>
        </w:tc>
        <w:tc>
          <w:tcPr>
            <w:tcW w:type="dxa" w:w="1944"/>
          </w:tcPr>
          <w:p>
            <w:pPr>
              <w:spacing w:after="20"/>
              <w:jc w:val="left"/>
            </w:pPr>
            <w:r>
              <w:rPr>
                <w:color w:val="1C3A36"/>
                <w:sz w:val="14"/>
              </w:rPr>
              <w:t>1,190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2026-02-10</w:t>
            </w:r>
          </w:p>
        </w:tc>
        <w:tc>
          <w:tcPr>
            <w:tcW w:type="dxa" w:w="7344"/>
          </w:tcPr>
          <w:p>
            <w:pPr>
              <w:spacing w:after="20"/>
              <w:jc w:val="left"/>
            </w:pPr>
            <w:r>
              <w:rPr>
                <w:color w:val="1C3A36"/>
                <w:sz w:val="14"/>
              </w:rPr>
              <w:t>Interim statements, six months ended 31 December 2025, limited review dated 10 February 2026</w:t>
            </w:r>
          </w:p>
        </w:tc>
      </w:tr>
      <w:tr>
        <w:tc>
          <w:tcPr>
            <w:tcW w:type="dxa" w:w="2448"/>
          </w:tcPr>
          <w:p>
            <w:pPr>
              <w:spacing w:after="20"/>
              <w:jc w:val="left"/>
            </w:pPr>
            <w:r>
              <w:rPr>
                <w:color w:val="1C3A36"/>
                <w:sz w:val="14"/>
              </w:rPr>
              <w:t>is_net_Q1</w:t>
            </w:r>
          </w:p>
        </w:tc>
        <w:tc>
          <w:tcPr>
            <w:tcW w:type="dxa" w:w="1944"/>
          </w:tcPr>
          <w:p>
            <w:pPr>
              <w:spacing w:after="20"/>
              <w:jc w:val="left"/>
            </w:pPr>
            <w:r>
              <w:rPr>
                <w:color w:val="1C3A36"/>
                <w:sz w:val="14"/>
              </w:rPr>
              <w:t>482.705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w:t>
            </w:r>
          </w:p>
        </w:tc>
      </w:tr>
      <w:tr>
        <w:tc>
          <w:tcPr>
            <w:tcW w:type="dxa" w:w="2448"/>
          </w:tcPr>
          <w:p>
            <w:pPr>
              <w:spacing w:after="20"/>
              <w:jc w:val="left"/>
            </w:pPr>
            <w:r>
              <w:rPr>
                <w:color w:val="1C3A36"/>
                <w:sz w:val="14"/>
              </w:rPr>
              <w:t>is_revenue_9M</w:t>
            </w:r>
          </w:p>
        </w:tc>
        <w:tc>
          <w:tcPr>
            <w:tcW w:type="dxa" w:w="1944"/>
          </w:tcPr>
          <w:p>
            <w:pPr>
              <w:spacing w:after="20"/>
              <w:jc w:val="left"/>
            </w:pPr>
            <w:r>
              <w:rPr>
                <w:color w:val="1C3A36"/>
                <w:sz w:val="14"/>
              </w:rPr>
              <w:t>7,315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w:t>
            </w:r>
          </w:p>
        </w:tc>
      </w:tr>
      <w:tr>
        <w:tc>
          <w:tcPr>
            <w:tcW w:type="dxa" w:w="2448"/>
          </w:tcPr>
          <w:p>
            <w:pPr>
              <w:spacing w:after="20"/>
              <w:jc w:val="left"/>
            </w:pPr>
            <w:r>
              <w:rPr>
                <w:color w:val="1C3A36"/>
                <w:sz w:val="14"/>
              </w:rPr>
              <w:t>is_revenue_FY2122</w:t>
            </w:r>
          </w:p>
        </w:tc>
        <w:tc>
          <w:tcPr>
            <w:tcW w:type="dxa" w:w="1944"/>
          </w:tcPr>
          <w:p>
            <w:pPr>
              <w:spacing w:after="20"/>
              <w:jc w:val="left"/>
            </w:pPr>
            <w:r>
              <w:rPr>
                <w:color w:val="1C3A36"/>
                <w:sz w:val="14"/>
              </w:rPr>
              <w:t>4,441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comparative column</w:t>
            </w:r>
          </w:p>
        </w:tc>
      </w:tr>
      <w:tr>
        <w:tc>
          <w:tcPr>
            <w:tcW w:type="dxa" w:w="2448"/>
          </w:tcPr>
          <w:p>
            <w:pPr>
              <w:spacing w:after="20"/>
              <w:jc w:val="left"/>
            </w:pPr>
            <w:r>
              <w:rPr>
                <w:color w:val="1C3A36"/>
                <w:sz w:val="14"/>
              </w:rPr>
              <w:t>is_revenue_FY2223</w:t>
            </w:r>
          </w:p>
        </w:tc>
        <w:tc>
          <w:tcPr>
            <w:tcW w:type="dxa" w:w="1944"/>
          </w:tcPr>
          <w:p>
            <w:pPr>
              <w:spacing w:after="20"/>
              <w:jc w:val="left"/>
            </w:pPr>
            <w:r>
              <w:rPr>
                <w:color w:val="1C3A36"/>
                <w:sz w:val="14"/>
              </w:rPr>
              <w:t>6,612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income statement</w:t>
            </w:r>
          </w:p>
        </w:tc>
      </w:tr>
      <w:tr>
        <w:tc>
          <w:tcPr>
            <w:tcW w:type="dxa" w:w="2448"/>
          </w:tcPr>
          <w:p>
            <w:pPr>
              <w:spacing w:after="20"/>
              <w:jc w:val="left"/>
            </w:pPr>
            <w:r>
              <w:rPr>
                <w:color w:val="1C3A36"/>
                <w:sz w:val="14"/>
              </w:rPr>
              <w:t>is_revenue_FY2324</w:t>
            </w:r>
          </w:p>
        </w:tc>
        <w:tc>
          <w:tcPr>
            <w:tcW w:type="dxa" w:w="1944"/>
          </w:tcPr>
          <w:p>
            <w:pPr>
              <w:spacing w:after="20"/>
              <w:jc w:val="left"/>
            </w:pPr>
            <w:r>
              <w:rPr>
                <w:color w:val="1C3A36"/>
                <w:sz w:val="14"/>
              </w:rPr>
              <w:t>6,532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w:t>
            </w:r>
          </w:p>
        </w:tc>
      </w:tr>
      <w:tr>
        <w:tc>
          <w:tcPr>
            <w:tcW w:type="dxa" w:w="2448"/>
          </w:tcPr>
          <w:p>
            <w:pPr>
              <w:spacing w:after="20"/>
              <w:jc w:val="left"/>
            </w:pPr>
            <w:r>
              <w:rPr>
                <w:color w:val="1C3A36"/>
                <w:sz w:val="14"/>
              </w:rPr>
              <w:t>is_revenue_FY2425</w:t>
            </w:r>
          </w:p>
        </w:tc>
        <w:tc>
          <w:tcPr>
            <w:tcW w:type="dxa" w:w="1944"/>
          </w:tcPr>
          <w:p>
            <w:pPr>
              <w:spacing w:after="20"/>
              <w:jc w:val="left"/>
            </w:pPr>
            <w:r>
              <w:rPr>
                <w:color w:val="1C3A36"/>
                <w:sz w:val="14"/>
              </w:rPr>
              <w:t>8,603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is_revenue_H1</w:t>
            </w:r>
          </w:p>
        </w:tc>
        <w:tc>
          <w:tcPr>
            <w:tcW w:type="dxa" w:w="1944"/>
          </w:tcPr>
          <w:p>
            <w:pPr>
              <w:spacing w:after="20"/>
              <w:jc w:val="left"/>
            </w:pPr>
            <w:r>
              <w:rPr>
                <w:color w:val="1C3A36"/>
                <w:sz w:val="14"/>
              </w:rPr>
              <w:t>4,156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2026-02-10</w:t>
            </w:r>
          </w:p>
        </w:tc>
        <w:tc>
          <w:tcPr>
            <w:tcW w:type="dxa" w:w="7344"/>
          </w:tcPr>
          <w:p>
            <w:pPr>
              <w:spacing w:after="20"/>
              <w:jc w:val="left"/>
            </w:pPr>
            <w:r>
              <w:rPr>
                <w:color w:val="1C3A36"/>
                <w:sz w:val="14"/>
              </w:rPr>
              <w:t>Interim statements, six months ended 31 December 2025, limited review dated 10 February 2026</w:t>
            </w:r>
          </w:p>
        </w:tc>
      </w:tr>
      <w:tr>
        <w:tc>
          <w:tcPr>
            <w:tcW w:type="dxa" w:w="2448"/>
          </w:tcPr>
          <w:p>
            <w:pPr>
              <w:spacing w:after="20"/>
              <w:jc w:val="left"/>
            </w:pPr>
            <w:r>
              <w:rPr>
                <w:color w:val="1C3A36"/>
                <w:sz w:val="14"/>
              </w:rPr>
              <w:t>is_revenue_Q1</w:t>
            </w:r>
          </w:p>
        </w:tc>
        <w:tc>
          <w:tcPr>
            <w:tcW w:type="dxa" w:w="1944"/>
          </w:tcPr>
          <w:p>
            <w:pPr>
              <w:spacing w:after="20"/>
              <w:jc w:val="left"/>
            </w:pPr>
            <w:r>
              <w:rPr>
                <w:color w:val="1C3A36"/>
                <w:sz w:val="14"/>
              </w:rPr>
              <w:t>1,185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2025-11-13</w:t>
            </w:r>
          </w:p>
        </w:tc>
        <w:tc>
          <w:tcPr>
            <w:tcW w:type="dxa" w:w="7344"/>
          </w:tcPr>
          <w:p>
            <w:pPr>
              <w:spacing w:after="20"/>
              <w:jc w:val="left"/>
            </w:pPr>
            <w:r>
              <w:rPr>
                <w:color w:val="1C3A36"/>
                <w:sz w:val="14"/>
              </w:rPr>
              <w:t>Interim statements, three months ended 30 September 2025, limited review dated 13 November 2025</w:t>
            </w:r>
          </w:p>
        </w:tc>
      </w:tr>
      <w:tr>
        <w:tc>
          <w:tcPr>
            <w:tcW w:type="dxa" w:w="2448"/>
          </w:tcPr>
          <w:p>
            <w:pPr>
              <w:spacing w:after="20"/>
              <w:jc w:val="left"/>
            </w:pPr>
            <w:r>
              <w:rPr>
                <w:color w:val="1C3A36"/>
                <w:sz w:val="14"/>
              </w:rPr>
              <w:t>is_revenue_Q3</w:t>
            </w:r>
          </w:p>
        </w:tc>
        <w:tc>
          <w:tcPr>
            <w:tcW w:type="dxa" w:w="1944"/>
          </w:tcPr>
          <w:p>
            <w:pPr>
              <w:spacing w:after="20"/>
              <w:jc w:val="left"/>
            </w:pPr>
            <w:r>
              <w:rPr>
                <w:color w:val="1C3A36"/>
                <w:sz w:val="14"/>
              </w:rPr>
              <w:t>3,159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 derived from the nine-month and six-month columns</w:t>
            </w:r>
          </w:p>
        </w:tc>
      </w:tr>
      <w:tr>
        <w:tc>
          <w:tcPr>
            <w:tcW w:type="dxa" w:w="2448"/>
          </w:tcPr>
          <w:p>
            <w:pPr>
              <w:spacing w:after="20"/>
              <w:jc w:val="left"/>
            </w:pPr>
            <w:r>
              <w:rPr>
                <w:color w:val="1C3A36"/>
                <w:sz w:val="14"/>
              </w:rPr>
              <w:t>is_selling_9M</w:t>
            </w:r>
          </w:p>
        </w:tc>
        <w:tc>
          <w:tcPr>
            <w:tcW w:type="dxa" w:w="1944"/>
          </w:tcPr>
          <w:p>
            <w:pPr>
              <w:spacing w:after="20"/>
              <w:jc w:val="left"/>
            </w:pPr>
            <w:r>
              <w:rPr>
                <w:color w:val="1C3A36"/>
                <w:sz w:val="14"/>
              </w:rPr>
              <w:t>734.707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2026-05-21</w:t>
            </w:r>
          </w:p>
        </w:tc>
        <w:tc>
          <w:tcPr>
            <w:tcW w:type="dxa" w:w="7344"/>
          </w:tcPr>
          <w:p>
            <w:pPr>
              <w:spacing w:after="20"/>
              <w:jc w:val="left"/>
            </w:pPr>
            <w:r>
              <w:rPr>
                <w:color w:val="1C3A36"/>
                <w:sz w:val="14"/>
              </w:rPr>
              <w:t>Interim statements, nine months ended 31 March 2026, limited review dated 20 May 2026</w:t>
            </w:r>
          </w:p>
        </w:tc>
      </w:tr>
      <w:tr>
        <w:tc>
          <w:tcPr>
            <w:tcW w:type="dxa" w:w="2448"/>
          </w:tcPr>
          <w:p>
            <w:pPr>
              <w:spacing w:after="20"/>
              <w:jc w:val="left"/>
            </w:pPr>
            <w:r>
              <w:rPr>
                <w:color w:val="1C3A36"/>
                <w:sz w:val="14"/>
              </w:rPr>
              <w:t>is_selling_FY2122</w:t>
            </w:r>
          </w:p>
        </w:tc>
        <w:tc>
          <w:tcPr>
            <w:tcW w:type="dxa" w:w="1944"/>
          </w:tcPr>
          <w:p>
            <w:pPr>
              <w:spacing w:after="20"/>
              <w:jc w:val="left"/>
            </w:pPr>
            <w:r>
              <w:rPr>
                <w:color w:val="1C3A36"/>
                <w:sz w:val="14"/>
              </w:rPr>
              <w:t>272.81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comparative column</w:t>
            </w:r>
          </w:p>
        </w:tc>
      </w:tr>
      <w:tr>
        <w:tc>
          <w:tcPr>
            <w:tcW w:type="dxa" w:w="2448"/>
          </w:tcPr>
          <w:p>
            <w:pPr>
              <w:spacing w:after="20"/>
              <w:jc w:val="left"/>
            </w:pPr>
            <w:r>
              <w:rPr>
                <w:color w:val="1C3A36"/>
                <w:sz w:val="14"/>
              </w:rPr>
              <w:t>is_selling_FY2223</w:t>
            </w:r>
          </w:p>
        </w:tc>
        <w:tc>
          <w:tcPr>
            <w:tcW w:type="dxa" w:w="1944"/>
          </w:tcPr>
          <w:p>
            <w:pPr>
              <w:spacing w:after="20"/>
              <w:jc w:val="left"/>
            </w:pPr>
            <w:r>
              <w:rPr>
                <w:color w:val="1C3A36"/>
                <w:sz w:val="14"/>
              </w:rPr>
              <w:t>473.72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income statement</w:t>
            </w:r>
          </w:p>
        </w:tc>
      </w:tr>
      <w:tr>
        <w:tc>
          <w:tcPr>
            <w:tcW w:type="dxa" w:w="2448"/>
          </w:tcPr>
          <w:p>
            <w:pPr>
              <w:spacing w:after="20"/>
              <w:jc w:val="left"/>
            </w:pPr>
            <w:r>
              <w:rPr>
                <w:color w:val="1C3A36"/>
                <w:sz w:val="14"/>
              </w:rPr>
              <w:t>is_selling_FY2324</w:t>
            </w:r>
          </w:p>
        </w:tc>
        <w:tc>
          <w:tcPr>
            <w:tcW w:type="dxa" w:w="1944"/>
          </w:tcPr>
          <w:p>
            <w:pPr>
              <w:spacing w:after="20"/>
              <w:jc w:val="left"/>
            </w:pPr>
            <w:r>
              <w:rPr>
                <w:color w:val="1C3A36"/>
                <w:sz w:val="14"/>
              </w:rPr>
              <w:t>562.527</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w:t>
            </w:r>
          </w:p>
        </w:tc>
      </w:tr>
      <w:tr>
        <w:tc>
          <w:tcPr>
            <w:tcW w:type="dxa" w:w="2448"/>
          </w:tcPr>
          <w:p>
            <w:pPr>
              <w:spacing w:after="20"/>
              <w:jc w:val="left"/>
            </w:pPr>
            <w:r>
              <w:rPr>
                <w:color w:val="1C3A36"/>
                <w:sz w:val="14"/>
              </w:rPr>
              <w:t>is_selling_FY2425</w:t>
            </w:r>
          </w:p>
        </w:tc>
        <w:tc>
          <w:tcPr>
            <w:tcW w:type="dxa" w:w="1944"/>
          </w:tcPr>
          <w:p>
            <w:pPr>
              <w:spacing w:after="20"/>
              <w:jc w:val="left"/>
            </w:pPr>
            <w:r>
              <w:rPr>
                <w:color w:val="1C3A36"/>
                <w:sz w:val="14"/>
              </w:rPr>
              <w:t>786.463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income statement</w:t>
            </w:r>
          </w:p>
        </w:tc>
      </w:tr>
      <w:tr>
        <w:tc>
          <w:tcPr>
            <w:tcW w:type="dxa" w:w="2448"/>
          </w:tcPr>
          <w:p>
            <w:pPr>
              <w:spacing w:after="20"/>
              <w:jc w:val="left"/>
            </w:pPr>
            <w:r>
              <w:rPr>
                <w:color w:val="1C3A36"/>
                <w:sz w:val="14"/>
              </w:rPr>
              <w:t>kima2_loan_FY2425</w:t>
            </w:r>
          </w:p>
        </w:tc>
        <w:tc>
          <w:tcPr>
            <w:tcW w:type="dxa" w:w="1944"/>
          </w:tcPr>
          <w:p>
            <w:pPr>
              <w:spacing w:after="20"/>
              <w:jc w:val="left"/>
            </w:pPr>
            <w:r>
              <w:rPr>
                <w:color w:val="1C3A36"/>
                <w:sz w:val="14"/>
              </w:rPr>
              <w:t>11,581</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18-1 KIMA-2 bank consortium loan</w:t>
            </w:r>
          </w:p>
        </w:tc>
      </w:tr>
      <w:tr>
        <w:tc>
          <w:tcPr>
            <w:tcW w:type="dxa" w:w="2448"/>
          </w:tcPr>
          <w:p>
            <w:pPr>
              <w:spacing w:after="20"/>
              <w:jc w:val="left"/>
            </w:pPr>
            <w:r>
              <w:rPr>
                <w:color w:val="1C3A36"/>
                <w:sz w:val="14"/>
              </w:rPr>
              <w:t>kima2_usd_interest_FY2425</w:t>
            </w:r>
          </w:p>
        </w:tc>
        <w:tc>
          <w:tcPr>
            <w:tcW w:type="dxa" w:w="1944"/>
          </w:tcPr>
          <w:p>
            <w:pPr>
              <w:spacing w:after="20"/>
              <w:jc w:val="left"/>
            </w:pPr>
            <w:r>
              <w:rPr>
                <w:color w:val="1C3A36"/>
                <w:sz w:val="14"/>
              </w:rPr>
              <w:t>1,338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26 finance cost</w:t>
            </w:r>
          </w:p>
        </w:tc>
      </w:tr>
      <w:tr>
        <w:tc>
          <w:tcPr>
            <w:tcW w:type="dxa" w:w="2448"/>
          </w:tcPr>
          <w:p>
            <w:pPr>
              <w:spacing w:after="20"/>
              <w:jc w:val="left"/>
            </w:pPr>
            <w:r>
              <w:rPr>
                <w:color w:val="1C3A36"/>
                <w:sz w:val="14"/>
              </w:rPr>
              <w:t>oneoff_reval_FY2324</w:t>
            </w:r>
          </w:p>
        </w:tc>
        <w:tc>
          <w:tcPr>
            <w:tcW w:type="dxa" w:w="1944"/>
          </w:tcPr>
          <w:p>
            <w:pPr>
              <w:spacing w:after="20"/>
              <w:jc w:val="left"/>
            </w:pPr>
            <w:r>
              <w:rPr>
                <w:color w:val="1C3A36"/>
                <w:sz w:val="14"/>
              </w:rPr>
              <w:t>2,035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income statement — gain on revaluation of investment property — One-off. Stripped from every margin and return in this study.</w:t>
            </w:r>
          </w:p>
        </w:tc>
      </w:tr>
      <w:tr>
        <w:tc>
          <w:tcPr>
            <w:tcW w:type="dxa" w:w="2448"/>
          </w:tcPr>
          <w:p>
            <w:pPr>
              <w:spacing w:after="20"/>
              <w:jc w:val="left"/>
            </w:pPr>
            <w:r>
              <w:rPr>
                <w:color w:val="1C3A36"/>
                <w:sz w:val="14"/>
              </w:rPr>
              <w:t>other_rev_FY2425</w:t>
            </w:r>
          </w:p>
        </w:tc>
        <w:tc>
          <w:tcPr>
            <w:tcW w:type="dxa" w:w="1944"/>
          </w:tcPr>
          <w:p>
            <w:pPr>
              <w:spacing w:after="20"/>
              <w:jc w:val="left"/>
            </w:pPr>
            <w:r>
              <w:rPr>
                <w:color w:val="1C3A36"/>
                <w:sz w:val="14"/>
              </w:rPr>
              <w:t>30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20 — merchant nitric acid, plant rent and services</w:t>
            </w:r>
          </w:p>
        </w:tc>
      </w:tr>
      <w:tr>
        <w:tc>
          <w:tcPr>
            <w:tcW w:type="dxa" w:w="2448"/>
          </w:tcPr>
          <w:p>
            <w:pPr>
              <w:spacing w:after="20"/>
              <w:jc w:val="left"/>
            </w:pPr>
            <w:r>
              <w:rPr>
                <w:color w:val="1C3A36"/>
                <w:sz w:val="14"/>
              </w:rPr>
              <w:t>paid_capital</w:t>
            </w:r>
          </w:p>
        </w:tc>
        <w:tc>
          <w:tcPr>
            <w:tcW w:type="dxa" w:w="1944"/>
          </w:tcPr>
          <w:p>
            <w:pPr>
              <w:spacing w:after="20"/>
              <w:jc w:val="left"/>
            </w:pPr>
            <w:r>
              <w:rPr>
                <w:color w:val="1C3A36"/>
                <w:sz w:val="14"/>
              </w:rPr>
              <w:t>9,933</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14</w:t>
            </w:r>
          </w:p>
        </w:tc>
      </w:tr>
      <w:tr>
        <w:tc>
          <w:tcPr>
            <w:tcW w:type="dxa" w:w="2448"/>
          </w:tcPr>
          <w:p>
            <w:pPr>
              <w:spacing w:after="20"/>
              <w:jc w:val="left"/>
            </w:pPr>
            <w:r>
              <w:rPr>
                <w:color w:val="1C3A36"/>
                <w:sz w:val="14"/>
              </w:rPr>
              <w:t>par_value</w:t>
            </w:r>
          </w:p>
        </w:tc>
        <w:tc>
          <w:tcPr>
            <w:tcW w:type="dxa" w:w="1944"/>
          </w:tcPr>
          <w:p>
            <w:pPr>
              <w:spacing w:after="20"/>
              <w:jc w:val="left"/>
            </w:pPr>
            <w:r>
              <w:rPr>
                <w:color w:val="1C3A36"/>
                <w:sz w:val="14"/>
              </w:rPr>
              <w:t>5</w:t>
            </w:r>
          </w:p>
        </w:tc>
        <w:tc>
          <w:tcPr>
            <w:tcW w:type="dxa" w:w="1224"/>
          </w:tcPr>
          <w:p>
            <w:pPr>
              <w:spacing w:after="20"/>
              <w:jc w:val="left"/>
            </w:pPr>
            <w:r>
              <w:rPr>
                <w:color w:val="1C3A36"/>
                <w:sz w:val="14"/>
              </w:rPr>
              <w:t>EGP</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14</w:t>
            </w:r>
          </w:p>
        </w:tc>
      </w:tr>
      <w:tr>
        <w:tc>
          <w:tcPr>
            <w:tcW w:type="dxa" w:w="2448"/>
          </w:tcPr>
          <w:p>
            <w:pPr>
              <w:spacing w:after="20"/>
              <w:jc w:val="left"/>
            </w:pPr>
            <w:r>
              <w:rPr>
                <w:color w:val="1C3A36"/>
                <w:sz w:val="14"/>
              </w:rPr>
              <w:t>prod_ammonia_FY2425</w:t>
            </w:r>
          </w:p>
        </w:tc>
        <w:tc>
          <w:tcPr>
            <w:tcW w:type="dxa" w:w="1944"/>
          </w:tcPr>
          <w:p>
            <w:pPr>
              <w:spacing w:after="20"/>
              <w:jc w:val="left"/>
            </w:pPr>
            <w:r>
              <w:rPr>
                <w:color w:val="1C3A36"/>
                <w:sz w:val="14"/>
              </w:rPr>
              <w:t>318,242</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prod_an_gran_FY2425</w:t>
            </w:r>
          </w:p>
        </w:tc>
        <w:tc>
          <w:tcPr>
            <w:tcW w:type="dxa" w:w="1944"/>
          </w:tcPr>
          <w:p>
            <w:pPr>
              <w:spacing w:after="20"/>
              <w:jc w:val="left"/>
            </w:pPr>
            <w:r>
              <w:rPr>
                <w:color w:val="1C3A36"/>
                <w:sz w:val="14"/>
              </w:rPr>
              <w:t>17,887</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prod_ldan_FY2425</w:t>
            </w:r>
          </w:p>
        </w:tc>
        <w:tc>
          <w:tcPr>
            <w:tcW w:type="dxa" w:w="1944"/>
          </w:tcPr>
          <w:p>
            <w:pPr>
              <w:spacing w:after="20"/>
              <w:jc w:val="left"/>
            </w:pPr>
            <w:r>
              <w:rPr>
                <w:color w:val="1C3A36"/>
                <w:sz w:val="14"/>
              </w:rPr>
              <w:t>8,171</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prod_nitric_FY2425</w:t>
            </w:r>
          </w:p>
        </w:tc>
        <w:tc>
          <w:tcPr>
            <w:tcW w:type="dxa" w:w="1944"/>
          </w:tcPr>
          <w:p>
            <w:pPr>
              <w:spacing w:after="20"/>
              <w:jc w:val="left"/>
            </w:pPr>
            <w:r>
              <w:rPr>
                <w:color w:val="1C3A36"/>
                <w:sz w:val="14"/>
              </w:rPr>
              <w:t>35,590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prod_urea_FY2223</w:t>
            </w:r>
          </w:p>
        </w:tc>
        <w:tc>
          <w:tcPr>
            <w:tcW w:type="dxa" w:w="1944"/>
          </w:tcPr>
          <w:p>
            <w:pPr>
              <w:spacing w:after="20"/>
              <w:jc w:val="left"/>
            </w:pPr>
            <w:r>
              <w:rPr>
                <w:color w:val="1C3A36"/>
                <w:sz w:val="14"/>
              </w:rPr>
              <w:t>586,373</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2023-10-08</w:t>
            </w:r>
          </w:p>
        </w:tc>
        <w:tc>
          <w:tcPr>
            <w:tcW w:type="dxa" w:w="7344"/>
          </w:tcPr>
          <w:p>
            <w:pPr>
              <w:spacing w:after="20"/>
              <w:jc w:val="left"/>
            </w:pPr>
            <w:r>
              <w:rPr>
                <w:color w:val="1C3A36"/>
                <w:sz w:val="14"/>
              </w:rPr>
              <w:t>Audited financial statements, year ended 30 June 2023 (Central Auditing Organization with PKF Rashed Badr &amp; Co, report dated 8 October 2023), auditor's product cost table</w:t>
            </w:r>
          </w:p>
        </w:tc>
      </w:tr>
      <w:tr>
        <w:tc>
          <w:tcPr>
            <w:tcW w:type="dxa" w:w="2448"/>
          </w:tcPr>
          <w:p>
            <w:pPr>
              <w:spacing w:after="20"/>
              <w:jc w:val="left"/>
            </w:pPr>
            <w:r>
              <w:rPr>
                <w:color w:val="1C3A36"/>
                <w:sz w:val="14"/>
              </w:rPr>
              <w:t>prod_urea_FY2324</w:t>
            </w:r>
          </w:p>
        </w:tc>
        <w:tc>
          <w:tcPr>
            <w:tcW w:type="dxa" w:w="1944"/>
          </w:tcPr>
          <w:p>
            <w:pPr>
              <w:spacing w:after="20"/>
              <w:jc w:val="left"/>
            </w:pPr>
            <w:r>
              <w:rPr>
                <w:color w:val="1C3A36"/>
                <w:sz w:val="14"/>
              </w:rPr>
              <w:t>521,868</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2024-10-23</w:t>
            </w:r>
          </w:p>
        </w:tc>
        <w:tc>
          <w:tcPr>
            <w:tcW w:type="dxa" w:w="7344"/>
          </w:tcPr>
          <w:p>
            <w:pPr>
              <w:spacing w:after="20"/>
              <w:jc w:val="left"/>
            </w:pPr>
            <w:r>
              <w:rPr>
                <w:color w:val="1C3A36"/>
                <w:sz w:val="14"/>
              </w:rPr>
              <w:t>Audited financial statements, year ended 30 June 2024 (Central Auditing Organization, report dated 23 October 2024), auditor's product cost table</w:t>
            </w:r>
          </w:p>
        </w:tc>
      </w:tr>
      <w:tr>
        <w:tc>
          <w:tcPr>
            <w:tcW w:type="dxa" w:w="2448"/>
          </w:tcPr>
          <w:p>
            <w:pPr>
              <w:spacing w:after="20"/>
              <w:jc w:val="left"/>
            </w:pPr>
            <w:r>
              <w:rPr>
                <w:color w:val="1C3A36"/>
                <w:sz w:val="14"/>
              </w:rPr>
              <w:t>prod_urea_FY2425</w:t>
            </w:r>
          </w:p>
        </w:tc>
        <w:tc>
          <w:tcPr>
            <w:tcW w:type="dxa" w:w="1944"/>
          </w:tcPr>
          <w:p>
            <w:pPr>
              <w:spacing w:after="20"/>
              <w:jc w:val="left"/>
            </w:pPr>
            <w:r>
              <w:rPr>
                <w:color w:val="1C3A36"/>
                <w:sz w:val="14"/>
              </w:rPr>
              <w:t>513,385</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quota_delivered_14m</w:t>
            </w:r>
          </w:p>
        </w:tc>
        <w:tc>
          <w:tcPr>
            <w:tcW w:type="dxa" w:w="1944"/>
          </w:tcPr>
          <w:p>
            <w:pPr>
              <w:spacing w:after="20"/>
              <w:jc w:val="left"/>
            </w:pPr>
            <w:r>
              <w:rPr>
                <w:color w:val="1C3A36"/>
                <w:sz w:val="14"/>
              </w:rPr>
              <w:t>147,000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w:t>
            </w:r>
          </w:p>
        </w:tc>
      </w:tr>
      <w:tr>
        <w:tc>
          <w:tcPr>
            <w:tcW w:type="dxa" w:w="2448"/>
          </w:tcPr>
          <w:p>
            <w:pPr>
              <w:spacing w:after="20"/>
              <w:jc w:val="left"/>
            </w:pPr>
            <w:r>
              <w:rPr>
                <w:color w:val="1C3A36"/>
                <w:sz w:val="14"/>
              </w:rPr>
              <w:t>quota_required_14m</w:t>
            </w:r>
          </w:p>
        </w:tc>
        <w:tc>
          <w:tcPr>
            <w:tcW w:type="dxa" w:w="1944"/>
          </w:tcPr>
          <w:p>
            <w:pPr>
              <w:spacing w:after="20"/>
              <w:jc w:val="left"/>
            </w:pPr>
            <w:r>
              <w:rPr>
                <w:color w:val="1C3A36"/>
                <w:sz w:val="14"/>
              </w:rPr>
              <w:t>322,000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w:t>
            </w:r>
          </w:p>
        </w:tc>
      </w:tr>
      <w:tr>
        <w:tc>
          <w:tcPr>
            <w:tcW w:type="dxa" w:w="2448"/>
          </w:tcPr>
          <w:p>
            <w:pPr>
              <w:spacing w:after="20"/>
              <w:jc w:val="left"/>
            </w:pPr>
            <w:r>
              <w:rPr>
                <w:color w:val="1C3A36"/>
                <w:sz w:val="14"/>
              </w:rPr>
              <w:t>rev_export_FY2425</w:t>
            </w:r>
          </w:p>
        </w:tc>
        <w:tc>
          <w:tcPr>
            <w:tcW w:type="dxa" w:w="1944"/>
          </w:tcPr>
          <w:p>
            <w:pPr>
              <w:spacing w:after="20"/>
              <w:jc w:val="left"/>
            </w:pPr>
            <w:r>
              <w:rPr>
                <w:color w:val="1C3A36"/>
                <w:sz w:val="14"/>
              </w:rPr>
              <w:t>6,609</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20 sales</w:t>
            </w:r>
          </w:p>
        </w:tc>
      </w:tr>
      <w:tr>
        <w:tc>
          <w:tcPr>
            <w:tcW w:type="dxa" w:w="2448"/>
          </w:tcPr>
          <w:p>
            <w:pPr>
              <w:spacing w:after="20"/>
              <w:jc w:val="left"/>
            </w:pPr>
            <w:r>
              <w:rPr>
                <w:color w:val="1C3A36"/>
                <w:sz w:val="14"/>
              </w:rPr>
              <w:t>rev_local_FY2425</w:t>
            </w:r>
          </w:p>
        </w:tc>
        <w:tc>
          <w:tcPr>
            <w:tcW w:type="dxa" w:w="1944"/>
          </w:tcPr>
          <w:p>
            <w:pPr>
              <w:spacing w:after="20"/>
              <w:jc w:val="left"/>
            </w:pPr>
            <w:r>
              <w:rPr>
                <w:color w:val="1C3A36"/>
                <w:sz w:val="14"/>
              </w:rPr>
              <w:t>1,994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20 sales</w:t>
            </w:r>
          </w:p>
        </w:tc>
      </w:tr>
      <w:tr>
        <w:tc>
          <w:tcPr>
            <w:tcW w:type="dxa" w:w="2448"/>
          </w:tcPr>
          <w:p>
            <w:pPr>
              <w:spacing w:after="20"/>
              <w:jc w:val="left"/>
            </w:pPr>
            <w:r>
              <w:rPr>
                <w:color w:val="1C3A36"/>
                <w:sz w:val="14"/>
              </w:rPr>
              <w:t>rev_services_FY2425</w:t>
            </w:r>
          </w:p>
        </w:tc>
        <w:tc>
          <w:tcPr>
            <w:tcW w:type="dxa" w:w="1944"/>
          </w:tcPr>
          <w:p>
            <w:pPr>
              <w:spacing w:after="20"/>
              <w:jc w:val="left"/>
            </w:pPr>
            <w:r>
              <w:rPr>
                <w:color w:val="1C3A36"/>
                <w:sz w:val="14"/>
              </w:rPr>
              <w:t>0.0044</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20 sales</w:t>
            </w:r>
          </w:p>
        </w:tc>
      </w:tr>
      <w:tr>
        <w:tc>
          <w:tcPr>
            <w:tcW w:type="dxa" w:w="2448"/>
          </w:tcPr>
          <w:p>
            <w:pPr>
              <w:spacing w:after="20"/>
              <w:jc w:val="left"/>
            </w:pPr>
            <w:r>
              <w:rPr>
                <w:color w:val="1C3A36"/>
                <w:sz w:val="14"/>
              </w:rPr>
              <w:t>sell_freight_FY2425</w:t>
            </w:r>
          </w:p>
        </w:tc>
        <w:tc>
          <w:tcPr>
            <w:tcW w:type="dxa" w:w="1944"/>
          </w:tcPr>
          <w:p>
            <w:pPr>
              <w:spacing w:after="20"/>
              <w:jc w:val="left"/>
            </w:pPr>
            <w:r>
              <w:rPr>
                <w:color w:val="1C3A36"/>
                <w:sz w:val="14"/>
              </w:rPr>
              <w:t>610.158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22 freight and commissions</w:t>
            </w:r>
          </w:p>
        </w:tc>
      </w:tr>
      <w:tr>
        <w:tc>
          <w:tcPr>
            <w:tcW w:type="dxa" w:w="2448"/>
          </w:tcPr>
          <w:p>
            <w:pPr>
              <w:spacing w:after="20"/>
              <w:jc w:val="left"/>
            </w:pPr>
            <w:r>
              <w:rPr>
                <w:color w:val="1C3A36"/>
                <w:sz w:val="14"/>
              </w:rPr>
              <w:t>sell_other_FY2425</w:t>
            </w:r>
          </w:p>
        </w:tc>
        <w:tc>
          <w:tcPr>
            <w:tcW w:type="dxa" w:w="1944"/>
          </w:tcPr>
          <w:p>
            <w:pPr>
              <w:spacing w:after="20"/>
              <w:jc w:val="left"/>
            </w:pPr>
            <w:r>
              <w:rPr>
                <w:color w:val="1C3A36"/>
                <w:sz w:val="14"/>
              </w:rPr>
              <w:t>176.305</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22 selling materials, wages and other selling expense</w:t>
            </w:r>
          </w:p>
        </w:tc>
      </w:tr>
      <w:tr>
        <w:tc>
          <w:tcPr>
            <w:tcW w:type="dxa" w:w="2448"/>
          </w:tcPr>
          <w:p>
            <w:pPr>
              <w:spacing w:after="20"/>
              <w:jc w:val="left"/>
            </w:pPr>
            <w:r>
              <w:rPr>
                <w:color w:val="1C3A36"/>
                <w:sz w:val="14"/>
              </w:rPr>
              <w:t>shares_outstanding</w:t>
            </w:r>
          </w:p>
        </w:tc>
        <w:tc>
          <w:tcPr>
            <w:tcW w:type="dxa" w:w="1944"/>
          </w:tcPr>
          <w:p>
            <w:pPr>
              <w:spacing w:after="20"/>
              <w:jc w:val="left"/>
            </w:pPr>
            <w:r>
              <w:rPr>
                <w:color w:val="1C3A36"/>
                <w:sz w:val="14"/>
              </w:rPr>
              <w:t>1,986,578,999</w:t>
            </w:r>
          </w:p>
        </w:tc>
        <w:tc>
          <w:tcPr>
            <w:tcW w:type="dxa" w:w="1224"/>
          </w:tcPr>
          <w:p>
            <w:pPr>
              <w:spacing w:after="20"/>
              <w:jc w:val="left"/>
            </w:pPr>
            <w:r>
              <w:rPr>
                <w:color w:val="1C3A36"/>
                <w:sz w:val="14"/>
              </w:rPr>
              <w:t>shares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14 share capital</w:t>
            </w:r>
          </w:p>
        </w:tc>
      </w:tr>
      <w:tr>
        <w:tc>
          <w:tcPr>
            <w:tcW w:type="dxa" w:w="2448"/>
          </w:tcPr>
          <w:p>
            <w:pPr>
              <w:spacing w:after="20"/>
              <w:jc w:val="left"/>
            </w:pPr>
            <w:r>
              <w:rPr>
                <w:color w:val="1C3A36"/>
                <w:sz w:val="14"/>
              </w:rPr>
              <w:t>stoppage_cost_FY2324</w:t>
            </w:r>
          </w:p>
        </w:tc>
        <w:tc>
          <w:tcPr>
            <w:tcW w:type="dxa" w:w="1944"/>
          </w:tcPr>
          <w:p>
            <w:pPr>
              <w:spacing w:after="20"/>
              <w:jc w:val="left"/>
            </w:pPr>
            <w:r>
              <w:rPr>
                <w:color w:val="1C3A36"/>
                <w:sz w:val="14"/>
              </w:rPr>
              <w:t>152.742</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25 comparative</w:t>
            </w:r>
          </w:p>
        </w:tc>
      </w:tr>
      <w:tr>
        <w:tc>
          <w:tcPr>
            <w:tcW w:type="dxa" w:w="2448"/>
          </w:tcPr>
          <w:p>
            <w:pPr>
              <w:spacing w:after="20"/>
              <w:jc w:val="left"/>
            </w:pPr>
            <w:r>
              <w:rPr>
                <w:color w:val="1C3A36"/>
                <w:sz w:val="14"/>
              </w:rPr>
              <w:t>stoppage_cost_FY2425</w:t>
            </w:r>
          </w:p>
        </w:tc>
        <w:tc>
          <w:tcPr>
            <w:tcW w:type="dxa" w:w="1944"/>
          </w:tcPr>
          <w:p>
            <w:pPr>
              <w:spacing w:after="20"/>
              <w:jc w:val="left"/>
            </w:pPr>
            <w:r>
              <w:rPr>
                <w:color w:val="1C3A36"/>
                <w:sz w:val="14"/>
              </w:rPr>
              <w:t>164.478</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25 other expenses</w:t>
            </w:r>
          </w:p>
        </w:tc>
      </w:tr>
      <w:tr>
        <w:tc>
          <w:tcPr>
            <w:tcW w:type="dxa" w:w="2448"/>
          </w:tcPr>
          <w:p>
            <w:pPr>
              <w:spacing w:after="20"/>
              <w:jc w:val="left"/>
            </w:pPr>
            <w:r>
              <w:rPr>
                <w:color w:val="1C3A36"/>
                <w:sz w:val="14"/>
              </w:rPr>
              <w:t>tax_statutory</w:t>
            </w:r>
          </w:p>
        </w:tc>
        <w:tc>
          <w:tcPr>
            <w:tcW w:type="dxa" w:w="1944"/>
          </w:tcPr>
          <w:p>
            <w:pPr>
              <w:spacing w:after="20"/>
              <w:jc w:val="left"/>
            </w:pPr>
            <w:r>
              <w:rPr>
                <w:color w:val="1C3A36"/>
                <w:sz w:val="14"/>
              </w:rPr>
              <w:t>0.225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5-16 income tax</w:t>
            </w:r>
          </w:p>
        </w:tc>
      </w:tr>
      <w:tr>
        <w:tc>
          <w:tcPr>
            <w:tcW w:type="dxa" w:w="2448"/>
          </w:tcPr>
          <w:p>
            <w:pPr>
              <w:spacing w:after="20"/>
              <w:jc w:val="left"/>
            </w:pPr>
            <w:r>
              <w:rPr>
                <w:color w:val="1C3A36"/>
                <w:sz w:val="14"/>
              </w:rPr>
              <w:t>unitcost_ammonia_FY2425</w:t>
            </w:r>
          </w:p>
        </w:tc>
        <w:tc>
          <w:tcPr>
            <w:tcW w:type="dxa" w:w="1944"/>
          </w:tcPr>
          <w:p>
            <w:pPr>
              <w:spacing w:after="20"/>
              <w:jc w:val="left"/>
            </w:pPr>
            <w:r>
              <w:rPr>
                <w:color w:val="1C3A36"/>
                <w:sz w:val="14"/>
              </w:rPr>
              <w:t>9,114</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unitcost_an_gran_FY2425</w:t>
            </w:r>
          </w:p>
        </w:tc>
        <w:tc>
          <w:tcPr>
            <w:tcW w:type="dxa" w:w="1944"/>
          </w:tcPr>
          <w:p>
            <w:pPr>
              <w:spacing w:after="20"/>
              <w:jc w:val="left"/>
            </w:pPr>
            <w:r>
              <w:rPr>
                <w:color w:val="1C3A36"/>
                <w:sz w:val="14"/>
              </w:rPr>
              <w:t>4,076</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unitcost_ldan_FY2425</w:t>
            </w:r>
          </w:p>
        </w:tc>
        <w:tc>
          <w:tcPr>
            <w:tcW w:type="dxa" w:w="1944"/>
          </w:tcPr>
          <w:p>
            <w:pPr>
              <w:spacing w:after="20"/>
              <w:jc w:val="left"/>
            </w:pPr>
            <w:r>
              <w:rPr>
                <w:color w:val="1C3A36"/>
                <w:sz w:val="14"/>
              </w:rPr>
              <w:t>8,154</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unitcost_nitric_FY2425</w:t>
            </w:r>
          </w:p>
        </w:tc>
        <w:tc>
          <w:tcPr>
            <w:tcW w:type="dxa" w:w="1944"/>
          </w:tcPr>
          <w:p>
            <w:pPr>
              <w:spacing w:after="20"/>
              <w:jc w:val="left"/>
            </w:pPr>
            <w:r>
              <w:rPr>
                <w:color w:val="1C3A36"/>
                <w:sz w:val="14"/>
              </w:rPr>
              <w:t>610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unitcost_urea_FY2324</w:t>
            </w:r>
          </w:p>
        </w:tc>
        <w:tc>
          <w:tcPr>
            <w:tcW w:type="dxa" w:w="1944"/>
          </w:tcPr>
          <w:p>
            <w:pPr>
              <w:spacing w:after="20"/>
              <w:jc w:val="left"/>
            </w:pPr>
            <w:r>
              <w:rPr>
                <w:color w:val="1C3A36"/>
                <w:sz w:val="14"/>
              </w:rPr>
              <w:t>9,254</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table, prior-year column</w:t>
            </w:r>
          </w:p>
        </w:tc>
      </w:tr>
      <w:tr>
        <w:tc>
          <w:tcPr>
            <w:tcW w:type="dxa" w:w="2448"/>
          </w:tcPr>
          <w:p>
            <w:pPr>
              <w:spacing w:after="20"/>
              <w:jc w:val="left"/>
            </w:pPr>
            <w:r>
              <w:rPr>
                <w:color w:val="1C3A36"/>
                <w:sz w:val="14"/>
              </w:rPr>
              <w:t>unitcost_urea_FY2425</w:t>
            </w:r>
          </w:p>
        </w:tc>
        <w:tc>
          <w:tcPr>
            <w:tcW w:type="dxa" w:w="1944"/>
          </w:tcPr>
          <w:p>
            <w:pPr>
              <w:spacing w:after="20"/>
              <w:jc w:val="left"/>
            </w:pPr>
            <w:r>
              <w:rPr>
                <w:color w:val="1C3A36"/>
                <w:sz w:val="14"/>
              </w:rPr>
              <w:t>7,509</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product cost table</w:t>
            </w:r>
          </w:p>
        </w:tc>
      </w:tr>
      <w:tr>
        <w:tc>
          <w:tcPr>
            <w:tcW w:type="dxa" w:w="2448"/>
          </w:tcPr>
          <w:p>
            <w:pPr>
              <w:spacing w:after="20"/>
              <w:jc w:val="left"/>
            </w:pPr>
            <w:r>
              <w:rPr>
                <w:color w:val="1C3A36"/>
                <w:sz w:val="14"/>
              </w:rPr>
              <w:t>urea_stock_shortfall_t</w:t>
            </w:r>
          </w:p>
        </w:tc>
        <w:tc>
          <w:tcPr>
            <w:tcW w:type="dxa" w:w="1944"/>
          </w:tcPr>
          <w:p>
            <w:pPr>
              <w:spacing w:after="20"/>
              <w:jc w:val="left"/>
            </w:pPr>
            <w:r>
              <w:rPr>
                <w:color w:val="1C3A36"/>
                <w:sz w:val="14"/>
              </w:rPr>
              <w:t>1,648</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auditor's report — shortfall between warehouse records and the physical count at Damietta</w:t>
            </w:r>
          </w:p>
        </w:tc>
      </w:tr>
    </w:tbl>
    <w:p>
      <w:pPr>
        <w:spacing w:after="40"/>
      </w:pPr>
    </w:p>
    <w:p>
      <w:pPr>
        <w:spacing w:after="100" w:before="160"/>
      </w:pPr>
      <w:r>
        <w:rPr>
          <w:b/>
          <w:i w:val="0"/>
          <w:color w:val="1C3A36"/>
          <w:sz w:val="21"/>
        </w:rPr>
        <w:t>L2 — Primary market data  (13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944"/>
        <w:gridCol w:w="1224"/>
        <w:gridCol w:w="1152"/>
        <w:gridCol w:w="7344"/>
      </w:tblGrid>
      <w:tr>
        <w:tc>
          <w:tcPr>
            <w:tcW w:type="dxa" w:w="2448"/>
            <w:shd w:val="clear" w:color="auto" w:fill="EAF0EE"/>
          </w:tcPr>
          <w:p>
            <w:pPr>
              <w:spacing w:after="20"/>
              <w:jc w:val="left"/>
            </w:pPr>
            <w:r>
              <w:rPr>
                <w:b/>
                <w:color w:val="1C3A36"/>
                <w:sz w:val="14"/>
              </w:rPr>
              <w:t>Input</w:t>
            </w:r>
          </w:p>
        </w:tc>
        <w:tc>
          <w:tcPr>
            <w:tcW w:type="dxa" w:w="1944"/>
            <w:shd w:val="clear" w:color="auto" w:fill="EAF0EE"/>
          </w:tcPr>
          <w:p>
            <w:pPr>
              <w:spacing w:after="20"/>
              <w:jc w:val="left"/>
            </w:pPr>
            <w:r>
              <w:rPr>
                <w:b/>
                <w:color w:val="1C3A36"/>
                <w:sz w:val="14"/>
              </w:rPr>
              <w:t>Value</w:t>
            </w:r>
          </w:p>
        </w:tc>
        <w:tc>
          <w:tcPr>
            <w:tcW w:type="dxa" w:w="1224"/>
            <w:shd w:val="clear" w:color="auto" w:fill="EAF0EE"/>
          </w:tcPr>
          <w:p>
            <w:pPr>
              <w:spacing w:after="20"/>
              <w:jc w:val="left"/>
            </w:pPr>
            <w:r>
              <w:rPr>
                <w:b/>
                <w:color w:val="1C3A36"/>
                <w:sz w:val="14"/>
              </w:rPr>
              <w:t>Unit</w:t>
            </w:r>
          </w:p>
        </w:tc>
        <w:tc>
          <w:tcPr>
            <w:tcW w:type="dxa" w:w="1152"/>
            <w:shd w:val="clear" w:color="auto" w:fill="EAF0EE"/>
          </w:tcPr>
          <w:p>
            <w:pPr>
              <w:spacing w:after="20"/>
              <w:jc w:val="left"/>
            </w:pPr>
            <w:r>
              <w:rPr>
                <w:b/>
                <w:color w:val="1C3A36"/>
                <w:sz w:val="14"/>
              </w:rPr>
              <w:t>Date</w:t>
            </w:r>
          </w:p>
        </w:tc>
        <w:tc>
          <w:tcPr>
            <w:tcW w:type="dxa" w:w="7344"/>
            <w:shd w:val="clear" w:color="auto" w:fill="EAF0EE"/>
          </w:tcPr>
          <w:p>
            <w:pPr>
              <w:spacing w:after="20"/>
              <w:jc w:val="left"/>
            </w:pPr>
            <w:r>
              <w:rPr>
                <w:b/>
                <w:color w:val="1C3A36"/>
                <w:sz w:val="14"/>
              </w:rPr>
              <w:t>Source and construction</w:t>
            </w:r>
          </w:p>
        </w:tc>
      </w:tr>
      <w:tr>
        <w:tc>
          <w:tcPr>
            <w:tcW w:type="dxa" w:w="2448"/>
          </w:tcPr>
          <w:p>
            <w:pPr>
              <w:spacing w:after="20"/>
              <w:jc w:val="left"/>
            </w:pPr>
            <w:r>
              <w:rPr>
                <w:color w:val="1C3A36"/>
                <w:sz w:val="14"/>
              </w:rPr>
              <w:t>erp_cds</w:t>
            </w:r>
          </w:p>
        </w:tc>
        <w:tc>
          <w:tcPr>
            <w:tcW w:type="dxa" w:w="1944"/>
          </w:tcPr>
          <w:p>
            <w:pPr>
              <w:spacing w:after="20"/>
              <w:jc w:val="left"/>
            </w:pPr>
            <w:r>
              <w:rPr>
                <w:color w:val="1C3A36"/>
                <w:sz w:val="14"/>
              </w:rPr>
              <w:t>0.0942</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CDS basis total equity risk premium</w:t>
            </w:r>
          </w:p>
        </w:tc>
      </w:tr>
      <w:tr>
        <w:tc>
          <w:tcPr>
            <w:tcW w:type="dxa" w:w="2448"/>
          </w:tcPr>
          <w:p>
            <w:pPr>
              <w:spacing w:after="20"/>
              <w:jc w:val="left"/>
            </w:pPr>
            <w:r>
              <w:rPr>
                <w:color w:val="1C3A36"/>
                <w:sz w:val="14"/>
              </w:rPr>
              <w:t>erp_rating</w:t>
            </w:r>
          </w:p>
        </w:tc>
        <w:tc>
          <w:tcPr>
            <w:tcW w:type="dxa" w:w="1944"/>
          </w:tcPr>
          <w:p>
            <w:pPr>
              <w:spacing w:after="20"/>
              <w:jc w:val="left"/>
            </w:pPr>
            <w:r>
              <w:rPr>
                <w:color w:val="1C3A36"/>
                <w:sz w:val="14"/>
              </w:rPr>
              <w:t>0.1394</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rating basis total equity risk premium</w:t>
            </w:r>
          </w:p>
        </w:tc>
      </w:tr>
      <w:tr>
        <w:tc>
          <w:tcPr>
            <w:tcW w:type="dxa" w:w="2448"/>
          </w:tcPr>
          <w:p>
            <w:pPr>
              <w:spacing w:after="20"/>
              <w:jc w:val="left"/>
            </w:pPr>
            <w:r>
              <w:rPr>
                <w:color w:val="1C3A36"/>
                <w:sz w:val="14"/>
              </w:rPr>
              <w:t>mature_market_erp</w:t>
            </w:r>
          </w:p>
        </w:tc>
        <w:tc>
          <w:tcPr>
            <w:tcW w:type="dxa" w:w="1944"/>
          </w:tcPr>
          <w:p>
            <w:pPr>
              <w:spacing w:after="20"/>
              <w:jc w:val="left"/>
            </w:pPr>
            <w:r>
              <w:rPr>
                <w:color w:val="1C3A36"/>
                <w:sz w:val="14"/>
              </w:rPr>
              <w:t>0.0423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mature-market equity risk premium</w:t>
            </w:r>
          </w:p>
        </w:tc>
      </w:tr>
      <w:tr>
        <w:tc>
          <w:tcPr>
            <w:tcW w:type="dxa" w:w="2448"/>
          </w:tcPr>
          <w:p>
            <w:pPr>
              <w:spacing w:after="20"/>
              <w:jc w:val="left"/>
            </w:pPr>
            <w:r>
              <w:rPr>
                <w:color w:val="1C3A36"/>
                <w:sz w:val="14"/>
              </w:rPr>
              <w:t>moodys_rating</w:t>
            </w:r>
          </w:p>
        </w:tc>
        <w:tc>
          <w:tcPr>
            <w:tcW w:type="dxa" w:w="1944"/>
          </w:tcPr>
          <w:p>
            <w:pPr>
              <w:spacing w:after="20"/>
              <w:jc w:val="left"/>
            </w:pPr>
            <w:r>
              <w:rPr>
                <w:color w:val="1C3A36"/>
                <w:sz w:val="14"/>
              </w:rPr>
              <w:t>Caa1</w:t>
            </w:r>
          </w:p>
        </w:tc>
        <w:tc>
          <w:tcPr>
            <w:tcW w:type="dxa" w:w="1224"/>
          </w:tcPr>
          <w:p>
            <w:pPr>
              <w:spacing w:after="20"/>
              <w:jc w:val="left"/>
            </w:pPr>
            <w:r>
              <w:rPr>
                <w:color w:val="1C3A36"/>
                <w:sz w:val="14"/>
              </w:rPr>
              <w:t>rating</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sovereign rating</w:t>
            </w:r>
          </w:p>
        </w:tc>
      </w:tr>
      <w:tr>
        <w:tc>
          <w:tcPr>
            <w:tcW w:type="dxa" w:w="2448"/>
          </w:tcPr>
          <w:p>
            <w:pPr>
              <w:spacing w:after="20"/>
              <w:jc w:val="left"/>
            </w:pPr>
            <w:r>
              <w:rPr>
                <w:color w:val="1C3A36"/>
                <w:sz w:val="14"/>
              </w:rPr>
              <w:t>rf_observed</w:t>
            </w:r>
          </w:p>
        </w:tc>
        <w:tc>
          <w:tcPr>
            <w:tcW w:type="dxa" w:w="1944"/>
          </w:tcPr>
          <w:p>
            <w:pPr>
              <w:spacing w:after="20"/>
              <w:jc w:val="left"/>
            </w:pPr>
            <w:r>
              <w:rPr>
                <w:color w:val="1C3A36"/>
                <w:sz w:val="14"/>
              </w:rPr>
              <w:t>0.23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2026-08-06</w:t>
            </w:r>
          </w:p>
        </w:tc>
        <w:tc>
          <w:tcPr>
            <w:tcW w:type="dxa" w:w="7344"/>
          </w:tcPr>
          <w:p>
            <w:pPr>
              <w:spacing w:after="20"/>
              <w:jc w:val="left"/>
            </w:pPr>
            <w:r>
              <w:rPr>
                <w:color w:val="1C3A36"/>
                <w:sz w:val="14"/>
              </w:rPr>
              <w:t>Egypt ten-year government bond yield, market quote</w:t>
            </w:r>
          </w:p>
        </w:tc>
      </w:tr>
      <w:tr>
        <w:tc>
          <w:tcPr>
            <w:tcW w:type="dxa" w:w="2448"/>
          </w:tcPr>
          <w:p>
            <w:pPr>
              <w:spacing w:after="20"/>
              <w:jc w:val="left"/>
            </w:pPr>
            <w:r>
              <w:rPr>
                <w:color w:val="1C3A36"/>
                <w:sz w:val="14"/>
              </w:rPr>
              <w:t>sov_spread_cds</w:t>
            </w:r>
          </w:p>
        </w:tc>
        <w:tc>
          <w:tcPr>
            <w:tcW w:type="dxa" w:w="1944"/>
          </w:tcPr>
          <w:p>
            <w:pPr>
              <w:spacing w:after="20"/>
              <w:jc w:val="left"/>
            </w:pPr>
            <w:r>
              <w:rPr>
                <w:color w:val="1C3A36"/>
                <w:sz w:val="14"/>
              </w:rPr>
              <w:t>0.0355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ten-year CDS spread</w:t>
            </w:r>
          </w:p>
        </w:tc>
      </w:tr>
      <w:tr>
        <w:tc>
          <w:tcPr>
            <w:tcW w:type="dxa" w:w="2448"/>
          </w:tcPr>
          <w:p>
            <w:pPr>
              <w:spacing w:after="20"/>
              <w:jc w:val="left"/>
            </w:pPr>
            <w:r>
              <w:rPr>
                <w:color w:val="1C3A36"/>
                <w:sz w:val="14"/>
              </w:rPr>
              <w:t>sov_spread_rating</w:t>
            </w:r>
          </w:p>
        </w:tc>
        <w:tc>
          <w:tcPr>
            <w:tcW w:type="dxa" w:w="1944"/>
          </w:tcPr>
          <w:p>
            <w:pPr>
              <w:spacing w:after="20"/>
              <w:jc w:val="left"/>
            </w:pPr>
            <w:r>
              <w:rPr>
                <w:color w:val="1C3A36"/>
                <w:sz w:val="14"/>
              </w:rPr>
              <w:t>0.0637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Country risk premium workbook, original file, Egypt row, adjusted default spread</w:t>
            </w:r>
          </w:p>
        </w:tc>
      </w:tr>
      <w:tr>
        <w:tc>
          <w:tcPr>
            <w:tcW w:type="dxa" w:w="2448"/>
          </w:tcPr>
          <w:p>
            <w:pPr>
              <w:spacing w:after="20"/>
              <w:jc w:val="left"/>
            </w:pPr>
            <w:r>
              <w:rPr>
                <w:color w:val="1C3A36"/>
                <w:sz w:val="14"/>
              </w:rPr>
              <w:t>sovereign_bond_coupon</w:t>
            </w:r>
          </w:p>
        </w:tc>
        <w:tc>
          <w:tcPr>
            <w:tcW w:type="dxa" w:w="1944"/>
          </w:tcPr>
          <w:p>
            <w:pPr>
              <w:spacing w:after="20"/>
              <w:jc w:val="left"/>
            </w:pPr>
            <w:r>
              <w:rPr>
                <w:color w:val="1C3A36"/>
                <w:sz w:val="14"/>
              </w:rPr>
              <w:t>0.231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2026-08-06</w:t>
            </w:r>
          </w:p>
        </w:tc>
        <w:tc>
          <w:tcPr>
            <w:tcW w:type="dxa" w:w="7344"/>
          </w:tcPr>
          <w:p>
            <w:pPr>
              <w:spacing w:after="20"/>
              <w:jc w:val="left"/>
            </w:pPr>
            <w:r>
              <w:rPr>
                <w:color w:val="1C3A36"/>
                <w:sz w:val="14"/>
              </w:rPr>
              <w:t>New EGP 120.9bn treasury bond maturing 21 May 2029, listed coupon — corroborates the yield above</w:t>
            </w:r>
          </w:p>
        </w:tc>
      </w:tr>
      <w:tr>
        <w:tc>
          <w:tcPr>
            <w:tcW w:type="dxa" w:w="2448"/>
          </w:tcPr>
          <w:p>
            <w:pPr>
              <w:spacing w:after="20"/>
              <w:jc w:val="left"/>
            </w:pPr>
            <w:r>
              <w:rPr>
                <w:color w:val="1C3A36"/>
                <w:sz w:val="14"/>
              </w:rPr>
              <w:t>spot_price</w:t>
            </w:r>
          </w:p>
        </w:tc>
        <w:tc>
          <w:tcPr>
            <w:tcW w:type="dxa" w:w="1944"/>
          </w:tcPr>
          <w:p>
            <w:pPr>
              <w:spacing w:after="20"/>
              <w:jc w:val="left"/>
            </w:pPr>
            <w:r>
              <w:rPr>
                <w:color w:val="1C3A36"/>
                <w:sz w:val="14"/>
              </w:rPr>
              <w:t>13.98</w:t>
            </w:r>
          </w:p>
        </w:tc>
        <w:tc>
          <w:tcPr>
            <w:tcW w:type="dxa" w:w="1224"/>
          </w:tcPr>
          <w:p>
            <w:pPr>
              <w:spacing w:after="20"/>
              <w:jc w:val="left"/>
            </w:pPr>
            <w:r>
              <w:rPr>
                <w:color w:val="1C3A36"/>
                <w:sz w:val="14"/>
              </w:rPr>
              <w:t>EGP</w:t>
            </w:r>
          </w:p>
        </w:tc>
        <w:tc>
          <w:tcPr>
            <w:tcW w:type="dxa" w:w="1152"/>
          </w:tcPr>
          <w:p>
            <w:pPr>
              <w:spacing w:after="20"/>
              <w:jc w:val="left"/>
            </w:pPr>
            <w:r>
              <w:rPr>
                <w:color w:val="1C3A36"/>
                <w:sz w:val="14"/>
              </w:rPr>
              <w:t>2026-08-06</w:t>
            </w:r>
          </w:p>
        </w:tc>
        <w:tc>
          <w:tcPr>
            <w:tcW w:type="dxa" w:w="7344"/>
          </w:tcPr>
          <w:p>
            <w:pPr>
              <w:spacing w:after="20"/>
              <w:jc w:val="left"/>
            </w:pPr>
            <w:r>
              <w:rPr>
                <w:color w:val="1C3A36"/>
                <w:sz w:val="14"/>
              </w:rPr>
              <w:t>Exchange close, from the study's own price library</w:t>
            </w:r>
          </w:p>
        </w:tc>
      </w:tr>
      <w:tr>
        <w:tc>
          <w:tcPr>
            <w:tcW w:type="dxa" w:w="2448"/>
          </w:tcPr>
          <w:p>
            <w:pPr>
              <w:spacing w:after="20"/>
              <w:jc w:val="left"/>
            </w:pPr>
            <w:r>
              <w:rPr>
                <w:color w:val="1C3A36"/>
                <w:sz w:val="14"/>
              </w:rPr>
              <w:t>spot_price_date</w:t>
            </w:r>
          </w:p>
        </w:tc>
        <w:tc>
          <w:tcPr>
            <w:tcW w:type="dxa" w:w="1944"/>
          </w:tcPr>
          <w:p>
            <w:pPr>
              <w:spacing w:after="20"/>
              <w:jc w:val="left"/>
            </w:pPr>
            <w:r>
              <w:rPr>
                <w:color w:val="1C3A36"/>
                <w:sz w:val="14"/>
              </w:rPr>
              <w:t>2026-08-06</w:t>
            </w:r>
          </w:p>
        </w:tc>
        <w:tc>
          <w:tcPr>
            <w:tcW w:type="dxa" w:w="1224"/>
          </w:tcPr>
          <w:p>
            <w:pPr>
              <w:spacing w:after="20"/>
              <w:jc w:val="left"/>
            </w:pPr>
            <w:r>
              <w:rPr>
                <w:color w:val="1C3A36"/>
                <w:sz w:val="14"/>
              </w:rPr>
              <w:t>date</w:t>
            </w:r>
          </w:p>
        </w:tc>
        <w:tc>
          <w:tcPr>
            <w:tcW w:type="dxa" w:w="1152"/>
          </w:tcPr>
          <w:p>
            <w:pPr>
              <w:spacing w:after="20"/>
              <w:jc w:val="left"/>
            </w:pPr>
            <w:r>
              <w:rPr>
                <w:color w:val="1C3A36"/>
                <w:sz w:val="14"/>
              </w:rPr>
              <w:t>2026-08-06</w:t>
            </w:r>
          </w:p>
        </w:tc>
        <w:tc>
          <w:tcPr>
            <w:tcW w:type="dxa" w:w="7344"/>
          </w:tcPr>
          <w:p>
            <w:pPr>
              <w:spacing w:after="20"/>
              <w:jc w:val="left"/>
            </w:pPr>
            <w:r>
              <w:rPr>
                <w:color w:val="1C3A36"/>
                <w:sz w:val="14"/>
              </w:rPr>
              <w:t>Egyptian Exchange closing session used as the study's anchor date</w:t>
            </w:r>
          </w:p>
        </w:tc>
      </w:tr>
      <w:tr>
        <w:tc>
          <w:tcPr>
            <w:tcW w:type="dxa" w:w="2448"/>
          </w:tcPr>
          <w:p>
            <w:pPr>
              <w:spacing w:after="20"/>
              <w:jc w:val="left"/>
            </w:pPr>
            <w:r>
              <w:rPr>
                <w:color w:val="1C3A36"/>
                <w:sz w:val="14"/>
              </w:rPr>
              <w:t>urea_fob_egypt</w:t>
            </w:r>
          </w:p>
        </w:tc>
        <w:tc>
          <w:tcPr>
            <w:tcW w:type="dxa" w:w="1944"/>
          </w:tcPr>
          <w:p>
            <w:pPr>
              <w:spacing w:after="20"/>
              <w:jc w:val="left"/>
            </w:pPr>
            <w:r>
              <w:rPr>
                <w:color w:val="1C3A36"/>
                <w:sz w:val="14"/>
              </w:rPr>
              <w:t>545</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2026-08-07</w:t>
            </w:r>
          </w:p>
        </w:tc>
        <w:tc>
          <w:tcPr>
            <w:tcW w:type="dxa" w:w="7344"/>
          </w:tcPr>
          <w:p>
            <w:pPr>
              <w:spacing w:after="20"/>
              <w:jc w:val="left"/>
            </w:pPr>
            <w:r>
              <w:rPr>
                <w:color w:val="1C3A36"/>
                <w:sz w:val="14"/>
              </w:rPr>
              <w:t>Listed granular urea free-on-board Egypt futures contract, front-month settle</w:t>
            </w:r>
          </w:p>
        </w:tc>
      </w:tr>
      <w:tr>
        <w:tc>
          <w:tcPr>
            <w:tcW w:type="dxa" w:w="2448"/>
          </w:tcPr>
          <w:p>
            <w:pPr>
              <w:spacing w:after="20"/>
              <w:jc w:val="left"/>
            </w:pPr>
            <w:r>
              <w:rPr>
                <w:color w:val="1C3A36"/>
                <w:sz w:val="14"/>
              </w:rPr>
              <w:t>usd_egp_anna_approval</w:t>
            </w:r>
          </w:p>
        </w:tc>
        <w:tc>
          <w:tcPr>
            <w:tcW w:type="dxa" w:w="1944"/>
          </w:tcPr>
          <w:p>
            <w:pPr>
              <w:spacing w:after="20"/>
              <w:jc w:val="left"/>
            </w:pPr>
            <w:r>
              <w:rPr>
                <w:color w:val="1C3A36"/>
                <w:sz w:val="14"/>
              </w:rPr>
              <w:t>50</w:t>
            </w:r>
          </w:p>
        </w:tc>
        <w:tc>
          <w:tcPr>
            <w:tcW w:type="dxa" w:w="1224"/>
          </w:tcPr>
          <w:p>
            <w:pPr>
              <w:spacing w:after="20"/>
              <w:jc w:val="left"/>
            </w:pPr>
            <w:r>
              <w:rPr>
                <w:color w:val="1C3A36"/>
                <w:sz w:val="14"/>
              </w:rPr>
              <w:t>EGP/US$</w:t>
            </w:r>
          </w:p>
        </w:tc>
        <w:tc>
          <w:tcPr>
            <w:tcW w:type="dxa" w:w="1152"/>
          </w:tcPr>
          <w:p>
            <w:pPr>
              <w:spacing w:after="20"/>
              <w:jc w:val="left"/>
            </w:pPr>
            <w:r>
              <w:rPr>
                <w:color w:val="1C3A36"/>
                <w:sz w:val="14"/>
              </w:rPr>
              <w:t>2025-06-25</w:t>
            </w:r>
          </w:p>
        </w:tc>
        <w:tc>
          <w:tcPr>
            <w:tcW w:type="dxa" w:w="7344"/>
          </w:tcPr>
          <w:p>
            <w:pPr>
              <w:spacing w:after="20"/>
              <w:jc w:val="left"/>
            </w:pPr>
            <w:r>
              <w:rPr>
                <w:color w:val="1C3A36"/>
                <w:sz w:val="14"/>
              </w:rPr>
              <w:t>The rate prevailing when the project cost was approved on 25 June 2025, used to state the dual-currency approved cost as one figure</w:t>
            </w:r>
          </w:p>
        </w:tc>
      </w:tr>
      <w:tr>
        <w:tc>
          <w:tcPr>
            <w:tcW w:type="dxa" w:w="2448"/>
          </w:tcPr>
          <w:p>
            <w:pPr>
              <w:spacing w:after="20"/>
              <w:jc w:val="left"/>
            </w:pPr>
            <w:r>
              <w:rPr>
                <w:color w:val="1C3A36"/>
                <w:sz w:val="14"/>
              </w:rPr>
              <w:t>usd_egp_spot</w:t>
            </w:r>
          </w:p>
        </w:tc>
        <w:tc>
          <w:tcPr>
            <w:tcW w:type="dxa" w:w="1944"/>
          </w:tcPr>
          <w:p>
            <w:pPr>
              <w:spacing w:after="20"/>
              <w:jc w:val="left"/>
            </w:pPr>
            <w:r>
              <w:rPr>
                <w:color w:val="1C3A36"/>
                <w:sz w:val="14"/>
              </w:rPr>
              <w:t>49.79</w:t>
            </w:r>
          </w:p>
        </w:tc>
        <w:tc>
          <w:tcPr>
            <w:tcW w:type="dxa" w:w="1224"/>
          </w:tcPr>
          <w:p>
            <w:pPr>
              <w:spacing w:after="20"/>
              <w:jc w:val="left"/>
            </w:pPr>
            <w:r>
              <w:rPr>
                <w:color w:val="1C3A36"/>
                <w:sz w:val="14"/>
              </w:rPr>
              <w:t>EGP/US$</w:t>
            </w:r>
          </w:p>
        </w:tc>
        <w:tc>
          <w:tcPr>
            <w:tcW w:type="dxa" w:w="1152"/>
          </w:tcPr>
          <w:p>
            <w:pPr>
              <w:spacing w:after="20"/>
              <w:jc w:val="left"/>
            </w:pPr>
            <w:r>
              <w:rPr>
                <w:color w:val="1C3A36"/>
                <w:sz w:val="14"/>
              </w:rPr>
              <w:t>2026-08-07</w:t>
            </w:r>
          </w:p>
        </w:tc>
        <w:tc>
          <w:tcPr>
            <w:tcW w:type="dxa" w:w="7344"/>
          </w:tcPr>
          <w:p>
            <w:pPr>
              <w:spacing w:after="20"/>
              <w:jc w:val="left"/>
            </w:pPr>
            <w:r>
              <w:rPr>
                <w:color w:val="1C3A36"/>
                <w:sz w:val="14"/>
              </w:rPr>
              <w:t>Market quote</w:t>
            </w:r>
          </w:p>
        </w:tc>
      </w:tr>
    </w:tbl>
    <w:p>
      <w:pPr>
        <w:spacing w:after="40"/>
      </w:pPr>
    </w:p>
    <w:p>
      <w:pPr>
        <w:spacing w:after="100" w:before="160"/>
      </w:pPr>
      <w:r>
        <w:rPr>
          <w:b/>
          <w:i w:val="0"/>
          <w:color w:val="1C3A36"/>
          <w:sz w:val="21"/>
        </w:rPr>
        <w:t>L3 — Official external (regulator, central bank, government)  (9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944"/>
        <w:gridCol w:w="1224"/>
        <w:gridCol w:w="1152"/>
        <w:gridCol w:w="7344"/>
      </w:tblGrid>
      <w:tr>
        <w:tc>
          <w:tcPr>
            <w:tcW w:type="dxa" w:w="2448"/>
            <w:shd w:val="clear" w:color="auto" w:fill="EAF0EE"/>
          </w:tcPr>
          <w:p>
            <w:pPr>
              <w:spacing w:after="20"/>
              <w:jc w:val="left"/>
            </w:pPr>
            <w:r>
              <w:rPr>
                <w:b/>
                <w:color w:val="1C3A36"/>
                <w:sz w:val="14"/>
              </w:rPr>
              <w:t>Input</w:t>
            </w:r>
          </w:p>
        </w:tc>
        <w:tc>
          <w:tcPr>
            <w:tcW w:type="dxa" w:w="1944"/>
            <w:shd w:val="clear" w:color="auto" w:fill="EAF0EE"/>
          </w:tcPr>
          <w:p>
            <w:pPr>
              <w:spacing w:after="20"/>
              <w:jc w:val="left"/>
            </w:pPr>
            <w:r>
              <w:rPr>
                <w:b/>
                <w:color w:val="1C3A36"/>
                <w:sz w:val="14"/>
              </w:rPr>
              <w:t>Value</w:t>
            </w:r>
          </w:p>
        </w:tc>
        <w:tc>
          <w:tcPr>
            <w:tcW w:type="dxa" w:w="1224"/>
            <w:shd w:val="clear" w:color="auto" w:fill="EAF0EE"/>
          </w:tcPr>
          <w:p>
            <w:pPr>
              <w:spacing w:after="20"/>
              <w:jc w:val="left"/>
            </w:pPr>
            <w:r>
              <w:rPr>
                <w:b/>
                <w:color w:val="1C3A36"/>
                <w:sz w:val="14"/>
              </w:rPr>
              <w:t>Unit</w:t>
            </w:r>
          </w:p>
        </w:tc>
        <w:tc>
          <w:tcPr>
            <w:tcW w:type="dxa" w:w="1152"/>
            <w:shd w:val="clear" w:color="auto" w:fill="EAF0EE"/>
          </w:tcPr>
          <w:p>
            <w:pPr>
              <w:spacing w:after="20"/>
              <w:jc w:val="left"/>
            </w:pPr>
            <w:r>
              <w:rPr>
                <w:b/>
                <w:color w:val="1C3A36"/>
                <w:sz w:val="14"/>
              </w:rPr>
              <w:t>Date</w:t>
            </w:r>
          </w:p>
        </w:tc>
        <w:tc>
          <w:tcPr>
            <w:tcW w:type="dxa" w:w="7344"/>
            <w:shd w:val="clear" w:color="auto" w:fill="EAF0EE"/>
          </w:tcPr>
          <w:p>
            <w:pPr>
              <w:spacing w:after="20"/>
              <w:jc w:val="left"/>
            </w:pPr>
            <w:r>
              <w:rPr>
                <w:b/>
                <w:color w:val="1C3A36"/>
                <w:sz w:val="14"/>
              </w:rPr>
              <w:t>Source and construction</w:t>
            </w:r>
          </w:p>
        </w:tc>
      </w:tr>
      <w:tr>
        <w:tc>
          <w:tcPr>
            <w:tcW w:type="dxa" w:w="2448"/>
          </w:tcPr>
          <w:p>
            <w:pPr>
              <w:spacing w:after="20"/>
              <w:jc w:val="left"/>
            </w:pPr>
            <w:r>
              <w:rPr>
                <w:color w:val="1C3A36"/>
                <w:sz w:val="14"/>
              </w:rPr>
              <w:t>cbe_inflation_target</w:t>
            </w:r>
          </w:p>
        </w:tc>
        <w:tc>
          <w:tcPr>
            <w:tcW w:type="dxa" w:w="1944"/>
          </w:tcPr>
          <w:p>
            <w:pPr>
              <w:spacing w:after="20"/>
              <w:jc w:val="left"/>
            </w:pPr>
            <w:r>
              <w:rPr>
                <w:color w:val="1C3A36"/>
                <w:sz w:val="14"/>
              </w:rPr>
              <w:t>0.07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2026-07-09</w:t>
            </w:r>
          </w:p>
        </w:tc>
        <w:tc>
          <w:tcPr>
            <w:tcW w:type="dxa" w:w="7344"/>
          </w:tcPr>
          <w:p>
            <w:pPr>
              <w:spacing w:after="20"/>
              <w:jc w:val="left"/>
            </w:pPr>
            <w:r>
              <w:rPr>
                <w:color w:val="1C3A36"/>
                <w:sz w:val="14"/>
              </w:rPr>
              <w:t>Central bank published medium-term inflation target</w:t>
            </w:r>
          </w:p>
        </w:tc>
      </w:tr>
      <w:tr>
        <w:tc>
          <w:tcPr>
            <w:tcW w:type="dxa" w:w="2448"/>
          </w:tcPr>
          <w:p>
            <w:pPr>
              <w:spacing w:after="20"/>
              <w:jc w:val="left"/>
            </w:pPr>
            <w:r>
              <w:rPr>
                <w:color w:val="1C3A36"/>
                <w:sz w:val="14"/>
              </w:rPr>
              <w:t>cpi_latest</w:t>
            </w:r>
          </w:p>
        </w:tc>
        <w:tc>
          <w:tcPr>
            <w:tcW w:type="dxa" w:w="1944"/>
          </w:tcPr>
          <w:p>
            <w:pPr>
              <w:spacing w:after="20"/>
              <w:jc w:val="left"/>
            </w:pPr>
            <w:r>
              <w:rPr>
                <w:color w:val="1C3A36"/>
                <w:sz w:val="14"/>
              </w:rPr>
              <w:t>0.143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2026-06-30</w:t>
            </w:r>
          </w:p>
        </w:tc>
        <w:tc>
          <w:tcPr>
            <w:tcW w:type="dxa" w:w="7344"/>
          </w:tcPr>
          <w:p>
            <w:pPr>
              <w:spacing w:after="20"/>
              <w:jc w:val="left"/>
            </w:pPr>
            <w:r>
              <w:rPr>
                <w:color w:val="1C3A36"/>
                <w:sz w:val="14"/>
              </w:rPr>
              <w:t>Egyptian headline urban consumer price inflation, official statistics</w:t>
            </w:r>
          </w:p>
        </w:tc>
      </w:tr>
      <w:tr>
        <w:tc>
          <w:tcPr>
            <w:tcW w:type="dxa" w:w="2448"/>
          </w:tcPr>
          <w:p>
            <w:pPr>
              <w:spacing w:after="20"/>
              <w:jc w:val="left"/>
            </w:pPr>
            <w:r>
              <w:rPr>
                <w:color w:val="1C3A36"/>
                <w:sz w:val="14"/>
              </w:rPr>
              <w:t>export_duty_2026</w:t>
            </w:r>
          </w:p>
        </w:tc>
        <w:tc>
          <w:tcPr>
            <w:tcW w:type="dxa" w:w="1944"/>
          </w:tcPr>
          <w:p>
            <w:pPr>
              <w:spacing w:after="20"/>
              <w:jc w:val="left"/>
            </w:pPr>
            <w:r>
              <w:rPr>
                <w:color w:val="1C3A36"/>
                <w:sz w:val="14"/>
              </w:rPr>
              <w:t>0.1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2026-01-01</w:t>
            </w:r>
          </w:p>
        </w:tc>
        <w:tc>
          <w:tcPr>
            <w:tcW w:type="dxa" w:w="7344"/>
          </w:tcPr>
          <w:p>
            <w:pPr>
              <w:spacing w:after="20"/>
              <w:jc w:val="left"/>
            </w:pPr>
            <w:r>
              <w:rPr>
                <w:color w:val="1C3A36"/>
                <w:sz w:val="14"/>
              </w:rPr>
              <w:t>2026 replacement of the shortfall levy with an ad-valorem duty tied to the global price</w:t>
            </w:r>
          </w:p>
        </w:tc>
      </w:tr>
      <w:tr>
        <w:tc>
          <w:tcPr>
            <w:tcW w:type="dxa" w:w="2448"/>
          </w:tcPr>
          <w:p>
            <w:pPr>
              <w:spacing w:after="20"/>
              <w:jc w:val="left"/>
            </w:pPr>
            <w:r>
              <w:rPr>
                <w:color w:val="1C3A36"/>
                <w:sz w:val="14"/>
              </w:rPr>
              <w:t>export_levy_egp_t</w:t>
            </w:r>
          </w:p>
        </w:tc>
        <w:tc>
          <w:tcPr>
            <w:tcW w:type="dxa" w:w="1944"/>
          </w:tcPr>
          <w:p>
            <w:pPr>
              <w:spacing w:after="20"/>
              <w:jc w:val="left"/>
            </w:pPr>
            <w:r>
              <w:rPr>
                <w:color w:val="1C3A36"/>
                <w:sz w:val="14"/>
              </w:rPr>
              <w:t>2,500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2021-06-03</w:t>
            </w:r>
          </w:p>
        </w:tc>
        <w:tc>
          <w:tcPr>
            <w:tcW w:type="dxa" w:w="7344"/>
          </w:tcPr>
          <w:p>
            <w:pPr>
              <w:spacing w:after="20"/>
              <w:jc w:val="left"/>
            </w:pPr>
            <w:r>
              <w:rPr>
                <w:color w:val="1C3A36"/>
                <w:sz w:val="14"/>
              </w:rPr>
              <w:t>Trade and industry ministry decree 241 of 2021 — levy on the quota shortfall</w:t>
            </w:r>
          </w:p>
        </w:tc>
      </w:tr>
      <w:tr>
        <w:tc>
          <w:tcPr>
            <w:tcW w:type="dxa" w:w="2448"/>
          </w:tcPr>
          <w:p>
            <w:pPr>
              <w:spacing w:after="20"/>
              <w:jc w:val="left"/>
            </w:pPr>
            <w:r>
              <w:rPr>
                <w:color w:val="1C3A36"/>
                <w:sz w:val="14"/>
              </w:rPr>
              <w:t>policy_rate</w:t>
            </w:r>
          </w:p>
        </w:tc>
        <w:tc>
          <w:tcPr>
            <w:tcW w:type="dxa" w:w="1944"/>
          </w:tcPr>
          <w:p>
            <w:pPr>
              <w:spacing w:after="20"/>
              <w:jc w:val="left"/>
            </w:pPr>
            <w:r>
              <w:rPr>
                <w:color w:val="1C3A36"/>
                <w:sz w:val="14"/>
              </w:rPr>
              <w:t>0.195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2026-07-09</w:t>
            </w:r>
          </w:p>
        </w:tc>
        <w:tc>
          <w:tcPr>
            <w:tcW w:type="dxa" w:w="7344"/>
          </w:tcPr>
          <w:p>
            <w:pPr>
              <w:spacing w:after="20"/>
              <w:jc w:val="left"/>
            </w:pPr>
            <w:r>
              <w:rPr>
                <w:color w:val="1C3A36"/>
                <w:sz w:val="14"/>
              </w:rPr>
              <w:t>Central bank main operation rate, corridor 19.00/20.00</w:t>
            </w:r>
          </w:p>
        </w:tc>
      </w:tr>
      <w:tr>
        <w:tc>
          <w:tcPr>
            <w:tcW w:type="dxa" w:w="2448"/>
          </w:tcPr>
          <w:p>
            <w:pPr>
              <w:spacing w:after="20"/>
              <w:jc w:val="left"/>
            </w:pPr>
            <w:r>
              <w:rPr>
                <w:color w:val="1C3A36"/>
                <w:sz w:val="14"/>
              </w:rPr>
              <w:t>quota_domestic_share_2021</w:t>
            </w:r>
          </w:p>
        </w:tc>
        <w:tc>
          <w:tcPr>
            <w:tcW w:type="dxa" w:w="1944"/>
          </w:tcPr>
          <w:p>
            <w:pPr>
              <w:spacing w:after="20"/>
              <w:jc w:val="left"/>
            </w:pPr>
            <w:r>
              <w:rPr>
                <w:color w:val="1C3A36"/>
                <w:sz w:val="14"/>
              </w:rPr>
              <w:t>0.55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2021-11-24</w:t>
            </w:r>
          </w:p>
        </w:tc>
        <w:tc>
          <w:tcPr>
            <w:tcW w:type="dxa" w:w="7344"/>
          </w:tcPr>
          <w:p>
            <w:pPr>
              <w:spacing w:after="20"/>
              <w:jc w:val="left"/>
            </w:pPr>
            <w:r>
              <w:rPr>
                <w:color w:val="1C3A36"/>
                <w:sz w:val="14"/>
              </w:rPr>
              <w:t>Cabinet decision 170 of 24 November 2021 — share of output to the subsidised system</w:t>
            </w:r>
          </w:p>
        </w:tc>
      </w:tr>
      <w:tr>
        <w:tc>
          <w:tcPr>
            <w:tcW w:type="dxa" w:w="2448"/>
          </w:tcPr>
          <w:p>
            <w:pPr>
              <w:spacing w:after="20"/>
              <w:jc w:val="left"/>
            </w:pPr>
            <w:r>
              <w:rPr>
                <w:color w:val="1C3A36"/>
                <w:sz w:val="14"/>
              </w:rPr>
              <w:t>quota_free_local_2021</w:t>
            </w:r>
          </w:p>
        </w:tc>
        <w:tc>
          <w:tcPr>
            <w:tcW w:type="dxa" w:w="1944"/>
          </w:tcPr>
          <w:p>
            <w:pPr>
              <w:spacing w:after="20"/>
              <w:jc w:val="left"/>
            </w:pPr>
            <w:r>
              <w:rPr>
                <w:color w:val="1C3A36"/>
                <w:sz w:val="14"/>
              </w:rPr>
              <w:t>0.1</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2021-11-24</w:t>
            </w:r>
          </w:p>
        </w:tc>
        <w:tc>
          <w:tcPr>
            <w:tcW w:type="dxa" w:w="7344"/>
          </w:tcPr>
          <w:p>
            <w:pPr>
              <w:spacing w:after="20"/>
              <w:jc w:val="left"/>
            </w:pPr>
            <w:r>
              <w:rPr>
                <w:color w:val="1C3A36"/>
                <w:sz w:val="14"/>
              </w:rPr>
              <w:t>Cabinet decision 170 of 24 November 2021</w:t>
            </w:r>
          </w:p>
        </w:tc>
      </w:tr>
      <w:tr>
        <w:tc>
          <w:tcPr>
            <w:tcW w:type="dxa" w:w="2448"/>
          </w:tcPr>
          <w:p>
            <w:pPr>
              <w:spacing w:after="20"/>
              <w:jc w:val="left"/>
            </w:pPr>
            <w:r>
              <w:rPr>
                <w:color w:val="1C3A36"/>
                <w:sz w:val="14"/>
              </w:rPr>
              <w:t>quota_revision_sep2025</w:t>
            </w:r>
          </w:p>
        </w:tc>
        <w:tc>
          <w:tcPr>
            <w:tcW w:type="dxa" w:w="1944"/>
          </w:tcPr>
          <w:p>
            <w:pPr>
              <w:spacing w:after="20"/>
              <w:jc w:val="left"/>
            </w:pPr>
            <w:r>
              <w:rPr>
                <w:color w:val="1C3A36"/>
                <w:sz w:val="14"/>
              </w:rPr>
              <w:t>0.53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2025-09-08</w:t>
            </w:r>
          </w:p>
        </w:tc>
        <w:tc>
          <w:tcPr>
            <w:tcW w:type="dxa" w:w="7344"/>
          </w:tcPr>
          <w:p>
            <w:pPr>
              <w:spacing w:after="20"/>
              <w:jc w:val="left"/>
            </w:pPr>
            <w:r>
              <w:rPr>
                <w:color w:val="1C3A36"/>
                <w:sz w:val="14"/>
              </w:rPr>
              <w:t>Cabinet decision of 8 September 2025 — industry export share after the revision</w:t>
            </w:r>
          </w:p>
        </w:tc>
      </w:tr>
      <w:tr>
        <w:tc>
          <w:tcPr>
            <w:tcW w:type="dxa" w:w="2448"/>
          </w:tcPr>
          <w:p>
            <w:pPr>
              <w:spacing w:after="20"/>
              <w:jc w:val="left"/>
            </w:pPr>
            <w:r>
              <w:rPr>
                <w:color w:val="1C3A36"/>
                <w:sz w:val="14"/>
              </w:rPr>
              <w:t>subsidised_price</w:t>
            </w:r>
          </w:p>
        </w:tc>
        <w:tc>
          <w:tcPr>
            <w:tcW w:type="dxa" w:w="1944"/>
          </w:tcPr>
          <w:p>
            <w:pPr>
              <w:spacing w:after="20"/>
              <w:jc w:val="left"/>
            </w:pPr>
            <w:r>
              <w:rPr>
                <w:color w:val="1C3A36"/>
                <w:sz w:val="14"/>
              </w:rPr>
              <w:t>6,000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2025-09-08</w:t>
            </w:r>
          </w:p>
        </w:tc>
        <w:tc>
          <w:tcPr>
            <w:tcW w:type="dxa" w:w="7344"/>
          </w:tcPr>
          <w:p>
            <w:pPr>
              <w:spacing w:after="20"/>
              <w:jc w:val="left"/>
            </w:pPr>
            <w:r>
              <w:rPr>
                <w:color w:val="1C3A36"/>
                <w:sz w:val="14"/>
              </w:rPr>
              <w:t>Cooperative supply price for subsidised fertilizer</w:t>
            </w:r>
          </w:p>
        </w:tc>
      </w:tr>
    </w:tbl>
    <w:p>
      <w:pPr>
        <w:spacing w:after="40"/>
      </w:pPr>
    </w:p>
    <w:p>
      <w:pPr>
        <w:spacing w:after="100" w:before="160"/>
      </w:pPr>
      <w:r>
        <w:rPr>
          <w:b/>
          <w:i w:val="0"/>
          <w:color w:val="1C3A36"/>
          <w:sz w:val="21"/>
        </w:rPr>
        <w:t>L4 — Industry and sector context  (17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944"/>
        <w:gridCol w:w="1224"/>
        <w:gridCol w:w="1152"/>
        <w:gridCol w:w="7344"/>
      </w:tblGrid>
      <w:tr>
        <w:tc>
          <w:tcPr>
            <w:tcW w:type="dxa" w:w="2448"/>
            <w:shd w:val="clear" w:color="auto" w:fill="EAF0EE"/>
          </w:tcPr>
          <w:p>
            <w:pPr>
              <w:spacing w:after="20"/>
              <w:jc w:val="left"/>
            </w:pPr>
            <w:r>
              <w:rPr>
                <w:b/>
                <w:color w:val="1C3A36"/>
                <w:sz w:val="14"/>
              </w:rPr>
              <w:t>Input</w:t>
            </w:r>
          </w:p>
        </w:tc>
        <w:tc>
          <w:tcPr>
            <w:tcW w:type="dxa" w:w="1944"/>
            <w:shd w:val="clear" w:color="auto" w:fill="EAF0EE"/>
          </w:tcPr>
          <w:p>
            <w:pPr>
              <w:spacing w:after="20"/>
              <w:jc w:val="left"/>
            </w:pPr>
            <w:r>
              <w:rPr>
                <w:b/>
                <w:color w:val="1C3A36"/>
                <w:sz w:val="14"/>
              </w:rPr>
              <w:t>Value</w:t>
            </w:r>
          </w:p>
        </w:tc>
        <w:tc>
          <w:tcPr>
            <w:tcW w:type="dxa" w:w="1224"/>
            <w:shd w:val="clear" w:color="auto" w:fill="EAF0EE"/>
          </w:tcPr>
          <w:p>
            <w:pPr>
              <w:spacing w:after="20"/>
              <w:jc w:val="left"/>
            </w:pPr>
            <w:r>
              <w:rPr>
                <w:b/>
                <w:color w:val="1C3A36"/>
                <w:sz w:val="14"/>
              </w:rPr>
              <w:t>Unit</w:t>
            </w:r>
          </w:p>
        </w:tc>
        <w:tc>
          <w:tcPr>
            <w:tcW w:type="dxa" w:w="1152"/>
            <w:shd w:val="clear" w:color="auto" w:fill="EAF0EE"/>
          </w:tcPr>
          <w:p>
            <w:pPr>
              <w:spacing w:after="20"/>
              <w:jc w:val="left"/>
            </w:pPr>
            <w:r>
              <w:rPr>
                <w:b/>
                <w:color w:val="1C3A36"/>
                <w:sz w:val="14"/>
              </w:rPr>
              <w:t>Date</w:t>
            </w:r>
          </w:p>
        </w:tc>
        <w:tc>
          <w:tcPr>
            <w:tcW w:type="dxa" w:w="7344"/>
            <w:shd w:val="clear" w:color="auto" w:fill="EAF0EE"/>
          </w:tcPr>
          <w:p>
            <w:pPr>
              <w:spacing w:after="20"/>
              <w:jc w:val="left"/>
            </w:pPr>
            <w:r>
              <w:rPr>
                <w:b/>
                <w:color w:val="1C3A36"/>
                <w:sz w:val="14"/>
              </w:rPr>
              <w:t>Source and construction</w:t>
            </w:r>
          </w:p>
        </w:tc>
      </w:tr>
      <w:tr>
        <w:tc>
          <w:tcPr>
            <w:tcW w:type="dxa" w:w="2448"/>
          </w:tcPr>
          <w:p>
            <w:pPr>
              <w:spacing w:after="20"/>
              <w:jc w:val="left"/>
            </w:pPr>
            <w:r>
              <w:rPr>
                <w:color w:val="1C3A36"/>
                <w:sz w:val="14"/>
              </w:rPr>
              <w:t>aggregator_share_count</w:t>
            </w:r>
          </w:p>
        </w:tc>
        <w:tc>
          <w:tcPr>
            <w:tcW w:type="dxa" w:w="1944"/>
          </w:tcPr>
          <w:p>
            <w:pPr>
              <w:spacing w:after="20"/>
              <w:jc w:val="left"/>
            </w:pPr>
            <w:r>
              <w:rPr>
                <w:color w:val="1C3A36"/>
                <w:sz w:val="14"/>
              </w:rPr>
              <w:t>197,950,000</w:t>
            </w:r>
          </w:p>
        </w:tc>
        <w:tc>
          <w:tcPr>
            <w:tcW w:type="dxa" w:w="1224"/>
          </w:tcPr>
          <w:p>
            <w:pPr>
              <w:spacing w:after="20"/>
              <w:jc w:val="left"/>
            </w:pPr>
            <w:r>
              <w:rPr>
                <w:color w:val="1C3A36"/>
                <w:sz w:val="14"/>
              </w:rPr>
              <w:t>shares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A widely visible market page, inconsistent with its own market-capitalisation figure by a factor of ten — recorded ONLY as a documented discrepancy, not used</w:t>
            </w:r>
          </w:p>
        </w:tc>
      </w:tr>
      <w:tr>
        <w:tc>
          <w:tcPr>
            <w:tcW w:type="dxa" w:w="2448"/>
          </w:tcPr>
          <w:p>
            <w:pPr>
              <w:spacing w:after="20"/>
              <w:jc w:val="left"/>
            </w:pPr>
            <w:r>
              <w:rPr>
                <w:color w:val="1C3A36"/>
                <w:sz w:val="14"/>
              </w:rPr>
              <w:t>an_price_usd_t</w:t>
            </w:r>
          </w:p>
        </w:tc>
        <w:tc>
          <w:tcPr>
            <w:tcW w:type="dxa" w:w="1944"/>
          </w:tcPr>
          <w:p>
            <w:pPr>
              <w:spacing w:after="20"/>
              <w:jc w:val="left"/>
            </w:pPr>
            <w:r>
              <w:rPr>
                <w:color w:val="1C3A36"/>
                <w:sz w:val="14"/>
              </w:rPr>
              <w:t>280</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2026-08-07</w:t>
            </w:r>
          </w:p>
        </w:tc>
        <w:tc>
          <w:tcPr>
            <w:tcW w:type="dxa" w:w="7344"/>
          </w:tcPr>
          <w:p>
            <w:pPr>
              <w:spacing w:after="20"/>
              <w:jc w:val="left"/>
            </w:pPr>
            <w:r>
              <w:rPr>
                <w:color w:val="1C3A36"/>
                <w:sz w:val="14"/>
              </w:rPr>
              <w:t>Mid-cycle ammonium nitrate pricing</w:t>
            </w:r>
          </w:p>
        </w:tc>
      </w:tr>
      <w:tr>
        <w:tc>
          <w:tcPr>
            <w:tcW w:type="dxa" w:w="2448"/>
          </w:tcPr>
          <w:p>
            <w:pPr>
              <w:spacing w:after="20"/>
              <w:jc w:val="left"/>
            </w:pPr>
            <w:r>
              <w:rPr>
                <w:color w:val="1C3A36"/>
                <w:sz w:val="14"/>
              </w:rPr>
              <w:t>control_discount_eg_state</w:t>
            </w:r>
          </w:p>
        </w:tc>
        <w:tc>
          <w:tcPr>
            <w:tcW w:type="dxa" w:w="1944"/>
          </w:tcPr>
          <w:p>
            <w:pPr>
              <w:spacing w:after="20"/>
              <w:jc w:val="left"/>
            </w:pPr>
            <w:r>
              <w:rPr>
                <w:color w:val="1C3A36"/>
                <w:sz w:val="14"/>
              </w:rPr>
              <w:t>0.4</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2026-08-06</w:t>
            </w:r>
          </w:p>
        </w:tc>
        <w:tc>
          <w:tcPr>
            <w:tcW w:type="dxa" w:w="7344"/>
          </w:tcPr>
          <w:p>
            <w:pPr>
              <w:spacing w:after="20"/>
              <w:jc w:val="left"/>
            </w:pPr>
            <w:r>
              <w:rPr>
                <w:color w:val="1C3A36"/>
                <w:sz w:val="14"/>
              </w:rPr>
              <w:t>Observed discount at which Egyptian state-controlled industrial assets have changed hands</w:t>
            </w:r>
          </w:p>
        </w:tc>
      </w:tr>
      <w:tr>
        <w:tc>
          <w:tcPr>
            <w:tcW w:type="dxa" w:w="2448"/>
          </w:tcPr>
          <w:p>
            <w:pPr>
              <w:spacing w:after="20"/>
              <w:jc w:val="left"/>
            </w:pPr>
            <w:r>
              <w:rPr>
                <w:color w:val="1C3A36"/>
                <w:sz w:val="14"/>
              </w:rPr>
              <w:t>egx_industrial_ev_ebitda_high</w:t>
            </w:r>
          </w:p>
        </w:tc>
        <w:tc>
          <w:tcPr>
            <w:tcW w:type="dxa" w:w="1944"/>
          </w:tcPr>
          <w:p>
            <w:pPr>
              <w:spacing w:after="20"/>
              <w:jc w:val="left"/>
            </w:pPr>
            <w:r>
              <w:rPr>
                <w:color w:val="1C3A36"/>
                <w:sz w:val="14"/>
              </w:rPr>
              <w:t>6</w:t>
            </w:r>
          </w:p>
        </w:tc>
        <w:tc>
          <w:tcPr>
            <w:tcW w:type="dxa" w:w="1224"/>
          </w:tcPr>
          <w:p>
            <w:pPr>
              <w:spacing w:after="20"/>
              <w:jc w:val="left"/>
            </w:pPr>
            <w:r>
              <w:rPr>
                <w:color w:val="1C3A36"/>
                <w:sz w:val="14"/>
              </w:rPr>
              <w:t>x</w:t>
            </w:r>
          </w:p>
        </w:tc>
        <w:tc>
          <w:tcPr>
            <w:tcW w:type="dxa" w:w="1152"/>
          </w:tcPr>
          <w:p>
            <w:pPr>
              <w:spacing w:after="20"/>
              <w:jc w:val="left"/>
            </w:pPr>
            <w:r>
              <w:rPr>
                <w:color w:val="1C3A36"/>
                <w:sz w:val="14"/>
              </w:rPr>
              <w:t>2026-08-06</w:t>
            </w:r>
          </w:p>
        </w:tc>
        <w:tc>
          <w:tcPr>
            <w:tcW w:type="dxa" w:w="7344"/>
          </w:tcPr>
          <w:p>
            <w:pPr>
              <w:spacing w:after="20"/>
              <w:jc w:val="left"/>
            </w:pPr>
            <w:r>
              <w:rPr>
                <w:color w:val="1C3A36"/>
                <w:sz w:val="14"/>
              </w:rPr>
              <w:t>Observed Egyptian industrial transaction and trading range</w:t>
            </w:r>
          </w:p>
        </w:tc>
      </w:tr>
      <w:tr>
        <w:tc>
          <w:tcPr>
            <w:tcW w:type="dxa" w:w="2448"/>
          </w:tcPr>
          <w:p>
            <w:pPr>
              <w:spacing w:after="20"/>
              <w:jc w:val="left"/>
            </w:pPr>
            <w:r>
              <w:rPr>
                <w:color w:val="1C3A36"/>
                <w:sz w:val="14"/>
              </w:rPr>
              <w:t>egx_industrial_ev_ebitda_low</w:t>
            </w:r>
          </w:p>
        </w:tc>
        <w:tc>
          <w:tcPr>
            <w:tcW w:type="dxa" w:w="1944"/>
          </w:tcPr>
          <w:p>
            <w:pPr>
              <w:spacing w:after="20"/>
              <w:jc w:val="left"/>
            </w:pPr>
            <w:r>
              <w:rPr>
                <w:color w:val="1C3A36"/>
                <w:sz w:val="14"/>
              </w:rPr>
              <w:t>3</w:t>
            </w:r>
          </w:p>
        </w:tc>
        <w:tc>
          <w:tcPr>
            <w:tcW w:type="dxa" w:w="1224"/>
          </w:tcPr>
          <w:p>
            <w:pPr>
              <w:spacing w:after="20"/>
              <w:jc w:val="left"/>
            </w:pPr>
            <w:r>
              <w:rPr>
                <w:color w:val="1C3A36"/>
                <w:sz w:val="14"/>
              </w:rPr>
              <w:t>x</w:t>
            </w:r>
          </w:p>
        </w:tc>
        <w:tc>
          <w:tcPr>
            <w:tcW w:type="dxa" w:w="1152"/>
          </w:tcPr>
          <w:p>
            <w:pPr>
              <w:spacing w:after="20"/>
              <w:jc w:val="left"/>
            </w:pPr>
            <w:r>
              <w:rPr>
                <w:color w:val="1C3A36"/>
                <w:sz w:val="14"/>
              </w:rPr>
              <w:t>2026-08-06</w:t>
            </w:r>
          </w:p>
        </w:tc>
        <w:tc>
          <w:tcPr>
            <w:tcW w:type="dxa" w:w="7344"/>
          </w:tcPr>
          <w:p>
            <w:pPr>
              <w:spacing w:after="20"/>
              <w:jc w:val="left"/>
            </w:pPr>
            <w:r>
              <w:rPr>
                <w:color w:val="1C3A36"/>
                <w:sz w:val="14"/>
              </w:rPr>
              <w:t>Observed Egyptian industrial transaction and trading range</w:t>
            </w:r>
          </w:p>
        </w:tc>
      </w:tr>
      <w:tr>
        <w:tc>
          <w:tcPr>
            <w:tcW w:type="dxa" w:w="2448"/>
          </w:tcPr>
          <w:p>
            <w:pPr>
              <w:spacing w:after="20"/>
              <w:jc w:val="left"/>
            </w:pPr>
            <w:r>
              <w:rPr>
                <w:color w:val="1C3A36"/>
                <w:sz w:val="14"/>
              </w:rPr>
              <w:t>egypt_urea_capacity</w:t>
            </w:r>
          </w:p>
        </w:tc>
        <w:tc>
          <w:tcPr>
            <w:tcW w:type="dxa" w:w="1944"/>
          </w:tcPr>
          <w:p>
            <w:pPr>
              <w:spacing w:after="20"/>
              <w:jc w:val="left"/>
            </w:pPr>
            <w:r>
              <w:rPr>
                <w:color w:val="1C3A36"/>
                <w:sz w:val="14"/>
              </w:rPr>
              <w:t>7,250</w:t>
            </w:r>
          </w:p>
        </w:tc>
        <w:tc>
          <w:tcPr>
            <w:tcW w:type="dxa" w:w="1224"/>
          </w:tcPr>
          <w:p>
            <w:pPr>
              <w:spacing w:after="20"/>
              <w:jc w:val="left"/>
            </w:pPr>
            <w:r>
              <w:rPr>
                <w:color w:val="1C3A36"/>
                <w:sz w:val="14"/>
              </w:rPr>
              <w:t>kt/year</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analysis of Egyptian nitrogen capacity across the named producers</w:t>
            </w:r>
          </w:p>
        </w:tc>
      </w:tr>
      <w:tr>
        <w:tc>
          <w:tcPr>
            <w:tcW w:type="dxa" w:w="2448"/>
          </w:tcPr>
          <w:p>
            <w:pPr>
              <w:spacing w:after="20"/>
              <w:jc w:val="left"/>
            </w:pPr>
            <w:r>
              <w:rPr>
                <w:color w:val="1C3A36"/>
                <w:sz w:val="14"/>
              </w:rPr>
              <w:t>greenfield_capex_usd_t_high</w:t>
            </w:r>
          </w:p>
        </w:tc>
        <w:tc>
          <w:tcPr>
            <w:tcW w:type="dxa" w:w="1944"/>
          </w:tcPr>
          <w:p>
            <w:pPr>
              <w:spacing w:after="20"/>
              <w:jc w:val="left"/>
            </w:pPr>
            <w:r>
              <w:rPr>
                <w:color w:val="1C3A36"/>
                <w:sz w:val="14"/>
              </w:rPr>
              <w:t>700</w:t>
            </w:r>
          </w:p>
        </w:tc>
        <w:tc>
          <w:tcPr>
            <w:tcW w:type="dxa" w:w="1224"/>
          </w:tcPr>
          <w:p>
            <w:pPr>
              <w:spacing w:after="20"/>
              <w:jc w:val="left"/>
            </w:pPr>
            <w:r>
              <w:rPr>
                <w:color w:val="1C3A36"/>
                <w:sz w:val="14"/>
              </w:rPr>
              <w:t>US$/annual t</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build-cost range</w:t>
            </w:r>
          </w:p>
        </w:tc>
      </w:tr>
      <w:tr>
        <w:tc>
          <w:tcPr>
            <w:tcW w:type="dxa" w:w="2448"/>
          </w:tcPr>
          <w:p>
            <w:pPr>
              <w:spacing w:after="20"/>
              <w:jc w:val="left"/>
            </w:pPr>
            <w:r>
              <w:rPr>
                <w:color w:val="1C3A36"/>
                <w:sz w:val="14"/>
              </w:rPr>
              <w:t>greenfield_capex_usd_t_low</w:t>
            </w:r>
          </w:p>
        </w:tc>
        <w:tc>
          <w:tcPr>
            <w:tcW w:type="dxa" w:w="1944"/>
          </w:tcPr>
          <w:p>
            <w:pPr>
              <w:spacing w:after="20"/>
              <w:jc w:val="left"/>
            </w:pPr>
            <w:r>
              <w:rPr>
                <w:color w:val="1C3A36"/>
                <w:sz w:val="14"/>
              </w:rPr>
              <w:t>550</w:t>
            </w:r>
          </w:p>
        </w:tc>
        <w:tc>
          <w:tcPr>
            <w:tcW w:type="dxa" w:w="1224"/>
          </w:tcPr>
          <w:p>
            <w:pPr>
              <w:spacing w:after="20"/>
              <w:jc w:val="left"/>
            </w:pPr>
            <w:r>
              <w:rPr>
                <w:color w:val="1C3A36"/>
                <w:sz w:val="14"/>
              </w:rPr>
              <w:t>US$/annual t</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build-cost range for a urea line with its own ammonia unit</w:t>
            </w:r>
          </w:p>
        </w:tc>
      </w:tr>
      <w:tr>
        <w:tc>
          <w:tcPr>
            <w:tcW w:type="dxa" w:w="2448"/>
          </w:tcPr>
          <w:p>
            <w:pPr>
              <w:spacing w:after="20"/>
              <w:jc w:val="left"/>
            </w:pPr>
            <w:r>
              <w:rPr>
                <w:color w:val="1C3A36"/>
                <w:sz w:val="14"/>
              </w:rPr>
              <w:t>local_sack_price_high</w:t>
            </w:r>
          </w:p>
        </w:tc>
        <w:tc>
          <w:tcPr>
            <w:tcW w:type="dxa" w:w="1944"/>
          </w:tcPr>
          <w:p>
            <w:pPr>
              <w:spacing w:after="20"/>
              <w:jc w:val="left"/>
            </w:pPr>
            <w:r>
              <w:rPr>
                <w:color w:val="1C3A36"/>
                <w:sz w:val="14"/>
              </w:rPr>
              <w:t>1,600</w:t>
            </w:r>
          </w:p>
        </w:tc>
        <w:tc>
          <w:tcPr>
            <w:tcW w:type="dxa" w:w="1224"/>
          </w:tcPr>
          <w:p>
            <w:pPr>
              <w:spacing w:after="20"/>
              <w:jc w:val="left"/>
            </w:pPr>
            <w:r>
              <w:rPr>
                <w:color w:val="1C3A36"/>
                <w:sz w:val="14"/>
              </w:rPr>
              <w:t>EGP per 50kg</w:t>
            </w:r>
          </w:p>
        </w:tc>
        <w:tc>
          <w:tcPr>
            <w:tcW w:type="dxa" w:w="1152"/>
          </w:tcPr>
          <w:p>
            <w:pPr>
              <w:spacing w:after="20"/>
              <w:jc w:val="left"/>
            </w:pPr>
            <w:r>
              <w:rPr>
                <w:color w:val="1C3A36"/>
                <w:sz w:val="14"/>
              </w:rPr>
              <w:t>2026-06-30</w:t>
            </w:r>
          </w:p>
        </w:tc>
        <w:tc>
          <w:tcPr>
            <w:tcW w:type="dxa" w:w="7344"/>
          </w:tcPr>
          <w:p>
            <w:pPr>
              <w:spacing w:after="20"/>
              <w:jc w:val="left"/>
            </w:pPr>
            <w:r>
              <w:rPr>
                <w:color w:val="1C3A36"/>
                <w:sz w:val="14"/>
              </w:rPr>
              <w:t>Egyptian press reporting of open-market fertilizer sack prices</w:t>
            </w:r>
          </w:p>
        </w:tc>
      </w:tr>
      <w:tr>
        <w:tc>
          <w:tcPr>
            <w:tcW w:type="dxa" w:w="2448"/>
          </w:tcPr>
          <w:p>
            <w:pPr>
              <w:spacing w:after="20"/>
              <w:jc w:val="left"/>
            </w:pPr>
            <w:r>
              <w:rPr>
                <w:color w:val="1C3A36"/>
                <w:sz w:val="14"/>
              </w:rPr>
              <w:t>local_sack_price_low</w:t>
            </w:r>
          </w:p>
        </w:tc>
        <w:tc>
          <w:tcPr>
            <w:tcW w:type="dxa" w:w="1944"/>
          </w:tcPr>
          <w:p>
            <w:pPr>
              <w:spacing w:after="20"/>
              <w:jc w:val="left"/>
            </w:pPr>
            <w:r>
              <w:rPr>
                <w:color w:val="1C3A36"/>
                <w:sz w:val="14"/>
              </w:rPr>
              <w:t>1,400</w:t>
            </w:r>
          </w:p>
        </w:tc>
        <w:tc>
          <w:tcPr>
            <w:tcW w:type="dxa" w:w="1224"/>
          </w:tcPr>
          <w:p>
            <w:pPr>
              <w:spacing w:after="20"/>
              <w:jc w:val="left"/>
            </w:pPr>
            <w:r>
              <w:rPr>
                <w:color w:val="1C3A36"/>
                <w:sz w:val="14"/>
              </w:rPr>
              <w:t>EGP per 50kg</w:t>
            </w:r>
          </w:p>
        </w:tc>
        <w:tc>
          <w:tcPr>
            <w:tcW w:type="dxa" w:w="1152"/>
          </w:tcPr>
          <w:p>
            <w:pPr>
              <w:spacing w:after="20"/>
              <w:jc w:val="left"/>
            </w:pPr>
            <w:r>
              <w:rPr>
                <w:color w:val="1C3A36"/>
                <w:sz w:val="14"/>
              </w:rPr>
              <w:t>2026-06-30</w:t>
            </w:r>
          </w:p>
        </w:tc>
        <w:tc>
          <w:tcPr>
            <w:tcW w:type="dxa" w:w="7344"/>
          </w:tcPr>
          <w:p>
            <w:pPr>
              <w:spacing w:after="20"/>
              <w:jc w:val="left"/>
            </w:pPr>
            <w:r>
              <w:rPr>
                <w:color w:val="1C3A36"/>
                <w:sz w:val="14"/>
              </w:rPr>
              <w:t>Egyptian press reporting of open-market fertilizer sack prices</w:t>
            </w:r>
          </w:p>
        </w:tc>
      </w:tr>
      <w:tr>
        <w:tc>
          <w:tcPr>
            <w:tcW w:type="dxa" w:w="2448"/>
          </w:tcPr>
          <w:p>
            <w:pPr>
              <w:spacing w:after="20"/>
              <w:jc w:val="left"/>
            </w:pPr>
            <w:r>
              <w:rPr>
                <w:color w:val="1C3A36"/>
                <w:sz w:val="14"/>
              </w:rPr>
              <w:t>mid_cycle_urea_usd_t</w:t>
            </w:r>
          </w:p>
        </w:tc>
        <w:tc>
          <w:tcPr>
            <w:tcW w:type="dxa" w:w="1944"/>
          </w:tcPr>
          <w:p>
            <w:pPr>
              <w:spacing w:after="20"/>
              <w:jc w:val="left"/>
            </w:pPr>
            <w:r>
              <w:rPr>
                <w:color w:val="1C3A36"/>
                <w:sz w:val="14"/>
              </w:rPr>
              <w:t>400</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2026-08-07</w:t>
            </w:r>
          </w:p>
        </w:tc>
        <w:tc>
          <w:tcPr>
            <w:tcW w:type="dxa" w:w="7344"/>
          </w:tcPr>
          <w:p>
            <w:pPr>
              <w:spacing w:after="20"/>
              <w:jc w:val="left"/>
            </w:pPr>
            <w:r>
              <w:rPr>
                <w:color w:val="1C3A36"/>
                <w:sz w:val="14"/>
              </w:rPr>
              <w:t>Mid-cycle urea free-on-board Egypt: above the 2015-2020 average of roughly US$250 and well below the August 2026 quote of US$545</w:t>
            </w:r>
          </w:p>
        </w:tc>
      </w:tr>
      <w:tr>
        <w:tc>
          <w:tcPr>
            <w:tcW w:type="dxa" w:w="2448"/>
          </w:tcPr>
          <w:p>
            <w:pPr>
              <w:spacing w:after="20"/>
              <w:jc w:val="left"/>
            </w:pPr>
            <w:r>
              <w:rPr>
                <w:color w:val="1C3A36"/>
                <w:sz w:val="14"/>
              </w:rPr>
              <w:t>mideast_seaborne_share</w:t>
            </w:r>
          </w:p>
        </w:tc>
        <w:tc>
          <w:tcPr>
            <w:tcW w:type="dxa" w:w="1944"/>
          </w:tcPr>
          <w:p>
            <w:pPr>
              <w:spacing w:after="20"/>
              <w:jc w:val="left"/>
            </w:pPr>
            <w:r>
              <w:rPr>
                <w:color w:val="1C3A36"/>
                <w:sz w:val="14"/>
              </w:rPr>
              <w:t>0.35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2026-03-01</w:t>
            </w:r>
          </w:p>
        </w:tc>
        <w:tc>
          <w:tcPr>
            <w:tcW w:type="dxa" w:w="7344"/>
          </w:tcPr>
          <w:p>
            <w:pPr>
              <w:spacing w:after="20"/>
              <w:jc w:val="left"/>
            </w:pPr>
            <w:r>
              <w:rPr>
                <w:color w:val="1C3A36"/>
                <w:sz w:val="14"/>
              </w:rPr>
              <w:t>Commodity research on Middle East share of seaborne ammonia and urea trade</w:t>
            </w:r>
          </w:p>
        </w:tc>
      </w:tr>
      <w:tr>
        <w:tc>
          <w:tcPr>
            <w:tcW w:type="dxa" w:w="2448"/>
          </w:tcPr>
          <w:p>
            <w:pPr>
              <w:spacing w:after="20"/>
              <w:jc w:val="left"/>
            </w:pPr>
            <w:r>
              <w:rPr>
                <w:color w:val="1C3A36"/>
                <w:sz w:val="14"/>
              </w:rPr>
              <w:t>peer_abuqir_capacity</w:t>
            </w:r>
          </w:p>
        </w:tc>
        <w:tc>
          <w:tcPr>
            <w:tcW w:type="dxa" w:w="1944"/>
          </w:tcPr>
          <w:p>
            <w:pPr>
              <w:spacing w:after="20"/>
              <w:jc w:val="left"/>
            </w:pPr>
            <w:r>
              <w:rPr>
                <w:color w:val="1C3A36"/>
                <w:sz w:val="14"/>
              </w:rPr>
              <w:t>2,000</w:t>
            </w:r>
          </w:p>
        </w:tc>
        <w:tc>
          <w:tcPr>
            <w:tcW w:type="dxa" w:w="1224"/>
          </w:tcPr>
          <w:p>
            <w:pPr>
              <w:spacing w:after="20"/>
              <w:jc w:val="left"/>
            </w:pPr>
            <w:r>
              <w:rPr>
                <w:color w:val="1C3A36"/>
                <w:sz w:val="14"/>
              </w:rPr>
              <w:t>kt/year</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capacity survey</w:t>
            </w:r>
          </w:p>
        </w:tc>
      </w:tr>
      <w:tr>
        <w:tc>
          <w:tcPr>
            <w:tcW w:type="dxa" w:w="2448"/>
          </w:tcPr>
          <w:p>
            <w:pPr>
              <w:spacing w:after="20"/>
              <w:jc w:val="left"/>
            </w:pPr>
            <w:r>
              <w:rPr>
                <w:color w:val="1C3A36"/>
                <w:sz w:val="14"/>
              </w:rPr>
              <w:t>peer_mopco_capacity</w:t>
            </w:r>
          </w:p>
        </w:tc>
        <w:tc>
          <w:tcPr>
            <w:tcW w:type="dxa" w:w="1944"/>
          </w:tcPr>
          <w:p>
            <w:pPr>
              <w:spacing w:after="20"/>
              <w:jc w:val="left"/>
            </w:pPr>
            <w:r>
              <w:rPr>
                <w:color w:val="1C3A36"/>
                <w:sz w:val="14"/>
              </w:rPr>
              <w:t>1,800</w:t>
            </w:r>
          </w:p>
        </w:tc>
        <w:tc>
          <w:tcPr>
            <w:tcW w:type="dxa" w:w="1224"/>
          </w:tcPr>
          <w:p>
            <w:pPr>
              <w:spacing w:after="20"/>
              <w:jc w:val="left"/>
            </w:pPr>
            <w:r>
              <w:rPr>
                <w:color w:val="1C3A36"/>
                <w:sz w:val="14"/>
              </w:rPr>
              <w:t>kt/year</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capacity survey</w:t>
            </w:r>
          </w:p>
        </w:tc>
      </w:tr>
      <w:tr>
        <w:tc>
          <w:tcPr>
            <w:tcW w:type="dxa" w:w="2448"/>
          </w:tcPr>
          <w:p>
            <w:pPr>
              <w:spacing w:after="20"/>
              <w:jc w:val="left"/>
            </w:pPr>
            <w:r>
              <w:rPr>
                <w:color w:val="1C3A36"/>
                <w:sz w:val="14"/>
              </w:rPr>
              <w:t>peer_ncic_capacity</w:t>
            </w:r>
          </w:p>
        </w:tc>
        <w:tc>
          <w:tcPr>
            <w:tcW w:type="dxa" w:w="1944"/>
          </w:tcPr>
          <w:p>
            <w:pPr>
              <w:spacing w:after="20"/>
              <w:jc w:val="left"/>
            </w:pPr>
            <w:r>
              <w:rPr>
                <w:color w:val="1C3A36"/>
                <w:sz w:val="14"/>
              </w:rPr>
              <w:t>1,300</w:t>
            </w:r>
          </w:p>
        </w:tc>
        <w:tc>
          <w:tcPr>
            <w:tcW w:type="dxa" w:w="1224"/>
          </w:tcPr>
          <w:p>
            <w:pPr>
              <w:spacing w:after="20"/>
              <w:jc w:val="left"/>
            </w:pPr>
            <w:r>
              <w:rPr>
                <w:color w:val="1C3A36"/>
                <w:sz w:val="14"/>
              </w:rPr>
              <w:t>kt/year</w:t>
            </w:r>
          </w:p>
        </w:tc>
        <w:tc>
          <w:tcPr>
            <w:tcW w:type="dxa" w:w="1152"/>
          </w:tcPr>
          <w:p>
            <w:pPr>
              <w:spacing w:after="20"/>
              <w:jc w:val="left"/>
            </w:pPr>
            <w:r>
              <w:rPr>
                <w:color w:val="1C3A36"/>
                <w:sz w:val="14"/>
              </w:rPr>
              <w:t>2026-03-25</w:t>
            </w:r>
          </w:p>
        </w:tc>
        <w:tc>
          <w:tcPr>
            <w:tcW w:type="dxa" w:w="7344"/>
          </w:tcPr>
          <w:p>
            <w:pPr>
              <w:spacing w:after="20"/>
              <w:jc w:val="left"/>
            </w:pPr>
            <w:r>
              <w:rPr>
                <w:color w:val="1C3A36"/>
                <w:sz w:val="14"/>
              </w:rPr>
              <w:t>Industry capacity survey</w:t>
            </w:r>
          </w:p>
        </w:tc>
      </w:tr>
      <w:tr>
        <w:tc>
          <w:tcPr>
            <w:tcW w:type="dxa" w:w="2448"/>
          </w:tcPr>
          <w:p>
            <w:pPr>
              <w:spacing w:after="20"/>
              <w:jc w:val="left"/>
            </w:pPr>
            <w:r>
              <w:rPr>
                <w:color w:val="1C3A36"/>
                <w:sz w:val="14"/>
              </w:rPr>
              <w:t>plant_distance_to_port_km</w:t>
            </w:r>
          </w:p>
        </w:tc>
        <w:tc>
          <w:tcPr>
            <w:tcW w:type="dxa" w:w="1944"/>
          </w:tcPr>
          <w:p>
            <w:pPr>
              <w:spacing w:after="20"/>
              <w:jc w:val="left"/>
            </w:pPr>
            <w:r>
              <w:rPr>
                <w:color w:val="1C3A36"/>
                <w:sz w:val="14"/>
              </w:rPr>
              <w:t>1,000</w:t>
            </w:r>
          </w:p>
        </w:tc>
        <w:tc>
          <w:tcPr>
            <w:tcW w:type="dxa" w:w="1224"/>
          </w:tcPr>
          <w:p>
            <w:pPr>
              <w:spacing w:after="20"/>
              <w:jc w:val="left"/>
            </w:pPr>
            <w:r>
              <w:rPr>
                <w:color w:val="1C3A36"/>
                <w:sz w:val="14"/>
              </w:rPr>
              <w:t>km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Aswan to the Mediterranean export ports — the reason inland freight is a disclosed cost line of its own</w:t>
            </w:r>
          </w:p>
        </w:tc>
      </w:tr>
      <w:tr>
        <w:tc>
          <w:tcPr>
            <w:tcW w:type="dxa" w:w="2448"/>
          </w:tcPr>
          <w:p>
            <w:pPr>
              <w:spacing w:after="20"/>
              <w:jc w:val="left"/>
            </w:pPr>
            <w:r>
              <w:rPr>
                <w:color w:val="1C3A36"/>
                <w:sz w:val="14"/>
              </w:rPr>
              <w:t>stale_listing_share_count</w:t>
            </w:r>
          </w:p>
        </w:tc>
        <w:tc>
          <w:tcPr>
            <w:tcW w:type="dxa" w:w="1944"/>
          </w:tcPr>
          <w:p>
            <w:pPr>
              <w:spacing w:after="20"/>
              <w:jc w:val="left"/>
            </w:pPr>
            <w:r>
              <w:rPr>
                <w:color w:val="1C3A36"/>
                <w:sz w:val="14"/>
              </w:rPr>
              <w:t>394,042,710</w:t>
            </w:r>
          </w:p>
        </w:tc>
        <w:tc>
          <w:tcPr>
            <w:tcW w:type="dxa" w:w="1224"/>
          </w:tcPr>
          <w:p>
            <w:pPr>
              <w:spacing w:after="20"/>
              <w:jc w:val="left"/>
            </w:pPr>
            <w:r>
              <w:rPr>
                <w:color w:val="1C3A36"/>
                <w:sz w:val="14"/>
              </w:rPr>
              <w:t>shares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A stale exchange listing document surfaced in search — recorded ONLY as a documented discrepancy; it predates the March 2024 capital increase and is not used anywhere</w:t>
            </w:r>
          </w:p>
        </w:tc>
      </w:tr>
    </w:tbl>
    <w:p>
      <w:pPr>
        <w:spacing w:after="40"/>
      </w:pPr>
    </w:p>
    <w:p>
      <w:pPr>
        <w:spacing w:after="100" w:before="160"/>
      </w:pPr>
      <w:r>
        <w:rPr>
          <w:b/>
          <w:i w:val="0"/>
          <w:color w:val="1C3A36"/>
          <w:sz w:val="21"/>
        </w:rPr>
        <w:t>L5 — Constructed in this study  (54 inputs)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944"/>
        <w:gridCol w:w="1224"/>
        <w:gridCol w:w="1152"/>
        <w:gridCol w:w="7344"/>
      </w:tblGrid>
      <w:tr>
        <w:tc>
          <w:tcPr>
            <w:tcW w:type="dxa" w:w="2448"/>
            <w:shd w:val="clear" w:color="auto" w:fill="EAF0EE"/>
          </w:tcPr>
          <w:p>
            <w:pPr>
              <w:spacing w:after="20"/>
              <w:jc w:val="left"/>
            </w:pPr>
            <w:r>
              <w:rPr>
                <w:b/>
                <w:color w:val="1C3A36"/>
                <w:sz w:val="14"/>
              </w:rPr>
              <w:t>Input</w:t>
            </w:r>
          </w:p>
        </w:tc>
        <w:tc>
          <w:tcPr>
            <w:tcW w:type="dxa" w:w="1944"/>
            <w:shd w:val="clear" w:color="auto" w:fill="EAF0EE"/>
          </w:tcPr>
          <w:p>
            <w:pPr>
              <w:spacing w:after="20"/>
              <w:jc w:val="left"/>
            </w:pPr>
            <w:r>
              <w:rPr>
                <w:b/>
                <w:color w:val="1C3A36"/>
                <w:sz w:val="14"/>
              </w:rPr>
              <w:t>Value</w:t>
            </w:r>
          </w:p>
        </w:tc>
        <w:tc>
          <w:tcPr>
            <w:tcW w:type="dxa" w:w="1224"/>
            <w:shd w:val="clear" w:color="auto" w:fill="EAF0EE"/>
          </w:tcPr>
          <w:p>
            <w:pPr>
              <w:spacing w:after="20"/>
              <w:jc w:val="left"/>
            </w:pPr>
            <w:r>
              <w:rPr>
                <w:b/>
                <w:color w:val="1C3A36"/>
                <w:sz w:val="14"/>
              </w:rPr>
              <w:t>Unit</w:t>
            </w:r>
          </w:p>
        </w:tc>
        <w:tc>
          <w:tcPr>
            <w:tcW w:type="dxa" w:w="1152"/>
            <w:shd w:val="clear" w:color="auto" w:fill="EAF0EE"/>
          </w:tcPr>
          <w:p>
            <w:pPr>
              <w:spacing w:after="20"/>
              <w:jc w:val="left"/>
            </w:pPr>
            <w:r>
              <w:rPr>
                <w:b/>
                <w:color w:val="1C3A36"/>
                <w:sz w:val="14"/>
              </w:rPr>
              <w:t>Date</w:t>
            </w:r>
          </w:p>
        </w:tc>
        <w:tc>
          <w:tcPr>
            <w:tcW w:type="dxa" w:w="7344"/>
            <w:shd w:val="clear" w:color="auto" w:fill="EAF0EE"/>
          </w:tcPr>
          <w:p>
            <w:pPr>
              <w:spacing w:after="20"/>
              <w:jc w:val="left"/>
            </w:pPr>
            <w:r>
              <w:rPr>
                <w:b/>
                <w:color w:val="1C3A36"/>
                <w:sz w:val="14"/>
              </w:rPr>
              <w:t>Source and construction</w:t>
            </w:r>
          </w:p>
        </w:tc>
      </w:tr>
      <w:tr>
        <w:tc>
          <w:tcPr>
            <w:tcW w:type="dxa" w:w="2448"/>
          </w:tcPr>
          <w:p>
            <w:pPr>
              <w:spacing w:after="20"/>
              <w:jc w:val="left"/>
            </w:pPr>
            <w:r>
              <w:rPr>
                <w:color w:val="1C3A36"/>
                <w:sz w:val="14"/>
              </w:rPr>
              <w:t>abnormal_gas_path</w:t>
            </w:r>
          </w:p>
        </w:tc>
        <w:tc>
          <w:tcPr>
            <w:tcW w:type="dxa" w:w="1944"/>
          </w:tcPr>
          <w:p>
            <w:pPr>
              <w:spacing w:after="20"/>
              <w:jc w:val="left"/>
            </w:pPr>
            <w:r>
              <w:rPr>
                <w:color w:val="1C3A36"/>
                <w:sz w:val="14"/>
              </w:rPr>
              <w:t>150, 120, 100, 90, 80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Stoppage and abnormal-gas cost, decaying as supply normalises from the EGP 164.5m charged in FY2024/25.</w:t>
            </w:r>
          </w:p>
        </w:tc>
      </w:tr>
      <w:tr>
        <w:tc>
          <w:tcPr>
            <w:tcW w:type="dxa" w:w="2448"/>
          </w:tcPr>
          <w:p>
            <w:pPr>
              <w:spacing w:after="20"/>
              <w:jc w:val="left"/>
            </w:pPr>
            <w:r>
              <w:rPr>
                <w:color w:val="1C3A36"/>
                <w:sz w:val="14"/>
              </w:rPr>
              <w:t>ammonia_per_urea</w:t>
            </w:r>
          </w:p>
        </w:tc>
        <w:tc>
          <w:tcPr>
            <w:tcW w:type="dxa" w:w="1944"/>
          </w:tcPr>
          <w:p>
            <w:pPr>
              <w:spacing w:after="20"/>
              <w:jc w:val="left"/>
            </w:pPr>
            <w:r>
              <w:rPr>
                <w:color w:val="1C3A36"/>
                <w:sz w:val="14"/>
              </w:rPr>
              <w:t>0.6199</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FY2024/25 ammonia output divided by FY2024/25 urea output, both from the auditor's product cost table</w:t>
            </w:r>
          </w:p>
        </w:tc>
      </w:tr>
      <w:tr>
        <w:tc>
          <w:tcPr>
            <w:tcW w:type="dxa" w:w="2448"/>
          </w:tcPr>
          <w:p>
            <w:pPr>
              <w:spacing w:after="20"/>
              <w:jc w:val="left"/>
            </w:pPr>
            <w:r>
              <w:rPr>
                <w:color w:val="1C3A36"/>
                <w:sz w:val="14"/>
              </w:rPr>
              <w:t>an_path</w:t>
            </w:r>
          </w:p>
        </w:tc>
        <w:tc>
          <w:tcPr>
            <w:tcW w:type="dxa" w:w="1944"/>
          </w:tcPr>
          <w:p>
            <w:pPr>
              <w:spacing w:after="20"/>
              <w:jc w:val="left"/>
            </w:pPr>
            <w:r>
              <w:rPr>
                <w:color w:val="1C3A36"/>
                <w:sz w:val="14"/>
              </w:rPr>
              <w:t>2.6e+04, 2.6e+04, 2.6e+04, 2.6e+04, 2.6e+04</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Nitrate volume path, flat on the FY2024/25 combined granulated and low-density output.</w:t>
            </w:r>
          </w:p>
        </w:tc>
      </w:tr>
      <w:tr>
        <w:tc>
          <w:tcPr>
            <w:tcW w:type="dxa" w:w="2448"/>
          </w:tcPr>
          <w:p>
            <w:pPr>
              <w:spacing w:after="20"/>
              <w:jc w:val="left"/>
            </w:pPr>
            <w:r>
              <w:rPr>
                <w:color w:val="1C3A36"/>
                <w:sz w:val="14"/>
              </w:rPr>
              <w:t>an_price_egp_t_FY2425</w:t>
            </w:r>
          </w:p>
        </w:tc>
        <w:tc>
          <w:tcPr>
            <w:tcW w:type="dxa" w:w="1944"/>
          </w:tcPr>
          <w:p>
            <w:pPr>
              <w:spacing w:after="20"/>
              <w:jc w:val="left"/>
            </w:pPr>
            <w:r>
              <w:rPr>
                <w:color w:val="1C3A36"/>
                <w:sz w:val="14"/>
              </w:rPr>
              <w:t>20,000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2025-09-24</w:t>
            </w:r>
          </w:p>
        </w:tc>
        <w:tc>
          <w:tcPr>
            <w:tcW w:type="dxa" w:w="7344"/>
          </w:tcPr>
          <w:p>
            <w:pPr>
              <w:spacing w:after="20"/>
              <w:jc w:val="left"/>
            </w:pPr>
            <w:r>
              <w:rPr>
                <w:color w:val="1C3A36"/>
                <w:sz w:val="14"/>
              </w:rPr>
              <w:t>Audited financial statements, year ended 30 June 2025 (Central Auditing Organization, report dated 23 September 2025), note 20 local revenue less the subsidised and free-market urea legs, over the combined nitrate tonnage</w:t>
            </w:r>
          </w:p>
        </w:tc>
      </w:tr>
      <w:tr>
        <w:tc>
          <w:tcPr>
            <w:tcW w:type="dxa" w:w="2448"/>
          </w:tcPr>
          <w:p>
            <w:pPr>
              <w:spacing w:after="20"/>
              <w:jc w:val="left"/>
            </w:pPr>
            <w:r>
              <w:rPr>
                <w:color w:val="1C3A36"/>
                <w:sz w:val="14"/>
              </w:rPr>
              <w:t>an_t_FY2526E</w:t>
            </w:r>
          </w:p>
        </w:tc>
        <w:tc>
          <w:tcPr>
            <w:tcW w:type="dxa" w:w="1944"/>
          </w:tcPr>
          <w:p>
            <w:pPr>
              <w:spacing w:after="20"/>
              <w:jc w:val="left"/>
            </w:pPr>
            <w:r>
              <w:rPr>
                <w:color w:val="1C3A36"/>
                <w:sz w:val="14"/>
              </w:rPr>
              <w:t>26,000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Nitrate output for the study year, from the nine-month reviewed accounts and the disclosed quarterly detail</w:t>
            </w:r>
          </w:p>
        </w:tc>
      </w:tr>
      <w:tr>
        <w:tc>
          <w:tcPr>
            <w:tcW w:type="dxa" w:w="2448"/>
          </w:tcPr>
          <w:p>
            <w:pPr>
              <w:spacing w:after="20"/>
              <w:jc w:val="left"/>
            </w:pPr>
            <w:r>
              <w:rPr>
                <w:color w:val="1C3A36"/>
                <w:sz w:val="14"/>
              </w:rPr>
              <w:t>anna_capex_path</w:t>
            </w:r>
          </w:p>
        </w:tc>
        <w:tc>
          <w:tcPr>
            <w:tcW w:type="dxa" w:w="1944"/>
          </w:tcPr>
          <w:p>
            <w:pPr>
              <w:spacing w:after="20"/>
              <w:jc w:val="left"/>
            </w:pPr>
            <w:r>
              <w:rPr>
                <w:color w:val="1C3A36"/>
                <w:sz w:val="14"/>
              </w:rPr>
              <w:t>3,000, 3,500, 3,500, 3,000, 2,000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Project spending path against the bank-approved cost and the observed pace: construction in progress moved from EGP 3,790m to EGP 5,654m over nine months.</w:t>
            </w:r>
          </w:p>
        </w:tc>
      </w:tr>
      <w:tr>
        <w:tc>
          <w:tcPr>
            <w:tcW w:type="dxa" w:w="2448"/>
          </w:tcPr>
          <w:p>
            <w:pPr>
              <w:spacing w:after="20"/>
              <w:jc w:val="left"/>
            </w:pPr>
            <w:r>
              <w:rPr>
                <w:color w:val="1C3A36"/>
                <w:sz w:val="14"/>
              </w:rPr>
              <w:t>anna_cash_margin</w:t>
            </w:r>
          </w:p>
        </w:tc>
        <w:tc>
          <w:tcPr>
            <w:tcW w:type="dxa" w:w="1944"/>
          </w:tcPr>
          <w:p>
            <w:pPr>
              <w:spacing w:after="20"/>
              <w:jc w:val="left"/>
            </w:pPr>
            <w:r>
              <w:rPr>
                <w:color w:val="1C3A36"/>
                <w:sz w:val="14"/>
              </w:rPr>
              <w:t>0.32</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Conversion margin on ammonium nitrate over its own ammonia feedstock</w:t>
            </w:r>
          </w:p>
        </w:tc>
      </w:tr>
      <w:tr>
        <w:tc>
          <w:tcPr>
            <w:tcW w:type="dxa" w:w="2448"/>
          </w:tcPr>
          <w:p>
            <w:pPr>
              <w:spacing w:after="20"/>
              <w:jc w:val="left"/>
            </w:pPr>
            <w:r>
              <w:rPr>
                <w:color w:val="1C3A36"/>
                <w:sz w:val="14"/>
              </w:rPr>
              <w:t>anna_nameplate</w:t>
            </w:r>
          </w:p>
        </w:tc>
        <w:tc>
          <w:tcPr>
            <w:tcW w:type="dxa" w:w="1944"/>
          </w:tcPr>
          <w:p>
            <w:pPr>
              <w:spacing w:after="20"/>
              <w:jc w:val="left"/>
            </w:pPr>
            <w:r>
              <w:rPr>
                <w:color w:val="1C3A36"/>
                <w:sz w:val="14"/>
              </w:rPr>
              <w:t>189,863</w:t>
            </w:r>
          </w:p>
        </w:tc>
        <w:tc>
          <w:tcPr>
            <w:tcW w:type="dxa" w:w="1224"/>
          </w:tcPr>
          <w:p>
            <w:pPr>
              <w:spacing w:after="20"/>
              <w:jc w:val="left"/>
            </w:pPr>
            <w:r>
              <w:rPr>
                <w:color w:val="1C3A36"/>
                <w:sz w:val="14"/>
              </w:rPr>
              <w:t>tonnes/year</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and FLAGGED: no filing states the new plant's capacity. It is the ammonia design plate less the draw of urea at ITS design plate, converted at the ratio above.</w:t>
            </w:r>
          </w:p>
        </w:tc>
      </w:tr>
      <w:tr>
        <w:tc>
          <w:tcPr>
            <w:tcW w:type="dxa" w:w="2448"/>
          </w:tcPr>
          <w:p>
            <w:pPr>
              <w:spacing w:after="20"/>
              <w:jc w:val="left"/>
            </w:pPr>
            <w:r>
              <w:rPr>
                <w:color w:val="1C3A36"/>
                <w:sz w:val="14"/>
              </w:rPr>
              <w:t>anna_util_base</w:t>
            </w:r>
          </w:p>
        </w:tc>
        <w:tc>
          <w:tcPr>
            <w:tcW w:type="dxa" w:w="1944"/>
          </w:tcPr>
          <w:p>
            <w:pPr>
              <w:spacing w:after="20"/>
              <w:jc w:val="left"/>
            </w:pPr>
            <w:r>
              <w:rPr>
                <w:color w:val="1C3A36"/>
                <w:sz w:val="14"/>
              </w:rPr>
              <w:t>0.5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Project utilisation in the terminal year, central case</w:t>
            </w:r>
          </w:p>
        </w:tc>
      </w:tr>
      <w:tr>
        <w:tc>
          <w:tcPr>
            <w:tcW w:type="dxa" w:w="2448"/>
          </w:tcPr>
          <w:p>
            <w:pPr>
              <w:spacing w:after="20"/>
              <w:jc w:val="left"/>
            </w:pPr>
            <w:r>
              <w:rPr>
                <w:color w:val="1C3A36"/>
                <w:sz w:val="14"/>
              </w:rPr>
              <w:t>anna_util_bull</w:t>
            </w:r>
          </w:p>
        </w:tc>
        <w:tc>
          <w:tcPr>
            <w:tcW w:type="dxa" w:w="1944"/>
          </w:tcPr>
          <w:p>
            <w:pPr>
              <w:spacing w:after="20"/>
              <w:jc w:val="left"/>
            </w:pPr>
            <w:r>
              <w:rPr>
                <w:color w:val="1C3A36"/>
                <w:sz w:val="14"/>
              </w:rPr>
              <w:t>0.7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Project utilisation in the terminal year, upside case</w:t>
            </w:r>
          </w:p>
        </w:tc>
      </w:tr>
      <w:tr>
        <w:tc>
          <w:tcPr>
            <w:tcW w:type="dxa" w:w="2448"/>
          </w:tcPr>
          <w:p>
            <w:pPr>
              <w:spacing w:after="20"/>
              <w:jc w:val="left"/>
            </w:pPr>
            <w:r>
              <w:rPr>
                <w:color w:val="1C3A36"/>
                <w:sz w:val="14"/>
              </w:rPr>
              <w:t>anna_winddown_cost</w:t>
            </w:r>
          </w:p>
        </w:tc>
        <w:tc>
          <w:tcPr>
            <w:tcW w:type="dxa" w:w="1944"/>
          </w:tcPr>
          <w:p>
            <w:pPr>
              <w:spacing w:after="20"/>
              <w:jc w:val="left"/>
            </w:pPr>
            <w:r>
              <w:rPr>
                <w:color w:val="1C3A36"/>
                <w:sz w:val="14"/>
              </w:rPr>
              <w:t>1,000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Capital-discipline case only: the cost of stopping the programme in the first forecast year — contract settlement and site preservation. No filing states it; it is the study's estimate and is flagged.</w:t>
            </w:r>
          </w:p>
        </w:tc>
      </w:tr>
      <w:tr>
        <w:tc>
          <w:tcPr>
            <w:tcW w:type="dxa" w:w="2448"/>
          </w:tcPr>
          <w:p>
            <w:pPr>
              <w:spacing w:after="20"/>
              <w:jc w:val="left"/>
            </w:pPr>
            <w:r>
              <w:rPr>
                <w:color w:val="1C3A36"/>
                <w:sz w:val="14"/>
              </w:rPr>
              <w:t>cpi_path</w:t>
            </w:r>
          </w:p>
        </w:tc>
        <w:tc>
          <w:tcPr>
            <w:tcW w:type="dxa" w:w="1944"/>
          </w:tcPr>
          <w:p>
            <w:pPr>
              <w:spacing w:after="20"/>
              <w:jc w:val="left"/>
            </w:pPr>
            <w:r>
              <w:rPr>
                <w:color w:val="1C3A36"/>
                <w:sz w:val="14"/>
              </w:rPr>
              <w:t>0.1, 0.085, 0.075, 0.07, 0.07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Domestic inflation converging from the June 2026 print on the central bank's target.</w:t>
            </w:r>
          </w:p>
        </w:tc>
      </w:tr>
      <w:tr>
        <w:tc>
          <w:tcPr>
            <w:tcW w:type="dxa" w:w="2448"/>
          </w:tcPr>
          <w:p>
            <w:pPr>
              <w:spacing w:after="20"/>
              <w:jc w:val="left"/>
            </w:pPr>
            <w:r>
              <w:rPr>
                <w:color w:val="1C3A36"/>
                <w:sz w:val="14"/>
              </w:rPr>
              <w:t>design_urea_tpy</w:t>
            </w:r>
          </w:p>
        </w:tc>
        <w:tc>
          <w:tcPr>
            <w:tcW w:type="dxa" w:w="1944"/>
          </w:tcPr>
          <w:p>
            <w:pPr>
              <w:spacing w:after="20"/>
              <w:jc w:val="left"/>
            </w:pPr>
            <w:r>
              <w:rPr>
                <w:color w:val="1C3A36"/>
                <w:sz w:val="14"/>
              </w:rPr>
              <w:t>574,875</w:t>
            </w:r>
          </w:p>
        </w:tc>
        <w:tc>
          <w:tcPr>
            <w:tcW w:type="dxa" w:w="1224"/>
          </w:tcPr>
          <w:p>
            <w:pPr>
              <w:spacing w:after="20"/>
              <w:jc w:val="left"/>
            </w:pPr>
            <w:r>
              <w:rPr>
                <w:color w:val="1C3A36"/>
                <w:sz w:val="14"/>
              </w:rPr>
              <w:t>tonnes/year</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1,575 t/day contractual plate times 365 days</w:t>
            </w:r>
          </w:p>
        </w:tc>
      </w:tr>
      <w:tr>
        <w:tc>
          <w:tcPr>
            <w:tcW w:type="dxa" w:w="2448"/>
          </w:tcPr>
          <w:p>
            <w:pPr>
              <w:spacing w:after="20"/>
              <w:jc w:val="left"/>
            </w:pPr>
            <w:r>
              <w:rPr>
                <w:color w:val="1C3A36"/>
                <w:sz w:val="14"/>
              </w:rPr>
              <w:t>dimson_sum_beta</w:t>
            </w:r>
          </w:p>
        </w:tc>
        <w:tc>
          <w:tcPr>
            <w:tcW w:type="dxa" w:w="1944"/>
          </w:tcPr>
          <w:p>
            <w:pPr>
              <w:spacing w:after="20"/>
              <w:jc w:val="left"/>
            </w:pPr>
            <w:r>
              <w:rPr>
                <w:color w:val="1C3A36"/>
                <w:sz w:val="14"/>
              </w:rPr>
              <w:t>0.8276</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Dimson sum-beta over one lead, the contemporaneous term and two lags of the same weekly regression — the thin-trading correction, carried as the beta alternative</w:t>
            </w:r>
          </w:p>
        </w:tc>
      </w:tr>
      <w:tr>
        <w:tc>
          <w:tcPr>
            <w:tcW w:type="dxa" w:w="2448"/>
          </w:tcPr>
          <w:p>
            <w:pPr>
              <w:spacing w:after="20"/>
              <w:jc w:val="left"/>
            </w:pPr>
            <w:r>
              <w:rPr>
                <w:color w:val="1C3A36"/>
                <w:sz w:val="14"/>
              </w:rPr>
              <w:t>dio</w:t>
            </w:r>
          </w:p>
        </w:tc>
        <w:tc>
          <w:tcPr>
            <w:tcW w:type="dxa" w:w="1944"/>
          </w:tcPr>
          <w:p>
            <w:pPr>
              <w:spacing w:after="20"/>
              <w:jc w:val="left"/>
            </w:pPr>
            <w:r>
              <w:rPr>
                <w:color w:val="1C3A36"/>
                <w:sz w:val="14"/>
              </w:rPr>
              <w:t>165.2475</w:t>
            </w:r>
          </w:p>
        </w:tc>
        <w:tc>
          <w:tcPr>
            <w:tcW w:type="dxa" w:w="1224"/>
          </w:tcPr>
          <w:p>
            <w:pPr>
              <w:spacing w:after="20"/>
              <w:jc w:val="left"/>
            </w:pPr>
            <w:r>
              <w:rPr>
                <w:color w:val="1C3A36"/>
                <w:sz w:val="14"/>
              </w:rPr>
              <w:t>days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FY2024/25 inventory over cost of sales</w:t>
            </w:r>
          </w:p>
        </w:tc>
      </w:tr>
      <w:tr>
        <w:tc>
          <w:tcPr>
            <w:tcW w:type="dxa" w:w="2448"/>
          </w:tcPr>
          <w:p>
            <w:pPr>
              <w:spacing w:after="20"/>
              <w:jc w:val="left"/>
            </w:pPr>
            <w:r>
              <w:rPr>
                <w:color w:val="1C3A36"/>
                <w:sz w:val="14"/>
              </w:rPr>
              <w:t>dpo</w:t>
            </w:r>
          </w:p>
        </w:tc>
        <w:tc>
          <w:tcPr>
            <w:tcW w:type="dxa" w:w="1944"/>
          </w:tcPr>
          <w:p>
            <w:pPr>
              <w:spacing w:after="20"/>
              <w:jc w:val="left"/>
            </w:pPr>
            <w:r>
              <w:rPr>
                <w:color w:val="1C3A36"/>
                <w:sz w:val="14"/>
              </w:rPr>
              <w:t>83.1716</w:t>
            </w:r>
          </w:p>
        </w:tc>
        <w:tc>
          <w:tcPr>
            <w:tcW w:type="dxa" w:w="1224"/>
          </w:tcPr>
          <w:p>
            <w:pPr>
              <w:spacing w:after="20"/>
              <w:jc w:val="left"/>
            </w:pPr>
            <w:r>
              <w:rPr>
                <w:color w:val="1C3A36"/>
                <w:sz w:val="14"/>
              </w:rPr>
              <w:t>days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FY2024/25 payables over cost of sales</w:t>
            </w:r>
          </w:p>
        </w:tc>
      </w:tr>
      <w:tr>
        <w:tc>
          <w:tcPr>
            <w:tcW w:type="dxa" w:w="2448"/>
          </w:tcPr>
          <w:p>
            <w:pPr>
              <w:spacing w:after="20"/>
              <w:jc w:val="left"/>
            </w:pPr>
            <w:r>
              <w:rPr>
                <w:color w:val="1C3A36"/>
                <w:sz w:val="14"/>
              </w:rPr>
              <w:t>dso</w:t>
            </w:r>
          </w:p>
        </w:tc>
        <w:tc>
          <w:tcPr>
            <w:tcW w:type="dxa" w:w="1944"/>
          </w:tcPr>
          <w:p>
            <w:pPr>
              <w:spacing w:after="20"/>
              <w:jc w:val="left"/>
            </w:pPr>
            <w:r>
              <w:rPr>
                <w:color w:val="1C3A36"/>
                <w:sz w:val="14"/>
              </w:rPr>
              <w:t>26.7747</w:t>
            </w:r>
          </w:p>
        </w:tc>
        <w:tc>
          <w:tcPr>
            <w:tcW w:type="dxa" w:w="1224"/>
          </w:tcPr>
          <w:p>
            <w:pPr>
              <w:spacing w:after="20"/>
              <w:jc w:val="left"/>
            </w:pPr>
            <w:r>
              <w:rPr>
                <w:color w:val="1C3A36"/>
                <w:sz w:val="14"/>
              </w:rPr>
              <w:t>days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FY2024/25 receivables over revenue</w:t>
            </w:r>
          </w:p>
        </w:tc>
      </w:tr>
      <w:tr>
        <w:tc>
          <w:tcPr>
            <w:tcW w:type="dxa" w:w="2448"/>
          </w:tcPr>
          <w:p>
            <w:pPr>
              <w:spacing w:after="20"/>
              <w:jc w:val="left"/>
            </w:pPr>
            <w:r>
              <w:rPr>
                <w:color w:val="1C3A36"/>
                <w:sz w:val="14"/>
              </w:rPr>
              <w:t>expected_depreciation</w:t>
            </w:r>
          </w:p>
        </w:tc>
        <w:tc>
          <w:tcPr>
            <w:tcW w:type="dxa" w:w="1944"/>
          </w:tcPr>
          <w:p>
            <w:pPr>
              <w:spacing w:after="20"/>
              <w:jc w:val="left"/>
            </w:pPr>
            <w:r>
              <w:rPr>
                <w:color w:val="1C3A36"/>
                <w:sz w:val="14"/>
              </w:rPr>
              <w:t>0.045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the central bank's 7% inflation target against about 2.4% in the United States. The SAME wedge drives the currency path in the revenue build, so the two cannot diverge.</w:t>
            </w:r>
          </w:p>
        </w:tc>
      </w:tr>
      <w:tr>
        <w:tc>
          <w:tcPr>
            <w:tcW w:type="dxa" w:w="2448"/>
          </w:tcPr>
          <w:p>
            <w:pPr>
              <w:spacing w:after="20"/>
              <w:jc w:val="left"/>
            </w:pPr>
            <w:r>
              <w:rPr>
                <w:color w:val="1C3A36"/>
                <w:sz w:val="14"/>
              </w:rPr>
              <w:t>export_tonnes_FY2425</w:t>
            </w:r>
          </w:p>
        </w:tc>
        <w:tc>
          <w:tcPr>
            <w:tcW w:type="dxa" w:w="1944"/>
          </w:tcPr>
          <w:p>
            <w:pPr>
              <w:spacing w:after="20"/>
              <w:jc w:val="left"/>
            </w:pPr>
            <w:r>
              <w:rPr>
                <w:color w:val="1C3A36"/>
                <w:sz w:val="14"/>
              </w:rPr>
              <w:t>350,318</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note 20 export revenue divided by the auditor's disclosed average export price of US$385/t at an average rate of 49.0 — reconciles to 350.3kt</w:t>
            </w:r>
          </w:p>
        </w:tc>
      </w:tr>
      <w:tr>
        <w:tc>
          <w:tcPr>
            <w:tcW w:type="dxa" w:w="2448"/>
          </w:tcPr>
          <w:p>
            <w:pPr>
              <w:spacing w:after="20"/>
              <w:jc w:val="left"/>
            </w:pPr>
            <w:r>
              <w:rPr>
                <w:color w:val="1C3A36"/>
                <w:sz w:val="14"/>
              </w:rPr>
              <w:t>export_usd_FY2526E</w:t>
            </w:r>
          </w:p>
        </w:tc>
        <w:tc>
          <w:tcPr>
            <w:tcW w:type="dxa" w:w="1944"/>
          </w:tcPr>
          <w:p>
            <w:pPr>
              <w:spacing w:after="20"/>
              <w:jc w:val="left"/>
            </w:pPr>
            <w:r>
              <w:rPr>
                <w:color w:val="1C3A36"/>
                <w:sz w:val="14"/>
              </w:rPr>
              <w:t>505</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Study-year export price: the auditor's disclosed first-quarter increase of 43% on the FY2024/25 realised price, moderated toward the forward curve, from the nine-month reviewed accounts and the disclosed quarterly detail</w:t>
            </w:r>
          </w:p>
        </w:tc>
      </w:tr>
      <w:tr>
        <w:tc>
          <w:tcPr>
            <w:tcW w:type="dxa" w:w="2448"/>
          </w:tcPr>
          <w:p>
            <w:pPr>
              <w:spacing w:after="20"/>
              <w:jc w:val="left"/>
            </w:pPr>
            <w:r>
              <w:rPr>
                <w:color w:val="1C3A36"/>
                <w:sz w:val="14"/>
              </w:rPr>
              <w:t>export_usd_path</w:t>
            </w:r>
          </w:p>
        </w:tc>
        <w:tc>
          <w:tcPr>
            <w:tcW w:type="dxa" w:w="1944"/>
          </w:tcPr>
          <w:p>
            <w:pPr>
              <w:spacing w:after="20"/>
              <w:jc w:val="left"/>
            </w:pPr>
            <w:r>
              <w:rPr>
                <w:color w:val="1C3A36"/>
                <w:sz w:val="14"/>
              </w:rPr>
              <w:t>530, 500, 470, 450, 440</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Export price path, mean-reverting from the August 2026 quote toward the cash cost of the marginal gas-based producer.</w:t>
            </w:r>
          </w:p>
        </w:tc>
      </w:tr>
      <w:tr>
        <w:tc>
          <w:tcPr>
            <w:tcW w:type="dxa" w:w="2448"/>
          </w:tcPr>
          <w:p>
            <w:pPr>
              <w:spacing w:after="20"/>
              <w:jc w:val="left"/>
            </w:pPr>
            <w:r>
              <w:rPr>
                <w:color w:val="1C3A36"/>
                <w:sz w:val="14"/>
              </w:rPr>
              <w:t>export_usd_path_bull</w:t>
            </w:r>
          </w:p>
        </w:tc>
        <w:tc>
          <w:tcPr>
            <w:tcW w:type="dxa" w:w="1944"/>
          </w:tcPr>
          <w:p>
            <w:pPr>
              <w:spacing w:after="20"/>
              <w:jc w:val="left"/>
            </w:pPr>
            <w:r>
              <w:rPr>
                <w:color w:val="1C3A36"/>
                <w:sz w:val="14"/>
              </w:rPr>
              <w:t>560, 545, 530, 520, 515</w:t>
            </w:r>
          </w:p>
        </w:tc>
        <w:tc>
          <w:tcPr>
            <w:tcW w:type="dxa" w:w="1224"/>
          </w:tcPr>
          <w:p>
            <w:pPr>
              <w:spacing w:after="20"/>
              <w:jc w:val="left"/>
            </w:pPr>
            <w:r>
              <w:rPr>
                <w:color w:val="1C3A36"/>
                <w:sz w:val="14"/>
              </w:rPr>
              <w:t>US$/t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Upside export price path: urea holds nearer the August 2026 quote.</w:t>
            </w:r>
          </w:p>
        </w:tc>
      </w:tr>
      <w:tr>
        <w:tc>
          <w:tcPr>
            <w:tcW w:type="dxa" w:w="2448"/>
          </w:tcPr>
          <w:p>
            <w:pPr>
              <w:spacing w:after="20"/>
              <w:jc w:val="left"/>
            </w:pPr>
            <w:r>
              <w:rPr>
                <w:color w:val="1C3A36"/>
                <w:sz w:val="14"/>
              </w:rPr>
              <w:t>g_terminal</w:t>
            </w:r>
          </w:p>
        </w:tc>
        <w:tc>
          <w:tcPr>
            <w:tcW w:type="dxa" w:w="1944"/>
          </w:tcPr>
          <w:p>
            <w:pPr>
              <w:spacing w:after="20"/>
              <w:jc w:val="left"/>
            </w:pPr>
            <w:r>
              <w:rPr>
                <w:color w:val="1C3A36"/>
                <w:sz w:val="14"/>
              </w:rPr>
              <w:t>0.07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Terminal growth set at the central bank's medium-term inflation target: nominal maintenance growth, no real growth assumed</w:t>
            </w:r>
          </w:p>
        </w:tc>
      </w:tr>
      <w:tr>
        <w:tc>
          <w:tcPr>
            <w:tcW w:type="dxa" w:w="2448"/>
          </w:tcPr>
          <w:p>
            <w:pPr>
              <w:spacing w:after="20"/>
              <w:jc w:val="left"/>
            </w:pPr>
            <w:r>
              <w:rPr>
                <w:color w:val="1C3A36"/>
                <w:sz w:val="14"/>
              </w:rPr>
              <w:t>g_terminal_alt</w:t>
            </w:r>
          </w:p>
        </w:tc>
        <w:tc>
          <w:tcPr>
            <w:tcW w:type="dxa" w:w="1944"/>
          </w:tcPr>
          <w:p>
            <w:pPr>
              <w:spacing w:after="20"/>
              <w:jc w:val="left"/>
            </w:pPr>
            <w:r>
              <w:rPr>
                <w:color w:val="1C3A36"/>
                <w:sz w:val="14"/>
              </w:rPr>
              <w:t>0.05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The alternative terminal growth rate: two points below the inflation target, which is negative real maintenance growth</w:t>
            </w:r>
          </w:p>
        </w:tc>
      </w:tr>
      <w:tr>
        <w:tc>
          <w:tcPr>
            <w:tcW w:type="dxa" w:w="2448"/>
          </w:tcPr>
          <w:p>
            <w:pPr>
              <w:spacing w:after="20"/>
              <w:jc w:val="left"/>
            </w:pPr>
            <w:r>
              <w:rPr>
                <w:color w:val="1C3A36"/>
                <w:sz w:val="14"/>
              </w:rPr>
              <w:t>gas_m3_per_t_ammonia_modelled</w:t>
            </w:r>
          </w:p>
        </w:tc>
        <w:tc>
          <w:tcPr>
            <w:tcW w:type="dxa" w:w="1944"/>
          </w:tcPr>
          <w:p>
            <w:pPr>
              <w:spacing w:after="20"/>
              <w:jc w:val="left"/>
            </w:pPr>
            <w:r>
              <w:rPr>
                <w:color w:val="1C3A36"/>
                <w:sz w:val="14"/>
              </w:rPr>
              <w:t>1,292</w:t>
            </w:r>
          </w:p>
        </w:tc>
        <w:tc>
          <w:tcPr>
            <w:tcW w:type="dxa" w:w="1224"/>
          </w:tcPr>
          <w:p>
            <w:pPr>
              <w:spacing w:after="20"/>
              <w:jc w:val="left"/>
            </w:pPr>
            <w:r>
              <w:rPr>
                <w:color w:val="1C3A36"/>
                <w:sz w:val="14"/>
              </w:rPr>
              <w:t>m3/t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and FLAGGED: implied by setting gas at three quarters of the single disclosed materials line; inside the auditor's own disclosed 1,025-1,771 range</w:t>
            </w:r>
          </w:p>
        </w:tc>
      </w:tr>
      <w:tr>
        <w:tc>
          <w:tcPr>
            <w:tcW w:type="dxa" w:w="2448"/>
          </w:tcPr>
          <w:p>
            <w:pPr>
              <w:spacing w:after="20"/>
              <w:jc w:val="left"/>
            </w:pPr>
            <w:r>
              <w:rPr>
                <w:color w:val="1C3A36"/>
                <w:sz w:val="14"/>
              </w:rPr>
              <w:t>gas_realised_usd_mmbtu</w:t>
            </w:r>
          </w:p>
        </w:tc>
        <w:tc>
          <w:tcPr>
            <w:tcW w:type="dxa" w:w="1944"/>
          </w:tcPr>
          <w:p>
            <w:pPr>
              <w:spacing w:after="20"/>
              <w:jc w:val="left"/>
            </w:pPr>
            <w:r>
              <w:rPr>
                <w:color w:val="1C3A36"/>
                <w:sz w:val="14"/>
              </w:rPr>
              <w:t>4.68</w:t>
            </w:r>
          </w:p>
        </w:tc>
        <w:tc>
          <w:tcPr>
            <w:tcW w:type="dxa" w:w="1224"/>
          </w:tcPr>
          <w:p>
            <w:pPr>
              <w:spacing w:after="20"/>
              <w:jc w:val="left"/>
            </w:pPr>
            <w:r>
              <w:rPr>
                <w:color w:val="1C3A36"/>
                <w:sz w:val="14"/>
              </w:rPr>
              <w:t>US$/mmBtu</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the company's own Q1 disclosure values 31,313,235 m3 of lost gas at EGP 251m, or EGP 8.016/m3, which converts to about US$4.68/mmBtu at the prevailing rate — below the US$5.75 contract price, which the study carries as its downside case</w:t>
            </w:r>
          </w:p>
        </w:tc>
      </w:tr>
      <w:tr>
        <w:tc>
          <w:tcPr>
            <w:tcW w:type="dxa" w:w="2448"/>
          </w:tcPr>
          <w:p>
            <w:pPr>
              <w:spacing w:after="20"/>
              <w:jc w:val="left"/>
            </w:pPr>
            <w:r>
              <w:rPr>
                <w:color w:val="1C3A36"/>
                <w:sz w:val="14"/>
              </w:rPr>
              <w:t>gas_share_of_materials</w:t>
            </w:r>
          </w:p>
        </w:tc>
        <w:tc>
          <w:tcPr>
            <w:tcW w:type="dxa" w:w="1944"/>
          </w:tcPr>
          <w:p>
            <w:pPr>
              <w:spacing w:after="20"/>
              <w:jc w:val="left"/>
            </w:pPr>
            <w:r>
              <w:rPr>
                <w:color w:val="1C3A36"/>
                <w:sz w:val="14"/>
              </w:rPr>
              <w:t>0.75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and FLAGGED: the statements give a single materials line and do not split gas from the rest. Gas is set at three quarters of that line, which implies 1,292 m3 per tonne of ammonia — inside the auditor's own disclosed 1,025 to 1,771 range. This is the largest modelled allocation in the study.</w:t>
            </w:r>
          </w:p>
        </w:tc>
      </w:tr>
      <w:tr>
        <w:tc>
          <w:tcPr>
            <w:tcW w:type="dxa" w:w="2448"/>
          </w:tcPr>
          <w:p>
            <w:pPr>
              <w:spacing w:after="20"/>
              <w:jc w:val="left"/>
            </w:pPr>
            <w:r>
              <w:rPr>
                <w:color w:val="1C3A36"/>
                <w:sz w:val="14"/>
              </w:rPr>
              <w:t>kd_local</w:t>
            </w:r>
          </w:p>
        </w:tc>
        <w:tc>
          <w:tcPr>
            <w:tcW w:type="dxa" w:w="1944"/>
          </w:tcPr>
          <w:p>
            <w:pPr>
              <w:spacing w:after="20"/>
              <w:jc w:val="left"/>
            </w:pPr>
            <w:r>
              <w:rPr>
                <w:color w:val="1C3A36"/>
                <w:sz w:val="14"/>
              </w:rPr>
              <w:t>0.194</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EGP 96,896,001 of interest on the EGP 500,000,000 holding-company facility drawn in FY2024/25 — the company's own latest local borrowing</w:t>
            </w:r>
          </w:p>
        </w:tc>
      </w:tr>
      <w:tr>
        <w:tc>
          <w:tcPr>
            <w:tcW w:type="dxa" w:w="2448"/>
          </w:tcPr>
          <w:p>
            <w:pPr>
              <w:spacing w:after="20"/>
              <w:jc w:val="left"/>
            </w:pPr>
            <w:r>
              <w:rPr>
                <w:color w:val="1C3A36"/>
                <w:sz w:val="14"/>
              </w:rPr>
              <w:t>kd_usd_lt</w:t>
            </w:r>
          </w:p>
        </w:tc>
        <w:tc>
          <w:tcPr>
            <w:tcW w:type="dxa" w:w="1944"/>
          </w:tcPr>
          <w:p>
            <w:pPr>
              <w:spacing w:after="20"/>
              <w:jc w:val="left"/>
            </w:pPr>
            <w:r>
              <w:rPr>
                <w:color w:val="1C3A36"/>
                <w:sz w:val="14"/>
              </w:rPr>
              <w:t>0.09</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Long-run corporate dollar cost of debt</w:t>
            </w:r>
          </w:p>
        </w:tc>
      </w:tr>
      <w:tr>
        <w:tc>
          <w:tcPr>
            <w:tcW w:type="dxa" w:w="2448"/>
          </w:tcPr>
          <w:p>
            <w:pPr>
              <w:spacing w:after="20"/>
              <w:jc w:val="left"/>
            </w:pPr>
            <w:r>
              <w:rPr>
                <w:color w:val="1C3A36"/>
                <w:sz w:val="14"/>
              </w:rPr>
              <w:t>kd_usd_nominal</w:t>
            </w:r>
          </w:p>
        </w:tc>
        <w:tc>
          <w:tcPr>
            <w:tcW w:type="dxa" w:w="1944"/>
          </w:tcPr>
          <w:p>
            <w:pPr>
              <w:spacing w:after="20"/>
              <w:jc w:val="left"/>
            </w:pPr>
            <w:r>
              <w:rPr>
                <w:color w:val="1C3A36"/>
                <w:sz w:val="14"/>
              </w:rPr>
              <w:t>0.117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EGP 1,338.0m of FY2024/25 interest on a mean dollar balance of about US$233m</w:t>
            </w:r>
          </w:p>
        </w:tc>
      </w:tr>
      <w:tr>
        <w:tc>
          <w:tcPr>
            <w:tcW w:type="dxa" w:w="2448"/>
          </w:tcPr>
          <w:p>
            <w:pPr>
              <w:spacing w:after="20"/>
              <w:jc w:val="left"/>
            </w:pPr>
            <w:r>
              <w:rPr>
                <w:color w:val="1C3A36"/>
                <w:sz w:val="14"/>
              </w:rPr>
              <w:t>local_free_p_FY2526E</w:t>
            </w:r>
          </w:p>
        </w:tc>
        <w:tc>
          <w:tcPr>
            <w:tcW w:type="dxa" w:w="1944"/>
          </w:tcPr>
          <w:p>
            <w:pPr>
              <w:spacing w:after="20"/>
              <w:jc w:val="left"/>
            </w:pPr>
            <w:r>
              <w:rPr>
                <w:color w:val="1C3A36"/>
                <w:sz w:val="14"/>
              </w:rPr>
              <w:t>22,000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Free-market price for the study year, from the nine-month reviewed accounts and the disclosed quarterly detail</w:t>
            </w:r>
          </w:p>
        </w:tc>
      </w:tr>
      <w:tr>
        <w:tc>
          <w:tcPr>
            <w:tcW w:type="dxa" w:w="2448"/>
          </w:tcPr>
          <w:p>
            <w:pPr>
              <w:spacing w:after="20"/>
              <w:jc w:val="left"/>
            </w:pPr>
            <w:r>
              <w:rPr>
                <w:color w:val="1C3A36"/>
                <w:sz w:val="14"/>
              </w:rPr>
              <w:t>local_free_parity</w:t>
            </w:r>
          </w:p>
        </w:tc>
        <w:tc>
          <w:tcPr>
            <w:tcW w:type="dxa" w:w="1944"/>
          </w:tcPr>
          <w:p>
            <w:pPr>
              <w:spacing w:after="20"/>
              <w:jc w:val="left"/>
            </w:pPr>
            <w:r>
              <w:rPr>
                <w:color w:val="1C3A36"/>
                <w:sz w:val="14"/>
              </w:rPr>
              <w:t>0.9</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Local free-market urea clears at about 90% of export parity, implied by the FY2024/25 note-20 local revenue net of the subsidised and nitrate legs</w:t>
            </w:r>
          </w:p>
        </w:tc>
      </w:tr>
      <w:tr>
        <w:tc>
          <w:tcPr>
            <w:tcW w:type="dxa" w:w="2448"/>
          </w:tcPr>
          <w:p>
            <w:pPr>
              <w:spacing w:after="20"/>
              <w:jc w:val="left"/>
            </w:pPr>
            <w:r>
              <w:rPr>
                <w:color w:val="1C3A36"/>
                <w:sz w:val="14"/>
              </w:rPr>
              <w:t>local_free_path</w:t>
            </w:r>
          </w:p>
        </w:tc>
        <w:tc>
          <w:tcPr>
            <w:tcW w:type="dxa" w:w="1944"/>
          </w:tcPr>
          <w:p>
            <w:pPr>
              <w:spacing w:after="20"/>
              <w:jc w:val="left"/>
            </w:pPr>
            <w:r>
              <w:rPr>
                <w:color w:val="1C3A36"/>
                <w:sz w:val="14"/>
              </w:rPr>
              <w:t>4e+04, 4.1e+04, 4.2e+04, 4.3e+04, 4.4e+04</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Local free-market volume path from the 37.1kt implied for FY2024/25.</w:t>
            </w:r>
          </w:p>
        </w:tc>
      </w:tr>
      <w:tr>
        <w:tc>
          <w:tcPr>
            <w:tcW w:type="dxa" w:w="2448"/>
          </w:tcPr>
          <w:p>
            <w:pPr>
              <w:spacing w:after="20"/>
              <w:jc w:val="left"/>
            </w:pPr>
            <w:r>
              <w:rPr>
                <w:color w:val="1C3A36"/>
                <w:sz w:val="14"/>
              </w:rPr>
              <w:t>local_free_price_FY2425</w:t>
            </w:r>
          </w:p>
        </w:tc>
        <w:tc>
          <w:tcPr>
            <w:tcW w:type="dxa" w:w="1944"/>
          </w:tcPr>
          <w:p>
            <w:pPr>
              <w:spacing w:after="20"/>
              <w:jc w:val="left"/>
            </w:pPr>
            <w:r>
              <w:rPr>
                <w:color w:val="1C3A36"/>
                <w:sz w:val="14"/>
              </w:rPr>
              <w:t>18,485</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export parity at the FY2024/25 realised price and rate, times the 90% local clearing ratio</w:t>
            </w:r>
          </w:p>
        </w:tc>
      </w:tr>
      <w:tr>
        <w:tc>
          <w:tcPr>
            <w:tcW w:type="dxa" w:w="2448"/>
          </w:tcPr>
          <w:p>
            <w:pPr>
              <w:spacing w:after="20"/>
              <w:jc w:val="left"/>
            </w:pPr>
            <w:r>
              <w:rPr>
                <w:color w:val="1C3A36"/>
                <w:sz w:val="14"/>
              </w:rPr>
              <w:t>local_free_t_FY2526E</w:t>
            </w:r>
          </w:p>
        </w:tc>
        <w:tc>
          <w:tcPr>
            <w:tcW w:type="dxa" w:w="1944"/>
          </w:tcPr>
          <w:p>
            <w:pPr>
              <w:spacing w:after="20"/>
              <w:jc w:val="left"/>
            </w:pPr>
            <w:r>
              <w:rPr>
                <w:color w:val="1C3A36"/>
                <w:sz w:val="14"/>
              </w:rPr>
              <w:t>40,000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Free-market volume for the study year, from the nine-month reviewed accounts and the disclosed quarterly detail</w:t>
            </w:r>
          </w:p>
        </w:tc>
      </w:tr>
      <w:tr>
        <w:tc>
          <w:tcPr>
            <w:tcW w:type="dxa" w:w="2448"/>
          </w:tcPr>
          <w:p>
            <w:pPr>
              <w:spacing w:after="20"/>
              <w:jc w:val="left"/>
            </w:pPr>
            <w:r>
              <w:rPr>
                <w:color w:val="1C3A36"/>
                <w:sz w:val="14"/>
              </w:rPr>
              <w:t>local_free_tonnes_FY2425</w:t>
            </w:r>
          </w:p>
        </w:tc>
        <w:tc>
          <w:tcPr>
            <w:tcW w:type="dxa" w:w="1944"/>
          </w:tcPr>
          <w:p>
            <w:pPr>
              <w:spacing w:after="20"/>
              <w:jc w:val="left"/>
            </w:pPr>
            <w:r>
              <w:rPr>
                <w:color w:val="1C3A36"/>
                <w:sz w:val="14"/>
              </w:rPr>
              <w:t>37,085</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note 20 local revenue less the subsidised leg, divided by the implied free-market price</w:t>
            </w:r>
          </w:p>
        </w:tc>
      </w:tr>
      <w:tr>
        <w:tc>
          <w:tcPr>
            <w:tcW w:type="dxa" w:w="2448"/>
          </w:tcPr>
          <w:p>
            <w:pPr>
              <w:spacing w:after="20"/>
              <w:jc w:val="left"/>
            </w:pPr>
            <w:r>
              <w:rPr>
                <w:color w:val="1C3A36"/>
                <w:sz w:val="14"/>
              </w:rPr>
              <w:t>maint_capex_pct</w:t>
            </w:r>
          </w:p>
        </w:tc>
        <w:tc>
          <w:tcPr>
            <w:tcW w:type="dxa" w:w="1944"/>
          </w:tcPr>
          <w:p>
            <w:pPr>
              <w:spacing w:after="20"/>
              <w:jc w:val="left"/>
            </w:pPr>
            <w:r>
              <w:rPr>
                <w:color w:val="1C3A36"/>
                <w:sz w:val="14"/>
              </w:rPr>
              <w:t>0.03</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Maintenance capital expenditure as a share of revenue. The pre-project observed run of EGP 42.5-81m was abnormally low on a newly built plant; 3.0% is the mature-plant standard. No guidance exists, so this is sensitised.</w:t>
            </w:r>
          </w:p>
        </w:tc>
      </w:tr>
      <w:tr>
        <w:tc>
          <w:tcPr>
            <w:tcW w:type="dxa" w:w="2448"/>
          </w:tcPr>
          <w:p>
            <w:pPr>
              <w:spacing w:after="20"/>
              <w:jc w:val="left"/>
            </w:pPr>
            <w:r>
              <w:rPr>
                <w:color w:val="1C3A36"/>
                <w:sz w:val="14"/>
              </w:rPr>
              <w:t>mmbtu_per_m3</w:t>
            </w:r>
          </w:p>
        </w:tc>
        <w:tc>
          <w:tcPr>
            <w:tcW w:type="dxa" w:w="1944"/>
          </w:tcPr>
          <w:p>
            <w:pPr>
              <w:spacing w:after="20"/>
              <w:jc w:val="left"/>
            </w:pPr>
            <w:r>
              <w:rPr>
                <w:color w:val="1C3A36"/>
                <w:sz w:val="14"/>
              </w:rPr>
              <w:t>0.0353</w:t>
            </w:r>
          </w:p>
        </w:tc>
        <w:tc>
          <w:tcPr>
            <w:tcW w:type="dxa" w:w="1224"/>
          </w:tcPr>
          <w:p>
            <w:pPr>
              <w:spacing w:after="20"/>
              <w:jc w:val="left"/>
            </w:pPr>
            <w:r>
              <w:rPr>
                <w:color w:val="1C3A36"/>
                <w:sz w:val="14"/>
              </w:rPr>
              <w:t>mmBtu/m3</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Standard gross calorific conversion</w:t>
            </w:r>
          </w:p>
        </w:tc>
      </w:tr>
      <w:tr>
        <w:tc>
          <w:tcPr>
            <w:tcW w:type="dxa" w:w="2448"/>
          </w:tcPr>
          <w:p>
            <w:pPr>
              <w:spacing w:after="20"/>
              <w:jc w:val="left"/>
            </w:pPr>
            <w:r>
              <w:rPr>
                <w:color w:val="1C3A36"/>
                <w:sz w:val="14"/>
              </w:rPr>
              <w:t>nh3_per_t_an</w:t>
            </w:r>
          </w:p>
        </w:tc>
        <w:tc>
          <w:tcPr>
            <w:tcW w:type="dxa" w:w="1944"/>
          </w:tcPr>
          <w:p>
            <w:pPr>
              <w:spacing w:after="20"/>
              <w:jc w:val="left"/>
            </w:pPr>
            <w:r>
              <w:rPr>
                <w:color w:val="1C3A36"/>
                <w:sz w:val="14"/>
              </w:rPr>
              <w:t>0.43</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Ammonia per tonne of ammonium nitrate through the nitric-acid route plus direct neutralisation</w:t>
            </w:r>
          </w:p>
        </w:tc>
      </w:tr>
      <w:tr>
        <w:tc>
          <w:tcPr>
            <w:tcW w:type="dxa" w:w="2448"/>
          </w:tcPr>
          <w:p>
            <w:pPr>
              <w:spacing w:after="20"/>
              <w:jc w:val="left"/>
            </w:pPr>
            <w:r>
              <w:rPr>
                <w:color w:val="1C3A36"/>
                <w:sz w:val="14"/>
              </w:rPr>
              <w:t>other_rev_FY2526E</w:t>
            </w:r>
          </w:p>
        </w:tc>
        <w:tc>
          <w:tcPr>
            <w:tcW w:type="dxa" w:w="1944"/>
          </w:tcPr>
          <w:p>
            <w:pPr>
              <w:spacing w:after="20"/>
              <w:jc w:val="left"/>
            </w:pPr>
            <w:r>
              <w:rPr>
                <w:color w:val="1C3A36"/>
                <w:sz w:val="14"/>
              </w:rPr>
              <w:t>120</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Other revenue for the study year, from the nine-month reviewed accounts and the disclosed quarterly detail</w:t>
            </w:r>
          </w:p>
        </w:tc>
      </w:tr>
      <w:tr>
        <w:tc>
          <w:tcPr>
            <w:tcW w:type="dxa" w:w="2448"/>
          </w:tcPr>
          <w:p>
            <w:pPr>
              <w:spacing w:after="20"/>
              <w:jc w:val="left"/>
            </w:pPr>
            <w:r>
              <w:rPr>
                <w:color w:val="1C3A36"/>
                <w:sz w:val="14"/>
              </w:rPr>
              <w:t>other_rev_path</w:t>
            </w:r>
          </w:p>
        </w:tc>
        <w:tc>
          <w:tcPr>
            <w:tcW w:type="dxa" w:w="1944"/>
          </w:tcPr>
          <w:p>
            <w:pPr>
              <w:spacing w:after="20"/>
              <w:jc w:val="left"/>
            </w:pPr>
            <w:r>
              <w:rPr>
                <w:color w:val="1C3A36"/>
                <w:sz w:val="14"/>
              </w:rPr>
              <w:t>140, 152, 163, 174, 186</w:t>
            </w:r>
          </w:p>
        </w:tc>
        <w:tc>
          <w:tcPr>
            <w:tcW w:type="dxa" w:w="1224"/>
          </w:tcPr>
          <w:p>
            <w:pPr>
              <w:spacing w:after="20"/>
              <w:jc w:val="left"/>
            </w:pPr>
            <w:r>
              <w:rPr>
                <w:color w:val="1C3A36"/>
                <w:sz w:val="14"/>
              </w:rPr>
              <w:t>EGP m</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Merchant nitric acid, the ferrosilicon plant's rent and services.</w:t>
            </w:r>
          </w:p>
        </w:tc>
      </w:tr>
      <w:tr>
        <w:tc>
          <w:tcPr>
            <w:tcW w:type="dxa" w:w="2448"/>
          </w:tcPr>
          <w:p>
            <w:pPr>
              <w:spacing w:after="20"/>
              <w:jc w:val="left"/>
            </w:pPr>
            <w:r>
              <w:rPr>
                <w:color w:val="1C3A36"/>
                <w:sz w:val="14"/>
              </w:rPr>
              <w:t>prod_urea_FY2526E</w:t>
            </w:r>
          </w:p>
        </w:tc>
        <w:tc>
          <w:tcPr>
            <w:tcW w:type="dxa" w:w="1944"/>
          </w:tcPr>
          <w:p>
            <w:pPr>
              <w:spacing w:after="20"/>
              <w:jc w:val="left"/>
            </w:pPr>
            <w:r>
              <w:rPr>
                <w:color w:val="1C3A36"/>
                <w:sz w:val="14"/>
              </w:rPr>
              <w:t>520,000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Nine months reviewed output extended on the fourth-quarter run rate, from the nine-month reviewed accounts and the disclosed quarterly detail</w:t>
            </w:r>
          </w:p>
        </w:tc>
      </w:tr>
      <w:tr>
        <w:tc>
          <w:tcPr>
            <w:tcW w:type="dxa" w:w="2448"/>
          </w:tcPr>
          <w:p>
            <w:pPr>
              <w:spacing w:after="20"/>
              <w:jc w:val="left"/>
            </w:pPr>
            <w:r>
              <w:rPr>
                <w:color w:val="1C3A36"/>
                <w:sz w:val="14"/>
              </w:rPr>
              <w:t>q4_runrate_haircut</w:t>
            </w:r>
          </w:p>
        </w:tc>
        <w:tc>
          <w:tcPr>
            <w:tcW w:type="dxa" w:w="1944"/>
          </w:tcPr>
          <w:p>
            <w:pPr>
              <w:spacing w:after="20"/>
              <w:jc w:val="left"/>
            </w:pPr>
            <w:r>
              <w:rPr>
                <w:color w:val="1C3A36"/>
                <w:sz w:val="14"/>
              </w:rPr>
              <w:t>0.97</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The fourth quarter of FY2025/26 is run-rated on the third quarter's revenue with a 3% haircut for the summer gas curtailment the company discloses every year</w:t>
            </w:r>
          </w:p>
        </w:tc>
      </w:tr>
      <w:tr>
        <w:tc>
          <w:tcPr>
            <w:tcW w:type="dxa" w:w="2448"/>
          </w:tcPr>
          <w:p>
            <w:pPr>
              <w:spacing w:after="20"/>
              <w:jc w:val="left"/>
            </w:pPr>
            <w:r>
              <w:rPr>
                <w:color w:val="1C3A36"/>
                <w:sz w:val="14"/>
              </w:rPr>
              <w:t>real_rate_lt</w:t>
            </w:r>
          </w:p>
        </w:tc>
        <w:tc>
          <w:tcPr>
            <w:tcW w:type="dxa" w:w="1944"/>
          </w:tcPr>
          <w:p>
            <w:pPr>
              <w:spacing w:after="20"/>
              <w:jc w:val="left"/>
            </w:pPr>
            <w:r>
              <w:rPr>
                <w:color w:val="1C3A36"/>
                <w:sz w:val="14"/>
              </w:rPr>
              <w:t>0.035</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Long-run emerging-market real policy rate, used to build the terminal risk-free rate from its own components rather than from a spot yield</w:t>
            </w:r>
          </w:p>
        </w:tc>
      </w:tr>
      <w:tr>
        <w:tc>
          <w:tcPr>
            <w:tcW w:type="dxa" w:w="2448"/>
          </w:tcPr>
          <w:p>
            <w:pPr>
              <w:spacing w:after="20"/>
              <w:jc w:val="left"/>
            </w:pPr>
            <w:r>
              <w:rPr>
                <w:color w:val="1C3A36"/>
                <w:sz w:val="14"/>
              </w:rPr>
              <w:t>roc_terminal</w:t>
            </w:r>
          </w:p>
        </w:tc>
        <w:tc>
          <w:tcPr>
            <w:tcW w:type="dxa" w:w="1944"/>
          </w:tcPr>
          <w:p>
            <w:pPr>
              <w:spacing w:after="20"/>
              <w:jc w:val="left"/>
            </w:pPr>
            <w:r>
              <w:rPr>
                <w:color w:val="1C3A36"/>
                <w:sz w:val="14"/>
              </w:rPr>
              <w:t>0.18</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Terminal return on invested capital, which sets the terminal reinvestment rate as growth divided by return on capital</w:t>
            </w:r>
          </w:p>
        </w:tc>
      </w:tr>
      <w:tr>
        <w:tc>
          <w:tcPr>
            <w:tcW w:type="dxa" w:w="2448"/>
          </w:tcPr>
          <w:p>
            <w:pPr>
              <w:spacing w:after="20"/>
              <w:jc w:val="left"/>
            </w:pPr>
            <w:r>
              <w:rPr>
                <w:color w:val="1C3A36"/>
                <w:sz w:val="14"/>
              </w:rPr>
              <w:t>subsidised_p_FY2526E</w:t>
            </w:r>
          </w:p>
        </w:tc>
        <w:tc>
          <w:tcPr>
            <w:tcW w:type="dxa" w:w="1944"/>
          </w:tcPr>
          <w:p>
            <w:pPr>
              <w:spacing w:after="20"/>
              <w:jc w:val="left"/>
            </w:pPr>
            <w:r>
              <w:rPr>
                <w:color w:val="1C3A36"/>
                <w:sz w:val="14"/>
              </w:rPr>
              <w:t>6,720</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Administered price for the study year, from the nine-month reviewed accounts and the disclosed quarterly detail</w:t>
            </w:r>
          </w:p>
        </w:tc>
      </w:tr>
      <w:tr>
        <w:tc>
          <w:tcPr>
            <w:tcW w:type="dxa" w:w="2448"/>
          </w:tcPr>
          <w:p>
            <w:pPr>
              <w:spacing w:after="20"/>
              <w:jc w:val="left"/>
            </w:pPr>
            <w:r>
              <w:rPr>
                <w:color w:val="1C3A36"/>
                <w:sz w:val="14"/>
              </w:rPr>
              <w:t>subsidised_p_path</w:t>
            </w:r>
          </w:p>
        </w:tc>
        <w:tc>
          <w:tcPr>
            <w:tcW w:type="dxa" w:w="1944"/>
          </w:tcPr>
          <w:p>
            <w:pPr>
              <w:spacing w:after="20"/>
              <w:jc w:val="left"/>
            </w:pPr>
            <w:r>
              <w:rPr>
                <w:color w:val="1C3A36"/>
                <w:sz w:val="14"/>
              </w:rPr>
              <w:t>7,526, 8,429, 9,272, 1.011e+04, 1.092e+04</w:t>
            </w:r>
          </w:p>
        </w:tc>
        <w:tc>
          <w:tcPr>
            <w:tcW w:type="dxa" w:w="1224"/>
          </w:tcPr>
          <w:p>
            <w:pPr>
              <w:spacing w:after="20"/>
              <w:jc w:val="left"/>
            </w:pPr>
            <w:r>
              <w:rPr>
                <w:color w:val="1C3A36"/>
                <w:sz w:val="14"/>
              </w:rPr>
              <w:t>EGP/t</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Administered subsidised price path from the EGP 6,000 cooperative supply price.</w:t>
            </w:r>
          </w:p>
        </w:tc>
      </w:tr>
      <w:tr>
        <w:tc>
          <w:tcPr>
            <w:tcW w:type="dxa" w:w="2448"/>
          </w:tcPr>
          <w:p>
            <w:pPr>
              <w:spacing w:after="20"/>
              <w:jc w:val="left"/>
            </w:pPr>
            <w:r>
              <w:rPr>
                <w:color w:val="1C3A36"/>
                <w:sz w:val="14"/>
              </w:rPr>
              <w:t>subsidised_t_FY2526E</w:t>
            </w:r>
          </w:p>
        </w:tc>
        <w:tc>
          <w:tcPr>
            <w:tcW w:type="dxa" w:w="1944"/>
          </w:tcPr>
          <w:p>
            <w:pPr>
              <w:spacing w:after="20"/>
              <w:jc w:val="left"/>
            </w:pPr>
            <w:r>
              <w:rPr>
                <w:color w:val="1C3A36"/>
                <w:sz w:val="14"/>
              </w:rPr>
              <w:t>150,000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Subsidised deliveries for the study year on the revised quota schedule, from the nine-month reviewed accounts and the disclosed quarterly detail</w:t>
            </w:r>
          </w:p>
        </w:tc>
      </w:tr>
      <w:tr>
        <w:tc>
          <w:tcPr>
            <w:tcW w:type="dxa" w:w="2448"/>
          </w:tcPr>
          <w:p>
            <w:pPr>
              <w:spacing w:after="20"/>
              <w:jc w:val="left"/>
            </w:pPr>
            <w:r>
              <w:rPr>
                <w:color w:val="1C3A36"/>
                <w:sz w:val="14"/>
              </w:rPr>
              <w:t>subsidised_t_path</w:t>
            </w:r>
          </w:p>
        </w:tc>
        <w:tc>
          <w:tcPr>
            <w:tcW w:type="dxa" w:w="1944"/>
          </w:tcPr>
          <w:p>
            <w:pPr>
              <w:spacing w:after="20"/>
              <w:jc w:val="left"/>
            </w:pPr>
            <w:r>
              <w:rPr>
                <w:color w:val="1C3A36"/>
                <w:sz w:val="14"/>
              </w:rPr>
              <w:t>1.55e+05, 1.6e+05, 1.65e+05, 1.7e+05, 1.75e+05</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Subsidised delivery path. The company met 147kt of a 322kt requirement in the fourteen months to August 2025, a 46% compliance rate the forecast does not assume away.</w:t>
            </w:r>
          </w:p>
        </w:tc>
      </w:tr>
      <w:tr>
        <w:tc>
          <w:tcPr>
            <w:tcW w:type="dxa" w:w="2448"/>
          </w:tcPr>
          <w:p>
            <w:pPr>
              <w:spacing w:after="20"/>
              <w:jc w:val="left"/>
            </w:pPr>
            <w:r>
              <w:rPr>
                <w:color w:val="1C3A36"/>
                <w:sz w:val="14"/>
              </w:rPr>
              <w:t>subsidised_tonnes_FY2425</w:t>
            </w:r>
          </w:p>
        </w:tc>
        <w:tc>
          <w:tcPr>
            <w:tcW w:type="dxa" w:w="1944"/>
          </w:tcPr>
          <w:p>
            <w:pPr>
              <w:spacing w:after="20"/>
              <w:jc w:val="left"/>
            </w:pPr>
            <w:r>
              <w:rPr>
                <w:color w:val="1C3A36"/>
                <w:sz w:val="14"/>
              </w:rPr>
              <w:t>126,000</w:t>
            </w:r>
          </w:p>
        </w:tc>
        <w:tc>
          <w:tcPr>
            <w:tcW w:type="dxa" w:w="1224"/>
          </w:tcPr>
          <w:p>
            <w:pPr>
              <w:spacing w:after="20"/>
              <w:jc w:val="left"/>
            </w:pPr>
            <w:r>
              <w:rPr>
                <w:color w:val="1C3A36"/>
                <w:sz w:val="14"/>
              </w:rPr>
              <w:t>tonnes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the auditor's 147kt delivered over fourteen months, annualised</w:t>
            </w:r>
          </w:p>
        </w:tc>
      </w:tr>
      <w:tr>
        <w:tc>
          <w:tcPr>
            <w:tcW w:type="dxa" w:w="2448"/>
          </w:tcPr>
          <w:p>
            <w:pPr>
              <w:spacing w:after="20"/>
              <w:jc w:val="left"/>
            </w:pPr>
            <w:r>
              <w:rPr>
                <w:color w:val="1C3A36"/>
                <w:sz w:val="14"/>
              </w:rPr>
              <w:t>urea_util</w:t>
            </w:r>
          </w:p>
        </w:tc>
        <w:tc>
          <w:tcPr>
            <w:tcW w:type="dxa" w:w="1944"/>
          </w:tcPr>
          <w:p>
            <w:pPr>
              <w:spacing w:after="20"/>
              <w:jc w:val="left"/>
            </w:pPr>
            <w:r>
              <w:rPr>
                <w:color w:val="1C3A36"/>
                <w:sz w:val="14"/>
              </w:rPr>
              <w:t>0.913, 0.922, 0.93, 0.939, 0.948</w:t>
            </w:r>
          </w:p>
        </w:tc>
        <w:tc>
          <w:tcPr>
            <w:tcW w:type="dxa" w:w="1224"/>
          </w:tcPr>
          <w:p>
            <w:pPr>
              <w:spacing w:after="20"/>
              <w:jc w:val="left"/>
            </w:pPr>
            <w:r>
              <w:rPr>
                <w:color w:val="1C3A36"/>
                <w:sz w:val="14"/>
              </w:rPr>
              <w:t>ratio</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Utilisation path. Audited output ran 586.4kt in FY2022/23 (2% above plate), 521.9kt in FY2023/24 and 513.4kt in FY2024/25; the path never returns to plate because the summer gas curtailment is structural.</w:t>
            </w:r>
          </w:p>
        </w:tc>
      </w:tr>
      <w:tr>
        <w:tc>
          <w:tcPr>
            <w:tcW w:type="dxa" w:w="2448"/>
          </w:tcPr>
          <w:p>
            <w:pPr>
              <w:spacing w:after="20"/>
              <w:jc w:val="left"/>
            </w:pPr>
            <w:r>
              <w:rPr>
                <w:color w:val="1C3A36"/>
                <w:sz w:val="14"/>
              </w:rPr>
              <w:t>usd_egp_FY2526E</w:t>
            </w:r>
          </w:p>
        </w:tc>
        <w:tc>
          <w:tcPr>
            <w:tcW w:type="dxa" w:w="1944"/>
          </w:tcPr>
          <w:p>
            <w:pPr>
              <w:spacing w:after="20"/>
              <w:jc w:val="left"/>
            </w:pPr>
            <w:r>
              <w:rPr>
                <w:color w:val="1C3A36"/>
                <w:sz w:val="14"/>
              </w:rPr>
              <w:t>49.6</w:t>
            </w:r>
          </w:p>
        </w:tc>
        <w:tc>
          <w:tcPr>
            <w:tcW w:type="dxa" w:w="1224"/>
          </w:tcPr>
          <w:p>
            <w:pPr>
              <w:spacing w:after="20"/>
              <w:jc w:val="left"/>
            </w:pPr>
            <w:r>
              <w:rPr>
                <w:color w:val="1C3A36"/>
                <w:sz w:val="14"/>
              </w:rPr>
              <w:t>EGP/US$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for the FY2025/26 bridge year: Average rate across the study year, from the nine-month reviewed accounts and the disclosed quarterly detail</w:t>
            </w:r>
          </w:p>
        </w:tc>
      </w:tr>
      <w:tr>
        <w:tc>
          <w:tcPr>
            <w:tcW w:type="dxa" w:w="2448"/>
          </w:tcPr>
          <w:p>
            <w:pPr>
              <w:spacing w:after="20"/>
              <w:jc w:val="left"/>
            </w:pPr>
            <w:r>
              <w:rPr>
                <w:color w:val="1C3A36"/>
                <w:sz w:val="14"/>
              </w:rPr>
              <w:t>usd_egp_avg_FY2425</w:t>
            </w:r>
          </w:p>
        </w:tc>
        <w:tc>
          <w:tcPr>
            <w:tcW w:type="dxa" w:w="1944"/>
          </w:tcPr>
          <w:p>
            <w:pPr>
              <w:spacing w:after="20"/>
              <w:jc w:val="left"/>
            </w:pPr>
            <w:r>
              <w:rPr>
                <w:color w:val="1C3A36"/>
                <w:sz w:val="14"/>
              </w:rPr>
              <w:t>49</w:t>
            </w:r>
          </w:p>
        </w:tc>
        <w:tc>
          <w:tcPr>
            <w:tcW w:type="dxa" w:w="1224"/>
          </w:tcPr>
          <w:p>
            <w:pPr>
              <w:spacing w:after="20"/>
              <w:jc w:val="left"/>
            </w:pPr>
            <w:r>
              <w:rPr>
                <w:color w:val="1C3A36"/>
                <w:sz w:val="14"/>
              </w:rPr>
              <w:t>EGP/US$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Constructed: the rate that reconciles note 20 export revenue to the disclosed export price and the implied export tonnage</w:t>
            </w:r>
          </w:p>
        </w:tc>
      </w:tr>
      <w:tr>
        <w:tc>
          <w:tcPr>
            <w:tcW w:type="dxa" w:w="2448"/>
          </w:tcPr>
          <w:p>
            <w:pPr>
              <w:spacing w:after="20"/>
              <w:jc w:val="left"/>
            </w:pPr>
            <w:r>
              <w:rPr>
                <w:color w:val="1C3A36"/>
                <w:sz w:val="14"/>
              </w:rPr>
              <w:t>usd_egp_path</w:t>
            </w:r>
          </w:p>
        </w:tc>
        <w:tc>
          <w:tcPr>
            <w:tcW w:type="dxa" w:w="1944"/>
          </w:tcPr>
          <w:p>
            <w:pPr>
              <w:spacing w:after="20"/>
              <w:jc w:val="left"/>
            </w:pPr>
            <w:r>
              <w:rPr>
                <w:color w:val="1C3A36"/>
                <w:sz w:val="14"/>
              </w:rPr>
              <w:t>51.9, 54.2, 56.7, 59.2, 61.9</w:t>
            </w:r>
          </w:p>
        </w:tc>
        <w:tc>
          <w:tcPr>
            <w:tcW w:type="dxa" w:w="1224"/>
          </w:tcPr>
          <w:p>
            <w:pPr>
              <w:spacing w:after="20"/>
              <w:jc w:val="left"/>
            </w:pPr>
            <w:r>
              <w:rPr>
                <w:color w:val="1C3A36"/>
                <w:sz w:val="14"/>
              </w:rPr>
              <w:t>EGP/US$</w:t>
            </w:r>
          </w:p>
        </w:tc>
        <w:tc>
          <w:tcPr>
            <w:tcW w:type="dxa" w:w="1152"/>
          </w:tcPr>
          <w:p>
            <w:pPr>
              <w:spacing w:after="20"/>
              <w:jc w:val="left"/>
            </w:pPr>
            <w:r>
              <w:rPr>
                <w:color w:val="1C3A36"/>
                <w:sz w:val="14"/>
              </w:rPr>
              <w:t>2026-08-08</w:t>
            </w:r>
          </w:p>
        </w:tc>
        <w:tc>
          <w:tcPr>
            <w:tcW w:type="dxa" w:w="7344"/>
          </w:tcPr>
          <w:p>
            <w:pPr>
              <w:spacing w:after="20"/>
              <w:jc w:val="left"/>
            </w:pPr>
            <w:r>
              <w:rPr>
                <w:color w:val="1C3A36"/>
                <w:sz w:val="14"/>
              </w:rPr>
              <w:t>Currency path at 4.5% depreciation a year from the spot rate — the same wedge used to carry the dollar debt at local-equivalent cost.</w:t>
            </w:r>
          </w:p>
        </w:tc>
      </w:tr>
    </w:tbl>
    <w:p>
      <w:pPr>
        <w:spacing w:after="40"/>
      </w:pPr>
    </w:p>
    <w:p>
      <w:r>
        <w:br w:type="page"/>
      </w:r>
    </w:p>
    <w:p>
      <w:pPr>
        <w:spacing w:after="100" w:before="240"/>
      </w:pPr>
      <w:r>
        <w:rPr>
          <w:b/>
          <w:i w:val="0"/>
          <w:color w:val="1C3A36"/>
          <w:sz w:val="28"/>
        </w:rPr>
        <w:t>The judgements, and what would overturn each</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5760"/>
        <w:gridCol w:w="5904"/>
      </w:tblGrid>
      <w:tr>
        <w:tc>
          <w:tcPr>
            <w:tcW w:type="dxa" w:w="2448"/>
            <w:shd w:val="clear" w:color="auto" w:fill="EAF0EE"/>
          </w:tcPr>
          <w:p>
            <w:pPr>
              <w:spacing w:after="20"/>
              <w:jc w:val="left"/>
            </w:pPr>
            <w:r>
              <w:rPr>
                <w:b/>
                <w:color w:val="1C3A36"/>
                <w:sz w:val="16"/>
              </w:rPr>
              <w:t>Judgement</w:t>
            </w:r>
          </w:p>
        </w:tc>
        <w:tc>
          <w:tcPr>
            <w:tcW w:type="dxa" w:w="5760"/>
            <w:shd w:val="clear" w:color="auto" w:fill="EAF0EE"/>
          </w:tcPr>
          <w:p>
            <w:pPr>
              <w:spacing w:after="20"/>
              <w:jc w:val="left"/>
            </w:pPr>
            <w:r>
              <w:rPr>
                <w:b/>
                <w:color w:val="1C3A36"/>
                <w:sz w:val="16"/>
              </w:rPr>
              <w:t>What was decided</w:t>
            </w:r>
          </w:p>
        </w:tc>
        <w:tc>
          <w:tcPr>
            <w:tcW w:type="dxa" w:w="5904"/>
            <w:shd w:val="clear" w:color="auto" w:fill="EAF0EE"/>
          </w:tcPr>
          <w:p>
            <w:pPr>
              <w:spacing w:after="20"/>
              <w:jc w:val="left"/>
            </w:pPr>
            <w:r>
              <w:rPr>
                <w:b/>
                <w:color w:val="1C3A36"/>
                <w:sz w:val="16"/>
              </w:rPr>
              <w:t>What would overturn it</w:t>
            </w:r>
          </w:p>
        </w:tc>
      </w:tr>
      <w:tr>
        <w:tc>
          <w:tcPr>
            <w:tcW w:type="dxa" w:w="2448"/>
          </w:tcPr>
          <w:p>
            <w:pPr>
              <w:spacing w:after="20"/>
              <w:jc w:val="left"/>
            </w:pPr>
            <w:r>
              <w:rPr>
                <w:color w:val="1C3A36"/>
                <w:sz w:val="16"/>
              </w:rPr>
              <w:t>The valuation lens</w:t>
            </w:r>
          </w:p>
        </w:tc>
        <w:tc>
          <w:tcPr>
            <w:tcW w:type="dxa" w:w="5760"/>
          </w:tcPr>
          <w:p>
            <w:pPr>
              <w:spacing w:after="20"/>
              <w:jc w:val="left"/>
            </w:pPr>
            <w:r>
              <w:rPr>
                <w:color w:val="1C3A36"/>
                <w:sz w:val="16"/>
              </w:rPr>
              <w:t>Free cash flow to the firm with a volume-times-price driver tree, because the revenue note and the balance sheet show a single operating business with no lending, rental or fee leg</w:t>
            </w:r>
          </w:p>
        </w:tc>
        <w:tc>
          <w:tcPr>
            <w:tcW w:type="dxa" w:w="5904"/>
          </w:tcPr>
          <w:p>
            <w:pPr>
              <w:spacing w:after="20"/>
              <w:jc w:val="left"/>
            </w:pPr>
            <w:r>
              <w:rPr>
                <w:color w:val="1C3A36"/>
                <w:sz w:val="16"/>
              </w:rPr>
              <w:t>A disclosed second segment of any size, or a change in the asset mix that made the balance sheet something other than a plant</w:t>
            </w:r>
          </w:p>
        </w:tc>
      </w:tr>
      <w:tr>
        <w:tc>
          <w:tcPr>
            <w:tcW w:type="dxa" w:w="2448"/>
          </w:tcPr>
          <w:p>
            <w:pPr>
              <w:spacing w:after="20"/>
              <w:jc w:val="left"/>
            </w:pPr>
            <w:r>
              <w:rPr>
                <w:color w:val="1C3A36"/>
                <w:sz w:val="16"/>
              </w:rPr>
              <w:t>The contested judgement — the capital programme</w:t>
            </w:r>
          </w:p>
        </w:tc>
        <w:tc>
          <w:tcPr>
            <w:tcW w:type="dxa" w:w="5760"/>
          </w:tcPr>
          <w:p>
            <w:pPr>
              <w:spacing w:after="20"/>
              <w:jc w:val="left"/>
            </w:pPr>
            <w:r>
              <w:rPr>
                <w:color w:val="1C3A36"/>
                <w:sz w:val="16"/>
              </w:rPr>
              <w:t>Computed BOTH ways and published side by side rather than averaged, because the two differ by EGP 3.50 a share</w:t>
            </w:r>
          </w:p>
        </w:tc>
        <w:tc>
          <w:tcPr>
            <w:tcW w:type="dxa" w:w="5904"/>
          </w:tcPr>
          <w:p>
            <w:pPr>
              <w:spacing w:after="20"/>
              <w:jc w:val="left"/>
            </w:pPr>
            <w:r>
              <w:rPr>
                <w:color w:val="1C3A36"/>
                <w:sz w:val="16"/>
              </w:rPr>
              <w:t>A dated commissioning schedule with a disclosed nameplate, which would collapse the two cases toward one</w:t>
            </w:r>
          </w:p>
        </w:tc>
      </w:tr>
      <w:tr>
        <w:tc>
          <w:tcPr>
            <w:tcW w:type="dxa" w:w="2448"/>
          </w:tcPr>
          <w:p>
            <w:pPr>
              <w:spacing w:after="20"/>
              <w:jc w:val="left"/>
            </w:pPr>
            <w:r>
              <w:rPr>
                <w:color w:val="1C3A36"/>
                <w:sz w:val="16"/>
              </w:rPr>
              <w:t>The gas share of the materials line</w:t>
            </w:r>
          </w:p>
        </w:tc>
        <w:tc>
          <w:tcPr>
            <w:tcW w:type="dxa" w:w="5760"/>
          </w:tcPr>
          <w:p>
            <w:pPr>
              <w:spacing w:after="20"/>
              <w:jc w:val="left"/>
            </w:pPr>
            <w:r>
              <w:rPr>
                <w:color w:val="1C3A36"/>
                <w:sz w:val="16"/>
              </w:rPr>
              <w:t>Three quarters of a single disclosed materials line, implying 1,292 cubic metres a tonne of ammonia — inside the auditor's own disclosed range</w:t>
            </w:r>
          </w:p>
        </w:tc>
        <w:tc>
          <w:tcPr>
            <w:tcW w:type="dxa" w:w="5904"/>
          </w:tcPr>
          <w:p>
            <w:pPr>
              <w:spacing w:after="20"/>
              <w:jc w:val="left"/>
            </w:pPr>
            <w:r>
              <w:rPr>
                <w:color w:val="1C3A36"/>
                <w:sz w:val="16"/>
              </w:rPr>
              <w:t>Any disclosure splitting that line, or a stated consumption rate</w:t>
            </w:r>
          </w:p>
        </w:tc>
      </w:tr>
      <w:tr>
        <w:tc>
          <w:tcPr>
            <w:tcW w:type="dxa" w:w="2448"/>
          </w:tcPr>
          <w:p>
            <w:pPr>
              <w:spacing w:after="20"/>
              <w:jc w:val="left"/>
            </w:pPr>
            <w:r>
              <w:rPr>
                <w:color w:val="1C3A36"/>
                <w:sz w:val="16"/>
              </w:rPr>
              <w:t>The new complex's nameplate</w:t>
            </w:r>
          </w:p>
        </w:tc>
        <w:tc>
          <w:tcPr>
            <w:tcW w:type="dxa" w:w="5760"/>
          </w:tcPr>
          <w:p>
            <w:pPr>
              <w:spacing w:after="20"/>
              <w:jc w:val="left"/>
            </w:pPr>
            <w:r>
              <w:rPr>
                <w:color w:val="1C3A36"/>
                <w:sz w:val="16"/>
              </w:rPr>
              <w:t>Derived from the ammonia design plate less urea's draw at its own plate</w:t>
            </w:r>
          </w:p>
        </w:tc>
        <w:tc>
          <w:tcPr>
            <w:tcW w:type="dxa" w:w="5904"/>
          </w:tcPr>
          <w:p>
            <w:pPr>
              <w:spacing w:after="20"/>
              <w:jc w:val="left"/>
            </w:pPr>
            <w:r>
              <w:rPr>
                <w:color w:val="1C3A36"/>
                <w:sz w:val="16"/>
              </w:rPr>
              <w:t>A filing stating the capacity, which no filing currently does</w:t>
            </w:r>
          </w:p>
        </w:tc>
      </w:tr>
      <w:tr>
        <w:tc>
          <w:tcPr>
            <w:tcW w:type="dxa" w:w="2448"/>
          </w:tcPr>
          <w:p>
            <w:pPr>
              <w:spacing w:after="20"/>
              <w:jc w:val="left"/>
            </w:pPr>
            <w:r>
              <w:rPr>
                <w:color w:val="1C3A36"/>
                <w:sz w:val="16"/>
              </w:rPr>
              <w:t>The cost of capital basis</w:t>
            </w:r>
          </w:p>
        </w:tc>
        <w:tc>
          <w:tcPr>
            <w:tcW w:type="dxa" w:w="5760"/>
          </w:tcPr>
          <w:p>
            <w:pPr>
              <w:spacing w:after="20"/>
              <w:jc w:val="left"/>
            </w:pPr>
            <w:r>
              <w:rPr>
                <w:color w:val="1C3A36"/>
                <w:sz w:val="16"/>
              </w:rPr>
              <w:t>The sovereign's own yield less its own default spread, with a country-loaded premium added back once; both premium bases published</w:t>
            </w:r>
          </w:p>
        </w:tc>
        <w:tc>
          <w:tcPr>
            <w:tcW w:type="dxa" w:w="5904"/>
          </w:tcPr>
          <w:p>
            <w:pPr>
              <w:spacing w:after="20"/>
              <w:jc w:val="left"/>
            </w:pPr>
            <w:r>
              <w:rPr>
                <w:color w:val="1C3A36"/>
                <w:sz w:val="16"/>
              </w:rPr>
              <w:t>Evidence that Egyptian equity risk clears below its sovereign, which would revalue every Egyptian equity and not only this one</w:t>
            </w:r>
          </w:p>
        </w:tc>
      </w:tr>
      <w:tr>
        <w:tc>
          <w:tcPr>
            <w:tcW w:type="dxa" w:w="2448"/>
          </w:tcPr>
          <w:p>
            <w:pPr>
              <w:spacing w:after="20"/>
              <w:jc w:val="left"/>
            </w:pPr>
            <w:r>
              <w:rPr>
                <w:color w:val="1C3A36"/>
                <w:sz w:val="16"/>
              </w:rPr>
              <w:t>The dividend assumption</w:t>
            </w:r>
          </w:p>
        </w:tc>
        <w:tc>
          <w:tcPr>
            <w:tcW w:type="dxa" w:w="5760"/>
          </w:tcPr>
          <w:p>
            <w:pPr>
              <w:spacing w:after="20"/>
              <w:jc w:val="left"/>
            </w:pPr>
            <w:r>
              <w:rPr>
                <w:color w:val="1C3A36"/>
                <w:sz w:val="16"/>
              </w:rPr>
              <w:t>Zero, sourced from two consecutive appropriation statements rather than assumed</w:t>
            </w:r>
          </w:p>
        </w:tc>
        <w:tc>
          <w:tcPr>
            <w:tcW w:type="dxa" w:w="5904"/>
          </w:tcPr>
          <w:p>
            <w:pPr>
              <w:spacing w:after="20"/>
              <w:jc w:val="left"/>
            </w:pPr>
            <w:r>
              <w:rPr>
                <w:color w:val="1C3A36"/>
                <w:sz w:val="16"/>
              </w:rPr>
              <w:t>A distribution proposed in any future appropriation statement</w:t>
            </w:r>
          </w:p>
        </w:tc>
      </w:tr>
      <w:tr>
        <w:tc>
          <w:tcPr>
            <w:tcW w:type="dxa" w:w="2448"/>
          </w:tcPr>
          <w:p>
            <w:pPr>
              <w:spacing w:after="20"/>
              <w:jc w:val="left"/>
            </w:pPr>
            <w:r>
              <w:rPr>
                <w:color w:val="1C3A36"/>
                <w:sz w:val="16"/>
              </w:rPr>
              <w:t>The terminal growth rate</w:t>
            </w:r>
          </w:p>
        </w:tc>
        <w:tc>
          <w:tcPr>
            <w:tcW w:type="dxa" w:w="5760"/>
          </w:tcPr>
          <w:p>
            <w:pPr>
              <w:spacing w:after="20"/>
              <w:jc w:val="left"/>
            </w:pPr>
            <w:r>
              <w:rPr>
                <w:color w:val="1C3A36"/>
                <w:sz w:val="16"/>
              </w:rPr>
              <w:t>The central bank's medium-term inflation target — nominal maintenance growth with no real growth assumed</w:t>
            </w:r>
          </w:p>
        </w:tc>
        <w:tc>
          <w:tcPr>
            <w:tcW w:type="dxa" w:w="5904"/>
          </w:tcPr>
          <w:p>
            <w:pPr>
              <w:spacing w:after="20"/>
              <w:jc w:val="left"/>
            </w:pPr>
            <w:r>
              <w:rPr>
                <w:color w:val="1C3A36"/>
                <w:sz w:val="16"/>
              </w:rPr>
              <w:t>A demonstrated ability to grow volumes, which needs gas the country does not currently have</w:t>
            </w:r>
          </w:p>
        </w:tc>
      </w:tr>
    </w:tbl>
    <w:p>
      <w:pPr>
        <w:spacing w:after="40"/>
      </w:pPr>
    </w:p>
    <w:p>
      <w:pPr>
        <w:spacing w:after="100" w:before="240"/>
      </w:pPr>
      <w:r>
        <w:rPr>
          <w:b/>
          <w:i w:val="0"/>
          <w:color w:val="1C3A36"/>
          <w:sz w:val="28"/>
        </w:rPr>
        <w:t>Negative results — what was searched for and not found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00"/>
        <w:gridCol w:w="3744"/>
        <w:gridCol w:w="6768"/>
      </w:tblGrid>
      <w:tr>
        <w:tc>
          <w:tcPr>
            <w:tcW w:type="dxa" w:w="3600"/>
            <w:shd w:val="clear" w:color="auto" w:fill="EAF0EE"/>
          </w:tcPr>
          <w:p>
            <w:pPr>
              <w:spacing w:after="20"/>
              <w:jc w:val="left"/>
            </w:pPr>
            <w:r>
              <w:rPr>
                <w:b/>
                <w:color w:val="1C3A36"/>
                <w:sz w:val="16"/>
              </w:rPr>
              <w:t>What was sought</w:t>
            </w:r>
          </w:p>
        </w:tc>
        <w:tc>
          <w:tcPr>
            <w:tcW w:type="dxa" w:w="3744"/>
            <w:shd w:val="clear" w:color="auto" w:fill="EAF0EE"/>
          </w:tcPr>
          <w:p>
            <w:pPr>
              <w:spacing w:after="20"/>
              <w:jc w:val="left"/>
            </w:pPr>
            <w:r>
              <w:rPr>
                <w:b/>
                <w:color w:val="1C3A36"/>
                <w:sz w:val="16"/>
              </w:rPr>
              <w:t>Where</w:t>
            </w:r>
          </w:p>
        </w:tc>
        <w:tc>
          <w:tcPr>
            <w:tcW w:type="dxa" w:w="6768"/>
            <w:shd w:val="clear" w:color="auto" w:fill="EAF0EE"/>
          </w:tcPr>
          <w:p>
            <w:pPr>
              <w:spacing w:after="20"/>
              <w:jc w:val="left"/>
            </w:pPr>
            <w:r>
              <w:rPr>
                <w:b/>
                <w:color w:val="1C3A36"/>
                <w:sz w:val="16"/>
              </w:rPr>
              <w:t>Outcome</w:t>
            </w:r>
          </w:p>
        </w:tc>
      </w:tr>
      <w:tr>
        <w:tc>
          <w:tcPr>
            <w:tcW w:type="dxa" w:w="3600"/>
          </w:tcPr>
          <w:p>
            <w:pPr>
              <w:spacing w:after="20"/>
              <w:jc w:val="left"/>
            </w:pPr>
            <w:r>
              <w:rPr>
                <w:color w:val="1C3A36"/>
                <w:sz w:val="16"/>
              </w:rPr>
              <w:t>An investor presentation or earnings-call transcript</w:t>
            </w:r>
          </w:p>
        </w:tc>
        <w:tc>
          <w:tcPr>
            <w:tcW w:type="dxa" w:w="3744"/>
          </w:tcPr>
          <w:p>
            <w:pPr>
              <w:spacing w:after="20"/>
              <w:jc w:val="left"/>
            </w:pPr>
            <w:r>
              <w:rPr>
                <w:color w:val="1C3A36"/>
                <w:sz w:val="16"/>
              </w:rPr>
              <w:t>The company's investor-relations portal and open search</w:t>
            </w:r>
          </w:p>
        </w:tc>
        <w:tc>
          <w:tcPr>
            <w:tcW w:type="dxa" w:w="6768"/>
          </w:tcPr>
          <w:p>
            <w:pPr>
              <w:spacing w:after="20"/>
              <w:jc w:val="left"/>
            </w:pPr>
            <w:r>
              <w:rPr>
                <w:color w:val="1C3A36"/>
                <w:sz w:val="16"/>
              </w:rPr>
              <w:t>None exists. The company publishes filings and disclosure reports only, so the volume, price and utilisation data such material normally carries was taken instead from the statutory auditor's own tables</w:t>
            </w:r>
          </w:p>
        </w:tc>
      </w:tr>
      <w:tr>
        <w:tc>
          <w:tcPr>
            <w:tcW w:type="dxa" w:w="3600"/>
          </w:tcPr>
          <w:p>
            <w:pPr>
              <w:spacing w:after="20"/>
              <w:jc w:val="left"/>
            </w:pPr>
            <w:r>
              <w:rPr>
                <w:color w:val="1C3A36"/>
                <w:sz w:val="16"/>
              </w:rPr>
              <w:t>A stated nameplate capacity for the new complex</w:t>
            </w:r>
          </w:p>
        </w:tc>
        <w:tc>
          <w:tcPr>
            <w:tcW w:type="dxa" w:w="3744"/>
          </w:tcPr>
          <w:p>
            <w:pPr>
              <w:spacing w:after="20"/>
              <w:jc w:val="left"/>
            </w:pPr>
            <w:r>
              <w:rPr>
                <w:color w:val="1C3A36"/>
                <w:sz w:val="16"/>
              </w:rPr>
              <w:t>All four audited years and all three interim filings</w:t>
            </w:r>
          </w:p>
        </w:tc>
        <w:tc>
          <w:tcPr>
            <w:tcW w:type="dxa" w:w="6768"/>
          </w:tcPr>
          <w:p>
            <w:pPr>
              <w:spacing w:after="20"/>
              <w:jc w:val="left"/>
            </w:pPr>
            <w:r>
              <w:rPr>
                <w:color w:val="1C3A36"/>
                <w:sz w:val="16"/>
              </w:rPr>
              <w:t>Not disclosed. The capacity used is derived and flagged as derived throughout</w:t>
            </w:r>
          </w:p>
        </w:tc>
      </w:tr>
      <w:tr>
        <w:tc>
          <w:tcPr>
            <w:tcW w:type="dxa" w:w="3600"/>
          </w:tcPr>
          <w:p>
            <w:pPr>
              <w:spacing w:after="20"/>
              <w:jc w:val="left"/>
            </w:pPr>
            <w:r>
              <w:rPr>
                <w:color w:val="1C3A36"/>
                <w:sz w:val="16"/>
              </w:rPr>
              <w:t>A maintenance capital-expenditure guide or investment plan beyond the project</w:t>
            </w:r>
          </w:p>
        </w:tc>
        <w:tc>
          <w:tcPr>
            <w:tcW w:type="dxa" w:w="3744"/>
          </w:tcPr>
          <w:p>
            <w:pPr>
              <w:spacing w:after="20"/>
              <w:jc w:val="left"/>
            </w:pPr>
            <w:r>
              <w:rPr>
                <w:color w:val="1C3A36"/>
                <w:sz w:val="16"/>
              </w:rPr>
              <w:t>Board reports inside the filings, and open search</w:t>
            </w:r>
          </w:p>
        </w:tc>
        <w:tc>
          <w:tcPr>
            <w:tcW w:type="dxa" w:w="6768"/>
          </w:tcPr>
          <w:p>
            <w:pPr>
              <w:spacing w:after="20"/>
              <w:jc w:val="left"/>
            </w:pPr>
            <w:r>
              <w:rPr>
                <w:color w:val="1C3A36"/>
                <w:sz w:val="16"/>
              </w:rPr>
              <w:t>None found. Maintenance capital expenditure is set at a mature-plant standard and sensitised</w:t>
            </w:r>
          </w:p>
        </w:tc>
      </w:tr>
      <w:tr>
        <w:tc>
          <w:tcPr>
            <w:tcW w:type="dxa" w:w="3600"/>
          </w:tcPr>
          <w:p>
            <w:pPr>
              <w:spacing w:after="20"/>
              <w:jc w:val="left"/>
            </w:pPr>
            <w:r>
              <w:rPr>
                <w:color w:val="1C3A36"/>
                <w:sz w:val="16"/>
              </w:rPr>
              <w:t>Separate audit reports for FY2023, FY2024 and FY2025</w:t>
            </w:r>
          </w:p>
        </w:tc>
        <w:tc>
          <w:tcPr>
            <w:tcW w:type="dxa" w:w="3744"/>
          </w:tcPr>
          <w:p>
            <w:pPr>
              <w:spacing w:after="20"/>
              <w:jc w:val="left"/>
            </w:pPr>
            <w:r>
              <w:rPr>
                <w:color w:val="1C3A36"/>
                <w:sz w:val="16"/>
              </w:rPr>
              <w:t>The portal's audit-reports section</w:t>
            </w:r>
          </w:p>
        </w:tc>
        <w:tc>
          <w:tcPr>
            <w:tcW w:type="dxa" w:w="6768"/>
          </w:tcPr>
          <w:p>
            <w:pPr>
              <w:spacing w:after="20"/>
              <w:jc w:val="left"/>
            </w:pPr>
            <w:r>
              <w:rPr>
                <w:color w:val="1C3A36"/>
                <w:sz w:val="16"/>
              </w:rPr>
              <w:t>That section holds only audit-committee reports and its newest item covers the period to 31 December 2021. The statutory auditor's reports for the years used are bound inside the annual statements themselves</w:t>
            </w:r>
          </w:p>
        </w:tc>
      </w:tr>
      <w:tr>
        <w:tc>
          <w:tcPr>
            <w:tcW w:type="dxa" w:w="3600"/>
          </w:tcPr>
          <w:p>
            <w:pPr>
              <w:spacing w:after="20"/>
              <w:jc w:val="left"/>
            </w:pPr>
            <w:r>
              <w:rPr>
                <w:color w:val="1C3A36"/>
                <w:sz w:val="16"/>
              </w:rPr>
              <w:t>Official treasury-bill auction results</w:t>
            </w:r>
          </w:p>
        </w:tc>
        <w:tc>
          <w:tcPr>
            <w:tcW w:type="dxa" w:w="3744"/>
          </w:tcPr>
          <w:p>
            <w:pPr>
              <w:spacing w:after="20"/>
              <w:jc w:val="left"/>
            </w:pPr>
            <w:r>
              <w:rPr>
                <w:color w:val="1C3A36"/>
                <w:sz w:val="16"/>
              </w:rPr>
              <w:t>The central bank's auction pages</w:t>
            </w:r>
          </w:p>
        </w:tc>
        <w:tc>
          <w:tcPr>
            <w:tcW w:type="dxa" w:w="6768"/>
          </w:tcPr>
          <w:p>
            <w:pPr>
              <w:spacing w:after="20"/>
              <w:jc w:val="left"/>
            </w:pPr>
            <w:r>
              <w:rPr>
                <w:color w:val="1C3A36"/>
                <w:sz w:val="16"/>
              </w:rPr>
              <w:t>Blocked to automated access. Secondary market quotes are carried instead, used for context only, and no valuation figure depends on them</w:t>
            </w:r>
          </w:p>
        </w:tc>
      </w:tr>
      <w:tr>
        <w:tc>
          <w:tcPr>
            <w:tcW w:type="dxa" w:w="3600"/>
          </w:tcPr>
          <w:p>
            <w:pPr>
              <w:spacing w:after="20"/>
              <w:jc w:val="left"/>
            </w:pPr>
            <w:r>
              <w:rPr>
                <w:color w:val="1C3A36"/>
                <w:sz w:val="16"/>
              </w:rPr>
              <w:t>The exchange's own stated share count</w:t>
            </w:r>
          </w:p>
        </w:tc>
        <w:tc>
          <w:tcPr>
            <w:tcW w:type="dxa" w:w="3744"/>
          </w:tcPr>
          <w:p>
            <w:pPr>
              <w:spacing w:after="20"/>
              <w:jc w:val="left"/>
            </w:pPr>
            <w:r>
              <w:rPr>
                <w:color w:val="1C3A36"/>
                <w:sz w:val="16"/>
              </w:rPr>
              <w:t>The exchange company page for the listing</w:t>
            </w:r>
          </w:p>
        </w:tc>
        <w:tc>
          <w:tcPr>
            <w:tcW w:type="dxa" w:w="6768"/>
          </w:tcPr>
          <w:p>
            <w:pPr>
              <w:spacing w:after="20"/>
              <w:jc w:val="left"/>
            </w:pPr>
            <w:r>
              <w:rPr>
                <w:color w:val="1C3A36"/>
                <w:sz w:val="16"/>
              </w:rPr>
              <w:t>Behind a bot challenge that refused every automated read. The share count is taken from note 14 of the audited statements instead</w:t>
            </w:r>
          </w:p>
        </w:tc>
      </w:tr>
    </w:tbl>
    <w:p>
      <w:pPr>
        <w:spacing w:after="40"/>
      </w:pPr>
    </w:p>
    <w:p>
      <w:pPr>
        <w:spacing w:after="100" w:before="240"/>
      </w:pPr>
      <w:r>
        <w:rPr>
          <w:b/>
          <w:i w:val="0"/>
          <w:color w:val="1C3A36"/>
          <w:sz w:val="28"/>
        </w:rPr>
        <w:t>Where a widely quoted third-party figure disagreed with the filings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4896"/>
        <w:gridCol w:w="4896"/>
        <w:gridCol w:w="2160"/>
      </w:tblGrid>
      <w:tr>
        <w:tc>
          <w:tcPr>
            <w:tcW w:type="dxa" w:w="2160"/>
            <w:shd w:val="clear" w:color="auto" w:fill="EAF0EE"/>
          </w:tcPr>
          <w:p>
            <w:pPr>
              <w:spacing w:after="20"/>
              <w:jc w:val="left"/>
            </w:pPr>
            <w:r>
              <w:rPr>
                <w:b/>
                <w:color w:val="1C3A36"/>
                <w:sz w:val="15"/>
              </w:rPr>
              <w:t>Figure</w:t>
            </w:r>
          </w:p>
        </w:tc>
        <w:tc>
          <w:tcPr>
            <w:tcW w:type="dxa" w:w="4896"/>
            <w:shd w:val="clear" w:color="auto" w:fill="EAF0EE"/>
          </w:tcPr>
          <w:p>
            <w:pPr>
              <w:spacing w:after="20"/>
              <w:jc w:val="left"/>
            </w:pPr>
            <w:r>
              <w:rPr>
                <w:b/>
                <w:color w:val="1C3A36"/>
                <w:sz w:val="15"/>
              </w:rPr>
              <w:t>What third parties showed</w:t>
            </w:r>
          </w:p>
        </w:tc>
        <w:tc>
          <w:tcPr>
            <w:tcW w:type="dxa" w:w="4896"/>
            <w:shd w:val="clear" w:color="auto" w:fill="EAF0EE"/>
          </w:tcPr>
          <w:p>
            <w:pPr>
              <w:spacing w:after="20"/>
              <w:jc w:val="left"/>
            </w:pPr>
            <w:r>
              <w:rPr>
                <w:b/>
                <w:color w:val="1C3A36"/>
                <w:sz w:val="15"/>
              </w:rPr>
              <w:t>What the filings show</w:t>
            </w:r>
          </w:p>
        </w:tc>
        <w:tc>
          <w:tcPr>
            <w:tcW w:type="dxa" w:w="2160"/>
            <w:shd w:val="clear" w:color="auto" w:fill="EAF0EE"/>
          </w:tcPr>
          <w:p>
            <w:pPr>
              <w:spacing w:after="20"/>
              <w:jc w:val="left"/>
            </w:pPr>
            <w:r>
              <w:rPr>
                <w:b/>
                <w:color w:val="1C3A36"/>
                <w:sz w:val="15"/>
              </w:rPr>
              <w:t>Which was used</w:t>
            </w:r>
          </w:p>
        </w:tc>
      </w:tr>
      <w:tr>
        <w:tc>
          <w:tcPr>
            <w:tcW w:type="dxa" w:w="2160"/>
          </w:tcPr>
          <w:p>
            <w:pPr>
              <w:spacing w:after="20"/>
              <w:jc w:val="left"/>
            </w:pPr>
            <w:r>
              <w:rPr>
                <w:color w:val="1C3A36"/>
                <w:sz w:val="15"/>
              </w:rPr>
              <w:t>Shares outstanding</w:t>
            </w:r>
          </w:p>
        </w:tc>
        <w:tc>
          <w:tcPr>
            <w:tcW w:type="dxa" w:w="4896"/>
          </w:tcPr>
          <w:p>
            <w:pPr>
              <w:spacing w:after="20"/>
              <w:jc w:val="left"/>
            </w:pPr>
            <w:r>
              <w:rPr>
                <w:color w:val="1C3A36"/>
                <w:sz w:val="15"/>
              </w:rPr>
              <w:t>One widely visible market page reported 197.95 million shares, inconsistent with its own market-capitalisation figure by a factor of ten; a stale exchange listing document showed 394,042,710 shares</w:t>
            </w:r>
          </w:p>
        </w:tc>
        <w:tc>
          <w:tcPr>
            <w:tcW w:type="dxa" w:w="4896"/>
          </w:tcPr>
          <w:p>
            <w:pPr>
              <w:spacing w:after="20"/>
              <w:jc w:val="left"/>
            </w:pPr>
            <w:r>
              <w:rPr>
                <w:color w:val="1C3A36"/>
                <w:sz w:val="15"/>
              </w:rPr>
              <w:t>1,986,578,999 shares of EGP 5 par, paid-in capital EGP 9,932,895,000, note 14</w:t>
            </w:r>
          </w:p>
        </w:tc>
        <w:tc>
          <w:tcPr>
            <w:tcW w:type="dxa" w:w="2160"/>
          </w:tcPr>
          <w:p>
            <w:pPr>
              <w:spacing w:after="20"/>
              <w:jc w:val="left"/>
            </w:pPr>
            <w:r>
              <w:rPr>
                <w:color w:val="1C3A36"/>
                <w:sz w:val="15"/>
              </w:rPr>
              <w:t>The filing. The stale document predates the capital increase</w:t>
            </w:r>
          </w:p>
        </w:tc>
      </w:tr>
      <w:tr>
        <w:tc>
          <w:tcPr>
            <w:tcW w:type="dxa" w:w="2160"/>
          </w:tcPr>
          <w:p>
            <w:pPr>
              <w:spacing w:after="20"/>
              <w:jc w:val="left"/>
            </w:pPr>
            <w:r>
              <w:rPr>
                <w:color w:val="1C3A36"/>
                <w:sz w:val="15"/>
              </w:rPr>
              <w:t>Fiscal-year convention</w:t>
            </w:r>
          </w:p>
        </w:tc>
        <w:tc>
          <w:tcPr>
            <w:tcW w:type="dxa" w:w="4896"/>
          </w:tcPr>
          <w:p>
            <w:pPr>
              <w:spacing w:after="20"/>
              <w:jc w:val="left"/>
            </w:pPr>
            <w:r>
              <w:rPr>
                <w:color w:val="1C3A36"/>
                <w:sz w:val="15"/>
              </w:rPr>
              <w:t>Several sources present results on a calendar-year basis</w:t>
            </w:r>
          </w:p>
        </w:tc>
        <w:tc>
          <w:tcPr>
            <w:tcW w:type="dxa" w:w="4896"/>
          </w:tcPr>
          <w:p>
            <w:pPr>
              <w:spacing w:after="20"/>
              <w:jc w:val="left"/>
            </w:pPr>
            <w:r>
              <w:rPr>
                <w:color w:val="1C3A36"/>
                <w:sz w:val="15"/>
              </w:rPr>
              <w:t>The financial year ends 30 June; every statement is dated accordingly</w:t>
            </w:r>
          </w:p>
        </w:tc>
        <w:tc>
          <w:tcPr>
            <w:tcW w:type="dxa" w:w="2160"/>
          </w:tcPr>
          <w:p>
            <w:pPr>
              <w:spacing w:after="20"/>
              <w:jc w:val="left"/>
            </w:pPr>
            <w:r>
              <w:rPr>
                <w:color w:val="1C3A36"/>
                <w:sz w:val="15"/>
              </w:rPr>
              <w:t>The filing</w:t>
            </w:r>
          </w:p>
        </w:tc>
      </w:tr>
      <w:tr>
        <w:tc>
          <w:tcPr>
            <w:tcW w:type="dxa" w:w="2160"/>
          </w:tcPr>
          <w:p>
            <w:pPr>
              <w:spacing w:after="20"/>
              <w:jc w:val="left"/>
            </w:pPr>
            <w:r>
              <w:rPr>
                <w:color w:val="1C3A36"/>
                <w:sz w:val="15"/>
              </w:rPr>
              <w:t>FY2023/24 profitability</w:t>
            </w:r>
          </w:p>
        </w:tc>
        <w:tc>
          <w:tcPr>
            <w:tcW w:type="dxa" w:w="4896"/>
          </w:tcPr>
          <w:p>
            <w:pPr>
              <w:spacing w:after="20"/>
              <w:jc w:val="left"/>
            </w:pPr>
            <w:r>
              <w:rPr>
                <w:color w:val="1C3A36"/>
                <w:sz w:val="15"/>
              </w:rPr>
              <w:t>Reported net profit of EGP 2,537.9 million is widely quoted without qualification</w:t>
            </w:r>
          </w:p>
        </w:tc>
        <w:tc>
          <w:tcPr>
            <w:tcW w:type="dxa" w:w="4896"/>
          </w:tcPr>
          <w:p>
            <w:pPr>
              <w:spacing w:after="20"/>
              <w:jc w:val="left"/>
            </w:pPr>
            <w:r>
              <w:rPr>
                <w:color w:val="1C3A36"/>
                <w:sz w:val="15"/>
              </w:rPr>
              <w:t>That figure includes EGP 2,034.6 million of one-off investment-property revaluation gain</w:t>
            </w:r>
          </w:p>
        </w:tc>
        <w:tc>
          <w:tcPr>
            <w:tcW w:type="dxa" w:w="2160"/>
          </w:tcPr>
          <w:p>
            <w:pPr>
              <w:spacing w:after="20"/>
              <w:jc w:val="left"/>
            </w:pPr>
            <w:r>
              <w:rPr>
                <w:color w:val="1C3A36"/>
                <w:sz w:val="15"/>
              </w:rPr>
              <w:t>The underlying figure, used for every margin and return in the study</w:t>
            </w:r>
          </w:p>
        </w:tc>
      </w:tr>
    </w:tbl>
    <w:p>
      <w:pPr>
        <w:spacing w:after="40"/>
      </w:pPr>
    </w:p>
    <w:p>
      <w:pPr>
        <w:spacing w:after="100" w:before="240"/>
      </w:pPr>
      <w:r>
        <w:rPr>
          <w:b/>
          <w:i w:val="0"/>
          <w:color w:val="1C3A36"/>
          <w:sz w:val="28"/>
        </w:rPr>
        <w:t>7.  How a reader can check this study</w:t>
      </w:r>
    </w:p>
    <w:p>
      <w:pPr>
        <w:spacing w:after="100" w:before="0"/>
      </w:pPr>
      <w:r>
        <w:rPr>
          <w:b w:val="0"/>
          <w:i w:val="0"/>
          <w:color w:val="1C3A36"/>
          <w:sz w:val="19"/>
        </w:rPr>
        <w:t>Every historical figure in the study appears in the accompanying workbook on the sheets marked historical, carried exactly as issued. Every forecast figure is a formula on those sheets, driven by the assumptions sheet, and each assumption carries its source in the adjacent column. A reader who disagrees with an assumption can change it and watch the valuation move; the two grids that do not redraw are labelled on their own sheets, because each of their cells is a separate run of the whole model.</w:t>
      </w:r>
    </w:p>
    <w:sectPr w:rsidR="00FC693F" w:rsidRPr="0006063C" w:rsidSect="00034616">
      <w:pgSz w:w="15840" w:h="122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C3A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