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13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eps reported</w:t>
            </w:r>
          </w:p>
        </w:tc>
        <w:tc>
          <w:tcPr>
            <w:tcW w:type="dxa" w:w="1368"/>
          </w:tcPr>
          <w:p>
            <w:pPr>
              <w:spacing w:after="20"/>
            </w:pPr>
            <w:r>
              <w:rPr>
                <w:color w:val="1C3A36"/>
                <w:sz w:val="15"/>
              </w:rPr>
              <w:t>FY23: 4.26; FY24: 7.22; FY25: 7.13</w:t>
            </w:r>
          </w:p>
        </w:tc>
        <w:tc>
          <w:tcPr>
            <w:tcW w:type="dxa" w:w="1123"/>
          </w:tcPr>
          <w:p>
            <w:pPr>
              <w:spacing w:after="20"/>
            </w:pPr>
            <w:r>
              <w:rPr>
                <w:color w:val="1C3A36"/>
                <w:sz w:val="15"/>
              </w:rPr>
              <w:t>2026-03-15</w:t>
            </w:r>
          </w:p>
        </w:tc>
        <w:tc>
          <w:tcPr>
            <w:tcW w:type="dxa" w:w="5933"/>
          </w:tcPr>
          <w:p>
            <w:pPr>
              <w:spacing w:after="20"/>
            </w:pPr>
            <w:r>
              <w:rPr>
                <w:color w:val="1C3A36"/>
                <w:sz w:val="15"/>
              </w:rPr>
              <w:t>Basic earnings per share as reported on the face of each year's audited consolidated statement of profit or loss (FY2023 diluted 4.25, FY2024 diluted 7.21, FY2025 basic and diluted both 7.13). Struck AFTER the Egyptian employee and board profit-share appropriation and over the weighted-average share count, so it is lower than attributable profit over shares outstanding; both bases are published</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H1-2026 interim 30.85%, WHICH IMPLIES 35.15% IN THE SECOND QUARTER ALONE. EVERY EARLIER EDITION OF THIS ENTRY STOPPED AT THE QUARTER AND CALLED IT 'the Q1-2026 uptick', while the half that contains it — registered in this same file as h1_26_tax and flagged there as material — ran five points higher again. Quoting the quarter as the current observation when the half it sits inside is known and worse is not a neutral choice of period. The adopted 24.5% is therefore BELOW every one of the last four observations and the study prices the alternative explicitly rather than leaving the reader to find it.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that level is ESCALATED AT THE HOUSE'S OWN US LONG-RUN INFLATION of 2.5% a year, reaching about 15,453/t by FY2030E. It is NOT held flat and this note said it was for two editions after the path changed: holding a dollar price flat in nominal terms is a real decline of 2.5% a year, which is a directional view on copper and not the absence of one. The level is still not a forecast — it is today's price carried forward in real terms. Copper is the largest single input into the Cables segment and a genuine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7.6%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19.7% of revenue</w:t>
            </w:r>
          </w:p>
        </w:tc>
        <w:tc>
          <w:tcPr>
            <w:tcW w:type="dxa" w:w="2520"/>
          </w:tcPr>
          <w:p>
            <w:pPr>
              <w:spacing w:after="20"/>
            </w:pPr>
            <w:r>
              <w:rPr>
                <w:color w:val="1C3A36"/>
                <w:sz w:val="15"/>
              </w:rPr>
              <w:t>Net working capital stays near 19.7% of revenue — the level measured on the REVIEWED 30 June 2026 balance sheet, not the FY2025 audited level of 19.87% an earlier edition of this row named</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22.9% of attributable EPS), rounded up for the rising trajectory the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9.1%</w:t>
            </w:r>
          </w:p>
        </w:tc>
        <w:tc>
          <w:tcPr>
            <w:tcW w:type="dxa" w:w="2520"/>
          </w:tcPr>
          <w:p>
            <w:pPr>
              <w:spacing w:after="20"/>
            </w:pPr>
            <w:r>
              <w:rPr>
                <w:color w:val="1C3A36"/>
                <w:sz w:val="15"/>
              </w:rPr>
              <w:t>Derived from the house macro path — 7.0% long-run Egyptian inflation compounded with a 2.0% real rate — and sensitised 7.1%-11.1% around it. NOT a standing centre chosen for the market: an earlier edition of this row published 5% 'sensitised 3-7%', which is the construction this study retired, and which does not contain the rate the study actually strikes</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then 25.8% (Q1-2026) and 30.9% (H1-2026) — which implies 35.2% in the second quarter alone, so the adopted rate sits below all four of the most recent readings.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of the 30.9% the reviewed half printed,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