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Alexandria Mineral Oils Company S.A.E. (EGX: AMOC) — Bibliography and Source Register</w:t>
      </w:r>
    </w:p>
    <w:p>
      <w:pPr>
        <w:spacing w:after="100" w:before="0"/>
      </w:pPr>
      <w:r>
        <w:rPr>
          <w:b w:val="0"/>
          <w:i w:val="0"/>
          <w:color w:val="6E7B77"/>
          <w:sz w:val="19"/>
        </w:rPr>
        <w:t>Companion document to the valuation study dated 6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Three things are worth knowing before reading the tables. First, inputs marked "House" are judgements or derivations made by the analyst, not disclosures by the company; each carries the reasoning that produced it, and a reader is free to disagree and re-run the model. Second, several figures are TRIANGULATED — derived independently by more than one route and averaged, with all the routes shown, because the underlying figure was disclosed only through a growth rate. Third, where a source could not be reached, that is recorded as a negative result at the end of this document rather than quietly filled in.</w:t>
      </w:r>
    </w:p>
    <w:p>
      <w:pPr>
        <w:spacing w:after="60" w:before="160"/>
      </w:pPr>
      <w:r>
        <w:rPr>
          <w:b/>
          <w:i w:val="0"/>
          <w:color w:val="1C3A36"/>
          <w:sz w:val="22"/>
        </w:rPr>
        <w:t>An unusual limitation of this edition, stated up front</w:t>
      </w:r>
    </w:p>
    <w:p>
      <w:pPr>
        <w:spacing w:after="100" w:before="0"/>
      </w:pPr>
      <w:r>
        <w:rPr>
          <w:b w:val="0"/>
          <w:i w:val="0"/>
          <w:color w:val="1C3A36"/>
          <w:sz w:val="20"/>
        </w:rPr>
        <w:t>Primary filings were NOT reachable from the environment in which this study was built. The company's investor-relations site, the exchange's disclosure pages and the commercial financial-data terminals all refused connections under the network policy in force. Every company figure in this study therefore comes from published reporting of the company's releases and from financial-data aggregators, not from the audited statements themselves.</w:t>
      </w:r>
    </w:p>
    <w:p>
      <w:pPr>
        <w:spacing w:after="100" w:before="0"/>
      </w:pPr>
      <w:r>
        <w:rPr>
          <w:b w:val="0"/>
          <w:i w:val="0"/>
          <w:color w:val="1C3A36"/>
          <w:sz w:val="20"/>
        </w:rPr>
        <w:t>The response to that constraint was not to proceed quietly. It was to (a) triangulate every material figure across independent sources and show the triangulation on the face of the model, (b) reconstruct the base year from two separately disclosed halves rather than accept any single reported twelve-month figure, and (c) mark every reconstructed line as reconstructed wherever it appears. A reader with access to the audited statements should treat this register as the list of things to check first.</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Company</w:t>
            </w:r>
          </w:p>
        </w:tc>
        <w:tc>
          <w:tcPr>
            <w:tcW w:type="dxa" w:w="8568"/>
          </w:tcPr>
          <w:p>
            <w:pPr>
              <w:spacing w:after="20"/>
            </w:pPr>
            <w:r>
              <w:rPr>
                <w:color w:val="1C3A36"/>
                <w:sz w:val="17"/>
              </w:rPr>
              <w:t>Alexandria Mineral Oils' own results releases, general-assembly resolutions and disclosed operating statistics, as reported by the trade and financial press</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Lubricant base oils, paraffin wax and refined-product markets; the crude and product price deck</w:t>
            </w:r>
          </w:p>
        </w:tc>
      </w:tr>
      <w:tr>
        <w:tc>
          <w:tcPr>
            <w:tcW w:type="dxa" w:w="1512"/>
          </w:tcPr>
          <w:p>
            <w:pPr>
              <w:spacing w:after="20"/>
            </w:pPr>
            <w:r>
              <w:rPr>
                <w:color w:val="1C3A36"/>
                <w:sz w:val="17"/>
              </w:rPr>
              <w:t>Global</w:t>
            </w:r>
          </w:p>
        </w:tc>
        <w:tc>
          <w:tcPr>
            <w:tcW w:type="dxa" w:w="8568"/>
          </w:tcPr>
          <w:p>
            <w:pPr>
              <w:spacing w:after="20"/>
            </w:pPr>
            <w:r>
              <w:rPr>
                <w:color w:val="1C3A36"/>
                <w:sz w:val="17"/>
              </w:rPr>
              <w:t>World interest rates and growth used in the currency-of-discounting alternative and the terminal ceiling</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sources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872"/>
        <w:gridCol w:w="1152"/>
        <w:gridCol w:w="4464"/>
      </w:tblGrid>
      <w:tr>
        <w:tc>
          <w:tcPr>
            <w:tcW w:type="dxa" w:w="2664"/>
            <w:shd w:val="clear" w:color="auto" w:fill="EAF0EE"/>
          </w:tcPr>
          <w:p>
            <w:pPr>
              <w:spacing w:after="20"/>
            </w:pPr>
            <w:r>
              <w:rPr>
                <w:b/>
                <w:color w:val="1C3A36"/>
                <w:sz w:val="15"/>
              </w:rPr>
              <w:t>Source</w:t>
            </w:r>
          </w:p>
        </w:tc>
        <w:tc>
          <w:tcPr>
            <w:tcW w:type="dxa" w:w="1872"/>
            <w:shd w:val="clear" w:color="auto" w:fill="EAF0EE"/>
          </w:tcPr>
          <w:p>
            <w:pPr>
              <w:spacing w:after="20"/>
            </w:pPr>
            <w:r>
              <w:rPr>
                <w:b/>
                <w:color w:val="1C3A36"/>
                <w:sz w:val="15"/>
              </w:rPr>
              <w:t>Publisher</w:t>
            </w:r>
          </w:p>
        </w:tc>
        <w:tc>
          <w:tcPr>
            <w:tcW w:type="dxa" w:w="1152"/>
            <w:shd w:val="clear" w:color="auto" w:fill="EAF0EE"/>
          </w:tcPr>
          <w:p>
            <w:pPr>
              <w:spacing w:after="20"/>
            </w:pPr>
            <w:r>
              <w:rPr>
                <w:b/>
                <w:color w:val="1C3A36"/>
                <w:sz w:val="15"/>
              </w:rPr>
              <w:t>Date</w:t>
            </w:r>
          </w:p>
        </w:tc>
        <w:tc>
          <w:tcPr>
            <w:tcW w:type="dxa" w:w="4464"/>
            <w:shd w:val="clear" w:color="auto" w:fill="EAF0EE"/>
          </w:tcPr>
          <w:p>
            <w:pPr>
              <w:spacing w:after="20"/>
            </w:pPr>
            <w:r>
              <w:rPr>
                <w:b/>
                <w:color w:val="1C3A36"/>
                <w:sz w:val="15"/>
              </w:rPr>
              <w:t>What was taken from it</w:t>
            </w:r>
          </w:p>
        </w:tc>
      </w:tr>
      <w:tr>
        <w:tc>
          <w:tcPr>
            <w:tcW w:type="dxa" w:w="2664"/>
          </w:tcPr>
          <w:p>
            <w:pPr>
              <w:spacing w:after="20"/>
            </w:pPr>
            <w:r>
              <w:rPr>
                <w:color w:val="1C3A36"/>
                <w:sz w:val="15"/>
              </w:rPr>
              <w:t>"AMOC Doubles FY 2025/26 Profit as Revenue Expands 35%"</w:t>
            </w:r>
          </w:p>
        </w:tc>
        <w:tc>
          <w:tcPr>
            <w:tcW w:type="dxa" w:w="1872"/>
          </w:tcPr>
          <w:p>
            <w:pPr>
              <w:spacing w:after="20"/>
            </w:pPr>
            <w:r>
              <w:rPr>
                <w:color w:val="1C3A36"/>
                <w:sz w:val="15"/>
              </w:rPr>
              <w:t>Egypt Oil &amp; Gas</w:t>
            </w:r>
          </w:p>
        </w:tc>
        <w:tc>
          <w:tcPr>
            <w:tcW w:type="dxa" w:w="1152"/>
          </w:tcPr>
          <w:p>
            <w:pPr>
              <w:spacing w:after="20"/>
            </w:pPr>
            <w:r>
              <w:rPr>
                <w:color w:val="1C3A36"/>
                <w:sz w:val="15"/>
              </w:rPr>
              <w:t>Aug 2026</w:t>
            </w:r>
          </w:p>
        </w:tc>
        <w:tc>
          <w:tcPr>
            <w:tcW w:type="dxa" w:w="4464"/>
          </w:tcPr>
          <w:p>
            <w:pPr>
              <w:spacing w:after="20"/>
            </w:pPr>
            <w:r>
              <w:rPr>
                <w:color w:val="1C3A36"/>
                <w:sz w:val="15"/>
              </w:rPr>
              <w:t>Revenue and profit after tax for the six months to 30 June 2026, on both a consolidated and a standalone basis, together with operating cash flow. Carried as corroboration only; the period it covers was IDENTIFIED by reconciling its two reported growth rates against the constructed comparative</w:t>
            </w:r>
          </w:p>
        </w:tc>
      </w:tr>
      <w:tr>
        <w:tc>
          <w:tcPr>
            <w:tcW w:type="dxa" w:w="2664"/>
          </w:tcPr>
          <w:p>
            <w:pPr>
              <w:spacing w:after="20"/>
            </w:pPr>
            <w:r>
              <w:rPr>
                <w:color w:val="1C3A36"/>
                <w:sz w:val="15"/>
              </w:rPr>
              <w:t>"AMOC Net Profit Rises 37% in Q1 2026"</w:t>
            </w:r>
          </w:p>
        </w:tc>
        <w:tc>
          <w:tcPr>
            <w:tcW w:type="dxa" w:w="1872"/>
          </w:tcPr>
          <w:p>
            <w:pPr>
              <w:spacing w:after="20"/>
            </w:pPr>
            <w:r>
              <w:rPr>
                <w:color w:val="1C3A36"/>
                <w:sz w:val="15"/>
              </w:rPr>
              <w:t>Egypt Oil &amp; Gas</w:t>
            </w:r>
          </w:p>
        </w:tc>
        <w:tc>
          <w:tcPr>
            <w:tcW w:type="dxa" w:w="1152"/>
          </w:tcPr>
          <w:p>
            <w:pPr>
              <w:spacing w:after="20"/>
            </w:pPr>
            <w:r>
              <w:rPr>
                <w:color w:val="1C3A36"/>
                <w:sz w:val="15"/>
              </w:rPr>
              <w:t>Apr–May 2026</w:t>
            </w:r>
          </w:p>
        </w:tc>
        <w:tc>
          <w:tcPr>
            <w:tcW w:type="dxa" w:w="4464"/>
          </w:tcPr>
          <w:p>
            <w:pPr>
              <w:spacing w:after="20"/>
            </w:pPr>
            <w:r>
              <w:rPr>
                <w:color w:val="1C3A36"/>
                <w:sz w:val="15"/>
              </w:rPr>
              <w:t>Consolidated net sales of EGP 10.51bn and consolidated net profit of EGP 635.12mn for the quarter to 31 March 2026, with the prior-year comparative. Also the confirmation that the company now reports on CALENDAR quarters</w:t>
            </w:r>
          </w:p>
        </w:tc>
      </w:tr>
      <w:tr>
        <w:tc>
          <w:tcPr>
            <w:tcW w:type="dxa" w:w="2664"/>
          </w:tcPr>
          <w:p>
            <w:pPr>
              <w:spacing w:after="20"/>
            </w:pPr>
            <w:r>
              <w:rPr>
                <w:color w:val="1C3A36"/>
                <w:sz w:val="15"/>
              </w:rPr>
              <w:t>"AMOC Reports Sales of EGP 20 Bn in H2 2025" and the general-assembly report</w:t>
            </w:r>
          </w:p>
        </w:tc>
        <w:tc>
          <w:tcPr>
            <w:tcW w:type="dxa" w:w="1872"/>
          </w:tcPr>
          <w:p>
            <w:pPr>
              <w:spacing w:after="20"/>
            </w:pPr>
            <w:r>
              <w:rPr>
                <w:color w:val="1C3A36"/>
                <w:sz w:val="15"/>
              </w:rPr>
              <w:t>Egypt Oil &amp; Gas; Egyptian Ministry of Petroleum</w:t>
            </w:r>
          </w:p>
        </w:tc>
        <w:tc>
          <w:tcPr>
            <w:tcW w:type="dxa" w:w="1152"/>
          </w:tcPr>
          <w:p>
            <w:pPr>
              <w:spacing w:after="20"/>
            </w:pPr>
            <w:r>
              <w:rPr>
                <w:color w:val="1C3A36"/>
                <w:sz w:val="15"/>
              </w:rPr>
              <w:t>Mar 2026</w:t>
            </w:r>
          </w:p>
        </w:tc>
        <w:tc>
          <w:tcPr>
            <w:tcW w:type="dxa" w:w="4464"/>
          </w:tcPr>
          <w:p>
            <w:pPr>
              <w:spacing w:after="20"/>
            </w:pPr>
            <w:r>
              <w:rPr>
                <w:color w:val="1C3A36"/>
                <w:sz w:val="15"/>
              </w:rPr>
              <w:t>The July–December 2025 transition period: 808,000 tonnes sold, sales of about EGP 20bn, a 14.5% growth rate, exports of about 42,000 tonnes up 40%, the EGP 0.40 per share dividend approved on 28 March 2026, and the four new storage tanks</w:t>
            </w:r>
          </w:p>
        </w:tc>
      </w:tr>
      <w:tr>
        <w:tc>
          <w:tcPr>
            <w:tcW w:type="dxa" w:w="2664"/>
          </w:tcPr>
          <w:p>
            <w:pPr>
              <w:spacing w:after="20"/>
            </w:pPr>
            <w:r>
              <w:rPr>
                <w:color w:val="1C3A36"/>
                <w:sz w:val="15"/>
              </w:rPr>
              <w:t>"AMOC's consolidated profits rise 2% YoY in H1 FY 2025/26"</w:t>
            </w:r>
          </w:p>
        </w:tc>
        <w:tc>
          <w:tcPr>
            <w:tcW w:type="dxa" w:w="1872"/>
          </w:tcPr>
          <w:p>
            <w:pPr>
              <w:spacing w:after="20"/>
            </w:pPr>
            <w:r>
              <w:rPr>
                <w:color w:val="1C3A36"/>
                <w:sz w:val="15"/>
              </w:rPr>
              <w:t>Arab Finance</w:t>
            </w:r>
          </w:p>
        </w:tc>
        <w:tc>
          <w:tcPr>
            <w:tcW w:type="dxa" w:w="1152"/>
          </w:tcPr>
          <w:p>
            <w:pPr>
              <w:spacing w:after="20"/>
            </w:pPr>
            <w:r>
              <w:rPr>
                <w:color w:val="1C3A36"/>
                <w:sz w:val="15"/>
              </w:rPr>
              <w:t>Feb 2026</w:t>
            </w:r>
          </w:p>
        </w:tc>
        <w:tc>
          <w:tcPr>
            <w:tcW w:type="dxa" w:w="4464"/>
          </w:tcPr>
          <w:p>
            <w:pPr>
              <w:spacing w:after="20"/>
            </w:pPr>
            <w:r>
              <w:rPr>
                <w:color w:val="1C3A36"/>
                <w:sz w:val="15"/>
              </w:rPr>
              <w:t>Consolidated sales of EGP 20.735bn against EGP 18.246bn, and consolidated profit after tax of EGP 656.428mn, +2%. The prior-year comparative half is what makes the base-year construction possible</w:t>
            </w:r>
          </w:p>
        </w:tc>
      </w:tr>
      <w:tr>
        <w:tc>
          <w:tcPr>
            <w:tcW w:type="dxa" w:w="2664"/>
          </w:tcPr>
          <w:p>
            <w:pPr>
              <w:spacing w:after="20"/>
            </w:pPr>
            <w:r>
              <w:rPr>
                <w:color w:val="1C3A36"/>
                <w:sz w:val="15"/>
              </w:rPr>
              <w:t>"AMOC Reports 27% Sales Growth for Q1 FY2025/26"</w:t>
            </w:r>
          </w:p>
        </w:tc>
        <w:tc>
          <w:tcPr>
            <w:tcW w:type="dxa" w:w="1872"/>
          </w:tcPr>
          <w:p>
            <w:pPr>
              <w:spacing w:after="20"/>
            </w:pPr>
            <w:r>
              <w:rPr>
                <w:color w:val="1C3A36"/>
                <w:sz w:val="15"/>
              </w:rPr>
              <w:t>Egypt Oil &amp; Gas</w:t>
            </w:r>
          </w:p>
        </w:tc>
        <w:tc>
          <w:tcPr>
            <w:tcW w:type="dxa" w:w="1152"/>
          </w:tcPr>
          <w:p>
            <w:pPr>
              <w:spacing w:after="20"/>
            </w:pPr>
            <w:r>
              <w:rPr>
                <w:color w:val="1C3A36"/>
                <w:sz w:val="15"/>
              </w:rPr>
              <w:t>Nov 2025</w:t>
            </w:r>
          </w:p>
        </w:tc>
        <w:tc>
          <w:tcPr>
            <w:tcW w:type="dxa" w:w="4464"/>
          </w:tcPr>
          <w:p>
            <w:pPr>
              <w:spacing w:after="20"/>
            </w:pPr>
            <w:r>
              <w:rPr>
                <w:color w:val="1C3A36"/>
                <w:sz w:val="15"/>
              </w:rPr>
              <w:t>Standalone and consolidated net sales and profit for the quarter to 30 September 2025</w:t>
            </w:r>
          </w:p>
        </w:tc>
      </w:tr>
      <w:tr>
        <w:tc>
          <w:tcPr>
            <w:tcW w:type="dxa" w:w="2664"/>
          </w:tcPr>
          <w:p>
            <w:pPr>
              <w:spacing w:after="20"/>
            </w:pPr>
            <w:r>
              <w:rPr>
                <w:color w:val="1C3A36"/>
                <w:sz w:val="15"/>
              </w:rPr>
              <w:t>"AMOC Reports 17.3% Increase in Standalone Net Profit for FY 2024/25" and the FY2024/25 results commentary</w:t>
            </w:r>
          </w:p>
        </w:tc>
        <w:tc>
          <w:tcPr>
            <w:tcW w:type="dxa" w:w="1872"/>
          </w:tcPr>
          <w:p>
            <w:pPr>
              <w:spacing w:after="20"/>
            </w:pPr>
            <w:r>
              <w:rPr>
                <w:color w:val="1C3A36"/>
                <w:sz w:val="15"/>
              </w:rPr>
              <w:t>Egypt Oil &amp; Gas; MarketScreener</w:t>
            </w:r>
          </w:p>
        </w:tc>
        <w:tc>
          <w:tcPr>
            <w:tcW w:type="dxa" w:w="1152"/>
          </w:tcPr>
          <w:p>
            <w:pPr>
              <w:spacing w:after="20"/>
            </w:pPr>
            <w:r>
              <w:rPr>
                <w:color w:val="1C3A36"/>
                <w:sz w:val="15"/>
              </w:rPr>
              <w:t>Sep–Oct 2025</w:t>
            </w:r>
          </w:p>
        </w:tc>
        <w:tc>
          <w:tcPr>
            <w:tcW w:type="dxa" w:w="4464"/>
          </w:tcPr>
          <w:p>
            <w:pPr>
              <w:spacing w:after="20"/>
            </w:pPr>
            <w:r>
              <w:rPr>
                <w:color w:val="1C3A36"/>
                <w:sz w:val="15"/>
              </w:rPr>
              <w:t>Standalone profit of EGP 1.49bn (+17.3%) and consolidated profit of EGP 1.55bn (+3%) for the year to 30 June 2025; sales of 1.26mn tonnes valued at EGP 36.9bn, +10.8% on 2023/24; output of oils and waxes of 172,000 tonnes at 108% of target</w:t>
            </w:r>
          </w:p>
        </w:tc>
      </w:tr>
      <w:tr>
        <w:tc>
          <w:tcPr>
            <w:tcW w:type="dxa" w:w="2664"/>
          </w:tcPr>
          <w:p>
            <w:pPr>
              <w:spacing w:after="20"/>
            </w:pPr>
            <w:r>
              <w:rPr>
                <w:color w:val="1C3A36"/>
                <w:sz w:val="15"/>
              </w:rPr>
              <w:t>"AMOC approves FY2025/26 planning budget"; "AMOC Approves EGP 580mm Capital Budget"</w:t>
            </w:r>
          </w:p>
        </w:tc>
        <w:tc>
          <w:tcPr>
            <w:tcW w:type="dxa" w:w="1872"/>
          </w:tcPr>
          <w:p>
            <w:pPr>
              <w:spacing w:after="20"/>
            </w:pPr>
            <w:r>
              <w:rPr>
                <w:color w:val="1C3A36"/>
                <w:sz w:val="15"/>
              </w:rPr>
              <w:t>Zawya / Reuters; Egypt Oil &amp; Gas</w:t>
            </w:r>
          </w:p>
        </w:tc>
        <w:tc>
          <w:tcPr>
            <w:tcW w:type="dxa" w:w="1152"/>
          </w:tcPr>
          <w:p>
            <w:pPr>
              <w:spacing w:after="20"/>
            </w:pPr>
            <w:r>
              <w:rPr>
                <w:color w:val="1C3A36"/>
                <w:sz w:val="15"/>
              </w:rPr>
              <w:t>Jun–Jul 2025</w:t>
            </w:r>
          </w:p>
        </w:tc>
        <w:tc>
          <w:tcPr>
            <w:tcW w:type="dxa" w:w="4464"/>
          </w:tcPr>
          <w:p>
            <w:pPr>
              <w:spacing w:after="20"/>
            </w:pPr>
            <w:r>
              <w:rPr>
                <w:color w:val="1C3A36"/>
                <w:sz w:val="15"/>
              </w:rPr>
              <w:t>The approved capital budget of EGP 580.19mn and the planning-budget net sales of EGP 37.332bn — the anchor for the capital-expenditure driver</w:t>
            </w:r>
          </w:p>
        </w:tc>
      </w:tr>
      <w:tr>
        <w:tc>
          <w:tcPr>
            <w:tcW w:type="dxa" w:w="2664"/>
          </w:tcPr>
          <w:p>
            <w:pPr>
              <w:spacing w:after="20"/>
            </w:pPr>
            <w:r>
              <w:rPr>
                <w:color w:val="1C3A36"/>
                <w:sz w:val="15"/>
              </w:rPr>
              <w:t>"AMOC's Exceptional Fiscal Year 22/23 Results Gain Approval at the Annual General Assembly"</w:t>
            </w:r>
          </w:p>
        </w:tc>
        <w:tc>
          <w:tcPr>
            <w:tcW w:type="dxa" w:w="1872"/>
          </w:tcPr>
          <w:p>
            <w:pPr>
              <w:spacing w:after="20"/>
            </w:pPr>
            <w:r>
              <w:rPr>
                <w:color w:val="1C3A36"/>
                <w:sz w:val="15"/>
              </w:rPr>
              <w:t>MoneyController</w:t>
            </w:r>
          </w:p>
        </w:tc>
        <w:tc>
          <w:tcPr>
            <w:tcW w:type="dxa" w:w="1152"/>
          </w:tcPr>
          <w:p>
            <w:pPr>
              <w:spacing w:after="20"/>
            </w:pPr>
            <w:r>
              <w:rPr>
                <w:color w:val="1C3A36"/>
                <w:sz w:val="15"/>
              </w:rPr>
              <w:t>2023</w:t>
            </w:r>
          </w:p>
        </w:tc>
        <w:tc>
          <w:tcPr>
            <w:tcW w:type="dxa" w:w="4464"/>
          </w:tcPr>
          <w:p>
            <w:pPr>
              <w:spacing w:after="20"/>
            </w:pPr>
            <w:r>
              <w:rPr>
                <w:color w:val="1C3A36"/>
                <w:sz w:val="15"/>
              </w:rPr>
              <w:t>Cost of sales of EGP 21,218.64mn and gross profit of EGP 1,297.01mn for the year to 30 June 2023 — the ONLY period for which both the cost line and the margin line are separately available, and therefore the anchor for the whole margin discussion</w:t>
            </w:r>
          </w:p>
        </w:tc>
      </w:tr>
      <w:tr>
        <w:tc>
          <w:tcPr>
            <w:tcW w:type="dxa" w:w="2664"/>
          </w:tcPr>
          <w:p>
            <w:pPr>
              <w:spacing w:after="20"/>
            </w:pPr>
            <w:r>
              <w:rPr>
                <w:color w:val="1C3A36"/>
                <w:sz w:val="15"/>
              </w:rPr>
              <w:t>Company financial summary pages</w:t>
            </w:r>
          </w:p>
        </w:tc>
        <w:tc>
          <w:tcPr>
            <w:tcW w:type="dxa" w:w="1872"/>
          </w:tcPr>
          <w:p>
            <w:pPr>
              <w:spacing w:after="20"/>
            </w:pPr>
            <w:r>
              <w:rPr>
                <w:color w:val="1C3A36"/>
                <w:sz w:val="15"/>
              </w:rPr>
              <w:t>stockanalysis.com; Investing.com; TradingView</w:t>
            </w:r>
          </w:p>
        </w:tc>
        <w:tc>
          <w:tcPr>
            <w:tcW w:type="dxa" w:w="1152"/>
          </w:tcPr>
          <w:p>
            <w:pPr>
              <w:spacing w:after="20"/>
            </w:pPr>
            <w:r>
              <w:rPr>
                <w:color w:val="1C3A36"/>
                <w:sz w:val="15"/>
              </w:rPr>
              <w:t>Aug 2026</w:t>
            </w:r>
          </w:p>
        </w:tc>
        <w:tc>
          <w:tcPr>
            <w:tcW w:type="dxa" w:w="4464"/>
          </w:tcPr>
          <w:p>
            <w:pPr>
              <w:spacing w:after="20"/>
            </w:pPr>
            <w:r>
              <w:rPr>
                <w:color w:val="1C3A36"/>
                <w:sz w:val="15"/>
              </w:rPr>
              <w:t>Shares outstanding, market capitalisation, total assets, total liabilities, cash and equivalents, total debt, dividend per share and payout ratio</w:t>
            </w:r>
          </w:p>
        </w:tc>
      </w:tr>
      <w:tr>
        <w:tc>
          <w:tcPr>
            <w:tcW w:type="dxa" w:w="2664"/>
          </w:tcPr>
          <w:p>
            <w:pPr>
              <w:spacing w:after="20"/>
            </w:pPr>
            <w:r>
              <w:rPr>
                <w:color w:val="1C3A36"/>
                <w:sz w:val="15"/>
              </w:rPr>
              <w:t>Monetary Policy Report Q1 2026 and the August 2026 rate decision</w:t>
            </w:r>
          </w:p>
        </w:tc>
        <w:tc>
          <w:tcPr>
            <w:tcW w:type="dxa" w:w="1872"/>
          </w:tcPr>
          <w:p>
            <w:pPr>
              <w:spacing w:after="20"/>
            </w:pPr>
            <w:r>
              <w:rPr>
                <w:color w:val="1C3A36"/>
                <w:sz w:val="15"/>
              </w:rPr>
              <w:t>Central Bank of Egypt</w:t>
            </w:r>
          </w:p>
        </w:tc>
        <w:tc>
          <w:tcPr>
            <w:tcW w:type="dxa" w:w="1152"/>
          </w:tcPr>
          <w:p>
            <w:pPr>
              <w:spacing w:after="20"/>
            </w:pPr>
            <w:r>
              <w:rPr>
                <w:color w:val="1C3A36"/>
                <w:sz w:val="15"/>
              </w:rPr>
              <w:t>2026</w:t>
            </w:r>
          </w:p>
        </w:tc>
        <w:tc>
          <w:tcPr>
            <w:tcW w:type="dxa" w:w="4464"/>
          </w:tcPr>
          <w:p>
            <w:pPr>
              <w:spacing w:after="20"/>
            </w:pPr>
            <w:r>
              <w:rPr>
                <w:color w:val="1C3A36"/>
                <w:sz w:val="15"/>
              </w:rPr>
              <w:t>Main operation rate 19.50% (corridor 19.00/20.00), held for a second consecutive meeting; annual headline inflation of 14.30% in June 2026; the 7% (±2pp) fourth-quarter 2026 and 5% (±2pp) fourth-quarter 2028 inflation targets used to build the terminal risk-free rate</w:t>
            </w:r>
          </w:p>
        </w:tc>
      </w:tr>
      <w:tr>
        <w:tc>
          <w:tcPr>
            <w:tcW w:type="dxa" w:w="2664"/>
          </w:tcPr>
          <w:p>
            <w:pPr>
              <w:spacing w:after="20"/>
            </w:pPr>
            <w:r>
              <w:rPr>
                <w:color w:val="1C3A36"/>
                <w:sz w:val="15"/>
              </w:rPr>
              <w:t>Country default spreads and risk premiums, Egypt row</w:t>
            </w:r>
          </w:p>
        </w:tc>
        <w:tc>
          <w:tcPr>
            <w:tcW w:type="dxa" w:w="1872"/>
          </w:tcPr>
          <w:p>
            <w:pPr>
              <w:spacing w:after="20"/>
            </w:pPr>
            <w:r>
              <w:rPr>
                <w:color w:val="1C3A36"/>
                <w:sz w:val="15"/>
              </w:rPr>
              <w:t>A. Damodaran, Stern School of Business, New York University</w:t>
            </w:r>
          </w:p>
        </w:tc>
        <w:tc>
          <w:tcPr>
            <w:tcW w:type="dxa" w:w="1152"/>
          </w:tcPr>
          <w:p>
            <w:pPr>
              <w:spacing w:after="20"/>
            </w:pPr>
            <w:r>
              <w:rPr>
                <w:color w:val="1C3A36"/>
                <w:sz w:val="15"/>
              </w:rPr>
              <w:t>January 2026</w:t>
            </w:r>
          </w:p>
        </w:tc>
        <w:tc>
          <w:tcPr>
            <w:tcW w:type="dxa" w:w="4464"/>
          </w:tcPr>
          <w:p>
            <w:pPr>
              <w:spacing w:after="20"/>
            </w:pPr>
            <w:r>
              <w:rPr>
                <w:color w:val="1C3A36"/>
                <w:sz w:val="15"/>
              </w:rPr>
              <w:t>The credit-default-swap-basis equity risk premium and sovereign default spread used as primary, and the rating-basis pair disclosed as the computed alternative</w:t>
            </w:r>
          </w:p>
        </w:tc>
      </w:tr>
      <w:tr>
        <w:tc>
          <w:tcPr>
            <w:tcW w:type="dxa" w:w="2664"/>
          </w:tcPr>
          <w:p>
            <w:pPr>
              <w:spacing w:after="20"/>
            </w:pPr>
            <w:r>
              <w:rPr>
                <w:color w:val="1C3A36"/>
                <w:sz w:val="15"/>
              </w:rPr>
              <w:t>Egyptian pound closing rates and the 10-year government bond yield</w:t>
            </w:r>
          </w:p>
        </w:tc>
        <w:tc>
          <w:tcPr>
            <w:tcW w:type="dxa" w:w="1872"/>
          </w:tcPr>
          <w:p>
            <w:pPr>
              <w:spacing w:after="20"/>
            </w:pPr>
            <w:r>
              <w:rPr>
                <w:color w:val="1C3A36"/>
                <w:sz w:val="15"/>
              </w:rPr>
              <w:t>Amwal Al Ghad; house cost-of-capital reference</w:t>
            </w:r>
          </w:p>
        </w:tc>
        <w:tc>
          <w:tcPr>
            <w:tcW w:type="dxa" w:w="1152"/>
          </w:tcPr>
          <w:p>
            <w:pPr>
              <w:spacing w:after="20"/>
            </w:pPr>
            <w:r>
              <w:rPr>
                <w:color w:val="1C3A36"/>
                <w:sz w:val="15"/>
              </w:rPr>
              <w:t>Jul–Aug 2026</w:t>
            </w:r>
          </w:p>
        </w:tc>
        <w:tc>
          <w:tcPr>
            <w:tcW w:type="dxa" w:w="4464"/>
          </w:tcPr>
          <w:p>
            <w:pPr>
              <w:spacing w:after="20"/>
            </w:pPr>
            <w:r>
              <w:rPr>
                <w:color w:val="1C3A36"/>
                <w:sz w:val="15"/>
              </w:rPr>
              <w:t>USD/EGP at 50.25 (close of 50.30/50.40 on 4 August 2026) and the 10-year local-currency yield of 22.31%</w:t>
            </w:r>
          </w:p>
        </w:tc>
      </w:tr>
      <w:tr>
        <w:tc>
          <w:tcPr>
            <w:tcW w:type="dxa" w:w="2664"/>
          </w:tcPr>
          <w:p>
            <w:pPr>
              <w:spacing w:after="20"/>
            </w:pPr>
            <w:r>
              <w:rPr>
                <w:color w:val="1C3A36"/>
                <w:sz w:val="15"/>
              </w:rPr>
              <w:t>engine/raw_ohlc/EG/AMOC.csv — daily open, high, low, close and volume</w:t>
            </w:r>
          </w:p>
        </w:tc>
        <w:tc>
          <w:tcPr>
            <w:tcW w:type="dxa" w:w="1872"/>
          </w:tcPr>
          <w:p>
            <w:pPr>
              <w:spacing w:after="20"/>
            </w:pPr>
            <w:r>
              <w:rPr>
                <w:color w:val="1C3A36"/>
                <w:sz w:val="15"/>
              </w:rPr>
              <w:t>Vendor export, screened through the house data-quality gate</w:t>
            </w:r>
          </w:p>
        </w:tc>
        <w:tc>
          <w:tcPr>
            <w:tcW w:type="dxa" w:w="1152"/>
          </w:tcPr>
          <w:p>
            <w:pPr>
              <w:spacing w:after="20"/>
            </w:pPr>
            <w:r>
              <w:rPr>
                <w:color w:val="1C3A36"/>
                <w:sz w:val="15"/>
              </w:rPr>
              <w:t>2 Jan 2011 – 6 Aug 2026</w:t>
            </w:r>
          </w:p>
        </w:tc>
        <w:tc>
          <w:tcPr>
            <w:tcW w:type="dxa" w:w="4464"/>
          </w:tcPr>
          <w:p>
            <w:pPr>
              <w:spacing w:after="20"/>
            </w:pPr>
            <w:r>
              <w:rPr>
                <w:color w:val="1C3A36"/>
                <w:sz w:val="15"/>
              </w:rPr>
              <w:t>The full price history: the closing price the study is anchored on, the beta regression, the volatility estimate and the simulated price distribution</w:t>
            </w:r>
          </w:p>
        </w:tc>
      </w:tr>
    </w:tbl>
    <w:p>
      <w:pPr>
        <w:spacing w:after="40"/>
      </w:pPr>
    </w:p>
    <w:p>
      <w:pPr>
        <w:spacing w:after="80" w:before="240"/>
      </w:pPr>
      <w:r>
        <w:rPr>
          <w:b/>
          <w:i w:val="0"/>
          <w:color w:val="1C3A36"/>
          <w:sz w:val="26"/>
        </w:rPr>
        <w:t>Triangulated figures — every route shown</w:t>
      </w:r>
    </w:p>
    <w:p>
      <w:pPr>
        <w:spacing w:after="100" w:before="0"/>
      </w:pPr>
      <w:r>
        <w:rPr>
          <w:b w:val="0"/>
          <w:i w:val="0"/>
          <w:color w:val="1C3A36"/>
          <w:sz w:val="20"/>
        </w:rPr>
        <w:t>Where a figure was disclosed only through a growth rate, it is derived by more than one independent route and the AVERAGE is carried. The routes are on the face of the companion model as live formulas, not asserted here.</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4968"/>
        <w:gridCol w:w="1440"/>
        <w:gridCol w:w="1368"/>
      </w:tblGrid>
      <w:tr>
        <w:tc>
          <w:tcPr>
            <w:tcW w:type="dxa" w:w="1944"/>
            <w:shd w:val="clear" w:color="auto" w:fill="EAF0EE"/>
          </w:tcPr>
          <w:p>
            <w:pPr>
              <w:spacing w:after="20"/>
            </w:pPr>
            <w:r>
              <w:rPr>
                <w:b/>
                <w:color w:val="1C3A36"/>
                <w:sz w:val="16"/>
              </w:rPr>
              <w:t>Figure</w:t>
            </w:r>
          </w:p>
        </w:tc>
        <w:tc>
          <w:tcPr>
            <w:tcW w:type="dxa" w:w="4968"/>
            <w:shd w:val="clear" w:color="auto" w:fill="EAF0EE"/>
          </w:tcPr>
          <w:p>
            <w:pPr>
              <w:spacing w:after="20"/>
            </w:pPr>
            <w:r>
              <w:rPr>
                <w:b/>
                <w:color w:val="1C3A36"/>
                <w:sz w:val="16"/>
              </w:rPr>
              <w:t>Route</w:t>
            </w:r>
          </w:p>
        </w:tc>
        <w:tc>
          <w:tcPr>
            <w:tcW w:type="dxa" w:w="1440"/>
            <w:shd w:val="clear" w:color="auto" w:fill="EAF0EE"/>
          </w:tcPr>
          <w:p>
            <w:pPr>
              <w:spacing w:after="20"/>
            </w:pPr>
            <w:r>
              <w:rPr>
                <w:b/>
                <w:color w:val="1C3A36"/>
                <w:sz w:val="16"/>
              </w:rPr>
              <w:t>Value (EGP mn)</w:t>
            </w:r>
          </w:p>
        </w:tc>
        <w:tc>
          <w:tcPr>
            <w:tcW w:type="dxa" w:w="1368"/>
            <w:shd w:val="clear" w:color="auto" w:fill="EAF0EE"/>
          </w:tcPr>
          <w:p>
            <w:pPr>
              <w:spacing w:after="20"/>
            </w:pPr>
            <w:r>
              <w:rPr>
                <w:b/>
                <w:color w:val="1C3A36"/>
                <w:sz w:val="16"/>
              </w:rPr>
              <w:t>Adopted</w:t>
            </w:r>
          </w:p>
        </w:tc>
      </w:tr>
      <w:tr>
        <w:tc>
          <w:tcPr>
            <w:tcW w:type="dxa" w:w="1944"/>
          </w:tcPr>
          <w:p>
            <w:pPr>
              <w:spacing w:after="20"/>
            </w:pPr>
            <w:r>
              <w:rPr>
                <w:color w:val="1C3A36"/>
                <w:sz w:val="16"/>
              </w:rPr>
              <w:t>FY2023/24 revenue</w:t>
            </w:r>
          </w:p>
        </w:tc>
        <w:tc>
          <w:tcPr>
            <w:tcW w:type="dxa" w:w="4968"/>
          </w:tcPr>
          <w:p>
            <w:pPr>
              <w:spacing w:after="20"/>
            </w:pPr>
            <w:r>
              <w:rPr>
                <w:color w:val="1C3A36"/>
                <w:sz w:val="16"/>
              </w:rPr>
              <w:t>A: prior-year comparative in the FY2024/25 summary</w:t>
            </w:r>
          </w:p>
        </w:tc>
        <w:tc>
          <w:tcPr>
            <w:tcW w:type="dxa" w:w="1440"/>
          </w:tcPr>
          <w:p>
            <w:pPr>
              <w:spacing w:after="20"/>
            </w:pPr>
            <w:r>
              <w:rPr>
                <w:color w:val="1C3A36"/>
                <w:sz w:val="16"/>
              </w:rPr>
              <w:t>33,770</w:t>
            </w:r>
          </w:p>
        </w:tc>
        <w:tc>
          <w:tcPr>
            <w:tcW w:type="dxa" w:w="1368"/>
          </w:tcPr>
          <w:p>
            <w:pPr>
              <w:spacing w:after="20"/>
            </w:pPr>
            <w:r>
              <w:rPr>
                <w:color w:val="1C3A36"/>
                <w:sz w:val="16"/>
              </w:rPr>
              <w:t>33,536</w:t>
            </w:r>
          </w:p>
        </w:tc>
      </w:tr>
      <w:tr>
        <w:tc>
          <w:tcPr>
            <w:tcW w:type="dxa" w:w="1944"/>
          </w:tcPr>
          <w:p>
            <w:pPr>
              <w:spacing w:after="20"/>
            </w:pPr>
            <w:r>
              <w:rPr>
                <w:color w:val="1C3A36"/>
                <w:sz w:val="16"/>
              </w:rPr>
            </w:r>
          </w:p>
        </w:tc>
        <w:tc>
          <w:tcPr>
            <w:tcW w:type="dxa" w:w="4968"/>
          </w:tcPr>
          <w:p>
            <w:pPr>
              <w:spacing w:after="20"/>
            </w:pPr>
            <w:r>
              <w:rPr>
                <w:color w:val="1C3A36"/>
                <w:sz w:val="16"/>
              </w:rPr>
              <w:t>B: back-solved from the company's own "+10.8% on 2023/24" statement</w:t>
            </w:r>
          </w:p>
        </w:tc>
        <w:tc>
          <w:tcPr>
            <w:tcW w:type="dxa" w:w="1440"/>
          </w:tcPr>
          <w:p>
            <w:pPr>
              <w:spacing w:after="20"/>
            </w:pPr>
            <w:r>
              <w:rPr>
                <w:color w:val="1C3A36"/>
                <w:sz w:val="16"/>
              </w:rPr>
              <w:t>33,303</w:t>
            </w:r>
          </w:p>
        </w:tc>
        <w:tc>
          <w:tcPr>
            <w:tcW w:type="dxa" w:w="1368"/>
          </w:tcPr>
          <w:p>
            <w:pPr>
              <w:spacing w:after="20"/>
            </w:pPr>
            <w:r>
              <w:rPr>
                <w:color w:val="1C3A36"/>
                <w:sz w:val="16"/>
              </w:rPr>
            </w:r>
          </w:p>
        </w:tc>
      </w:tr>
      <w:tr>
        <w:tc>
          <w:tcPr>
            <w:tcW w:type="dxa" w:w="1944"/>
          </w:tcPr>
          <w:p>
            <w:pPr>
              <w:spacing w:after="20"/>
            </w:pPr>
            <w:r>
              <w:rPr>
                <w:color w:val="1C3A36"/>
                <w:sz w:val="16"/>
              </w:rPr>
              <w:t>FY2024/25 revenue</w:t>
            </w:r>
          </w:p>
        </w:tc>
        <w:tc>
          <w:tcPr>
            <w:tcW w:type="dxa" w:w="4968"/>
          </w:tcPr>
          <w:p>
            <w:pPr>
              <w:spacing w:after="20"/>
            </w:pPr>
            <w:r>
              <w:rPr>
                <w:color w:val="1C3A36"/>
                <w:sz w:val="16"/>
              </w:rPr>
              <w:t>A: company release — 1.26mn tonnes valued at EGP 36.9bn</w:t>
            </w:r>
          </w:p>
        </w:tc>
        <w:tc>
          <w:tcPr>
            <w:tcW w:type="dxa" w:w="1440"/>
          </w:tcPr>
          <w:p>
            <w:pPr>
              <w:spacing w:after="20"/>
            </w:pPr>
            <w:r>
              <w:rPr>
                <w:color w:val="1C3A36"/>
                <w:sz w:val="16"/>
              </w:rPr>
              <w:t>36,900</w:t>
            </w:r>
          </w:p>
        </w:tc>
        <w:tc>
          <w:tcPr>
            <w:tcW w:type="dxa" w:w="1368"/>
          </w:tcPr>
          <w:p>
            <w:pPr>
              <w:spacing w:after="20"/>
            </w:pPr>
            <w:r>
              <w:rPr>
                <w:color w:val="1C3A36"/>
                <w:sz w:val="16"/>
              </w:rPr>
              <w:t>37,507</w:t>
            </w:r>
          </w:p>
        </w:tc>
      </w:tr>
      <w:tr>
        <w:tc>
          <w:tcPr>
            <w:tcW w:type="dxa" w:w="1944"/>
          </w:tcPr>
          <w:p>
            <w:pPr>
              <w:spacing w:after="20"/>
            </w:pPr>
            <w:r>
              <w:rPr>
                <w:color w:val="1C3A36"/>
                <w:sz w:val="16"/>
              </w:rPr>
            </w:r>
          </w:p>
        </w:tc>
        <w:tc>
          <w:tcPr>
            <w:tcW w:type="dxa" w:w="4968"/>
          </w:tcPr>
          <w:p>
            <w:pPr>
              <w:spacing w:after="20"/>
            </w:pPr>
            <w:r>
              <w:rPr>
                <w:color w:val="1C3A36"/>
                <w:sz w:val="16"/>
              </w:rPr>
              <w:t>B: aggregator fiscal-2025 revenue line</w:t>
            </w:r>
          </w:p>
        </w:tc>
        <w:tc>
          <w:tcPr>
            <w:tcW w:type="dxa" w:w="1440"/>
          </w:tcPr>
          <w:p>
            <w:pPr>
              <w:spacing w:after="20"/>
            </w:pPr>
            <w:r>
              <w:rPr>
                <w:color w:val="1C3A36"/>
                <w:sz w:val="16"/>
              </w:rPr>
              <w:t>37,620</w:t>
            </w:r>
          </w:p>
        </w:tc>
        <w:tc>
          <w:tcPr>
            <w:tcW w:type="dxa" w:w="1368"/>
          </w:tcPr>
          <w:p>
            <w:pPr>
              <w:spacing w:after="20"/>
            </w:pPr>
            <w:r>
              <w:rPr>
                <w:color w:val="1C3A36"/>
                <w:sz w:val="16"/>
              </w:rPr>
            </w:r>
          </w:p>
        </w:tc>
      </w:tr>
      <w:tr>
        <w:tc>
          <w:tcPr>
            <w:tcW w:type="dxa" w:w="1944"/>
          </w:tcPr>
          <w:p>
            <w:pPr>
              <w:spacing w:after="20"/>
            </w:pPr>
            <w:r>
              <w:rPr>
                <w:color w:val="1C3A36"/>
                <w:sz w:val="16"/>
              </w:rPr>
            </w:r>
          </w:p>
        </w:tc>
        <w:tc>
          <w:tcPr>
            <w:tcW w:type="dxa" w:w="4968"/>
          </w:tcPr>
          <w:p>
            <w:pPr>
              <w:spacing w:after="20"/>
            </w:pPr>
            <w:r>
              <w:rPr>
                <w:color w:val="1C3A36"/>
                <w:sz w:val="16"/>
              </w:rPr>
              <w:t>C: the same release's separate "revenues" figure</w:t>
            </w:r>
          </w:p>
        </w:tc>
        <w:tc>
          <w:tcPr>
            <w:tcW w:type="dxa" w:w="1440"/>
          </w:tcPr>
          <w:p>
            <w:pPr>
              <w:spacing w:after="20"/>
            </w:pPr>
            <w:r>
              <w:rPr>
                <w:color w:val="1C3A36"/>
                <w:sz w:val="16"/>
              </w:rPr>
              <w:t>38,000</w:t>
            </w:r>
          </w:p>
        </w:tc>
        <w:tc>
          <w:tcPr>
            <w:tcW w:type="dxa" w:w="1368"/>
          </w:tcPr>
          <w:p>
            <w:pPr>
              <w:spacing w:after="20"/>
            </w:pPr>
            <w:r>
              <w:rPr>
                <w:color w:val="1C3A36"/>
                <w:sz w:val="16"/>
              </w:rPr>
            </w:r>
          </w:p>
        </w:tc>
      </w:tr>
      <w:tr>
        <w:tc>
          <w:tcPr>
            <w:tcW w:type="dxa" w:w="1944"/>
          </w:tcPr>
          <w:p>
            <w:pPr>
              <w:spacing w:after="20"/>
            </w:pPr>
            <w:r>
              <w:rPr>
                <w:color w:val="1C3A36"/>
                <w:sz w:val="16"/>
              </w:rPr>
              <w:t>Shares outstanding (mn)</w:t>
            </w:r>
          </w:p>
        </w:tc>
        <w:tc>
          <w:tcPr>
            <w:tcW w:type="dxa" w:w="4968"/>
          </w:tcPr>
          <w:p>
            <w:pPr>
              <w:spacing w:after="20"/>
            </w:pPr>
            <w:r>
              <w:rPr>
                <w:color w:val="1C3A36"/>
                <w:sz w:val="16"/>
              </w:rPr>
              <w:t>A: reported shares outstanding</w:t>
            </w:r>
          </w:p>
        </w:tc>
        <w:tc>
          <w:tcPr>
            <w:tcW w:type="dxa" w:w="1440"/>
          </w:tcPr>
          <w:p>
            <w:pPr>
              <w:spacing w:after="20"/>
            </w:pPr>
            <w:r>
              <w:rPr>
                <w:color w:val="1C3A36"/>
                <w:sz w:val="16"/>
              </w:rPr>
              <w:t>1,291.56</w:t>
            </w:r>
          </w:p>
        </w:tc>
        <w:tc>
          <w:tcPr>
            <w:tcW w:type="dxa" w:w="1368"/>
          </w:tcPr>
          <w:p>
            <w:pPr>
              <w:spacing w:after="20"/>
            </w:pPr>
            <w:r>
              <w:rPr>
                <w:color w:val="1C3A36"/>
                <w:sz w:val="16"/>
              </w:rPr>
              <w:t>1,291.56</w:t>
            </w:r>
          </w:p>
        </w:tc>
      </w:tr>
      <w:tr>
        <w:tc>
          <w:tcPr>
            <w:tcW w:type="dxa" w:w="1944"/>
          </w:tcPr>
          <w:p>
            <w:pPr>
              <w:spacing w:after="20"/>
            </w:pPr>
            <w:r>
              <w:rPr>
                <w:color w:val="1C3A36"/>
                <w:sz w:val="16"/>
              </w:rPr>
            </w:r>
          </w:p>
        </w:tc>
        <w:tc>
          <w:tcPr>
            <w:tcW w:type="dxa" w:w="4968"/>
          </w:tcPr>
          <w:p>
            <w:pPr>
              <w:spacing w:after="20"/>
            </w:pPr>
            <w:r>
              <w:rPr>
                <w:color w:val="1C3A36"/>
                <w:sz w:val="16"/>
              </w:rPr>
              <w:t>B: FY2024/25 standalone profit over this count gives EGP 1.154 a share, and the declared EGP 0.80 dividend over that is a 69.3% payout against a 69.4% reported ratio</w:t>
            </w:r>
          </w:p>
        </w:tc>
        <w:tc>
          <w:tcPr>
            <w:tcW w:type="dxa" w:w="1440"/>
          </w:tcPr>
          <w:p>
            <w:pPr>
              <w:spacing w:after="20"/>
            </w:pPr>
            <w:r>
              <w:rPr>
                <w:color w:val="1C3A36"/>
                <w:sz w:val="16"/>
              </w:rPr>
              <w:t>confirms</w:t>
            </w:r>
          </w:p>
        </w:tc>
        <w:tc>
          <w:tcPr>
            <w:tcW w:type="dxa" w:w="1368"/>
          </w:tcPr>
          <w:p>
            <w:pPr>
              <w:spacing w:after="20"/>
            </w:pPr>
            <w:r>
              <w:rPr>
                <w:color w:val="1C3A36"/>
                <w:sz w:val="16"/>
              </w:rPr>
            </w:r>
          </w:p>
        </w:tc>
      </w:tr>
      <w:tr>
        <w:tc>
          <w:tcPr>
            <w:tcW w:type="dxa" w:w="1944"/>
          </w:tcPr>
          <w:p>
            <w:pPr>
              <w:spacing w:after="20"/>
            </w:pPr>
            <w:r>
              <w:rPr>
                <w:color w:val="1C3A36"/>
                <w:sz w:val="16"/>
              </w:rPr>
            </w:r>
          </w:p>
        </w:tc>
        <w:tc>
          <w:tcPr>
            <w:tcW w:type="dxa" w:w="4968"/>
          </w:tcPr>
          <w:p>
            <w:pPr>
              <w:spacing w:after="20"/>
            </w:pPr>
            <w:r>
              <w:rPr>
                <w:color w:val="1C3A36"/>
                <w:sz w:val="16"/>
              </w:rPr>
              <w:t>C: reported market capitalisation of EGP 11.51bn implies EGP 8.91 a share against a 6 August close of EGP 9.10</w:t>
            </w:r>
          </w:p>
        </w:tc>
        <w:tc>
          <w:tcPr>
            <w:tcW w:type="dxa" w:w="1440"/>
          </w:tcPr>
          <w:p>
            <w:pPr>
              <w:spacing w:after="20"/>
            </w:pPr>
            <w:r>
              <w:rPr>
                <w:color w:val="1C3A36"/>
                <w:sz w:val="16"/>
              </w:rPr>
              <w:t>confirms</w:t>
            </w:r>
          </w:p>
        </w:tc>
        <w:tc>
          <w:tcPr>
            <w:tcW w:type="dxa" w:w="1368"/>
          </w:tcPr>
          <w:p>
            <w:pPr>
              <w:spacing w:after="20"/>
            </w:pPr>
            <w:r>
              <w:rPr>
                <w:color w:val="1C3A36"/>
                <w:sz w:val="16"/>
              </w:rPr>
            </w:r>
          </w:p>
        </w:tc>
      </w:tr>
    </w:tbl>
    <w:p>
      <w:pPr>
        <w:spacing w:after="40"/>
      </w:pPr>
    </w:p>
    <w:p>
      <w:pPr>
        <w:spacing w:after="60" w:before="160"/>
      </w:pPr>
      <w:r>
        <w:rPr>
          <w:b/>
          <w:i w:val="0"/>
          <w:color w:val="1C3A36"/>
          <w:sz w:val="22"/>
        </w:rPr>
        <w:t>The period-identification check</w:t>
      </w:r>
    </w:p>
    <w:p>
      <w:pPr>
        <w:spacing w:after="100" w:before="0"/>
      </w:pPr>
      <w:r>
        <w:rPr>
          <w:b w:val="0"/>
          <w:i w:val="0"/>
          <w:color w:val="1C3A36"/>
          <w:sz w:val="20"/>
        </w:rPr>
        <w:t>One reported figure required its PERIOD to be established before it could be used. A release labelled "FY 2025/26" reports revenue of EGP 26.2bn (+35%) and profit after tax of EGP 1.90bn (+109%). Those cannot describe a twelve-month period, because the July–December 2025 half alone was EGP 20.735bn. Against the January–June 2025 half constructed from disclosed figures — revenue EGP 19,261mn and profit EGP 906mn — the same two figures are +36.0% and +109.6%, reproducing BOTH reported growth rates independently. Two independent exact matches identify the period as the six months to 30 June 2026. It is carried as corroboration and not as the forecast base.</w:t>
      </w:r>
    </w:p>
    <w:p>
      <w:pPr>
        <w:spacing w:after="80" w:before="240"/>
      </w:pPr>
      <w:r>
        <w:rPr>
          <w:b/>
          <w:i w:val="0"/>
          <w:color w:val="1C3A36"/>
          <w:sz w:val="26"/>
        </w:rPr>
        <w:t>The full input register</w:t>
      </w:r>
    </w:p>
    <w:p>
      <w:pPr>
        <w:spacing w:after="100" w:before="0"/>
      </w:pPr>
      <w:r>
        <w:rPr>
          <w:b w:val="0"/>
          <w:i w:val="0"/>
          <w:color w:val="1C3A36"/>
          <w:sz w:val="20"/>
        </w:rPr>
        <w:t>Every hardcoded figure the compute script consumes, in the order it is declared. A bare numeral anywhere in the inputs block fails the build, so this table is complete by construction.</w:t>
      </w:r>
    </w:p>
    <w:p>
      <w:pPr>
        <w:spacing w:after="60" w:before="160"/>
      </w:pPr>
      <w:r>
        <w:rPr>
          <w:b/>
          <w:i w:val="0"/>
          <w:color w:val="1C3A36"/>
          <w:sz w:val="22"/>
        </w:rPr>
        <w:t>Company layer — 42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spot</w:t>
            </w:r>
          </w:p>
        </w:tc>
        <w:tc>
          <w:tcPr>
            <w:tcW w:type="dxa" w:w="1440"/>
          </w:tcPr>
          <w:p>
            <w:pPr>
              <w:spacing w:after="20"/>
            </w:pPr>
            <w:r>
              <w:rPr>
                <w:color w:val="1C3A36"/>
                <w:sz w:val="15"/>
              </w:rPr>
              <w:t>9.1</w:t>
            </w:r>
          </w:p>
        </w:tc>
        <w:tc>
          <w:tcPr>
            <w:tcW w:type="dxa" w:w="1037"/>
          </w:tcPr>
          <w:p>
            <w:pPr>
              <w:spacing w:after="20"/>
            </w:pPr>
            <w:r>
              <w:rPr>
                <w:color w:val="1C3A36"/>
                <w:sz w:val="15"/>
              </w:rPr>
              <w:t>2026-08-06</w:t>
            </w:r>
          </w:p>
        </w:tc>
        <w:tc>
          <w:tcPr>
            <w:tcW w:type="dxa" w:w="5832"/>
          </w:tcPr>
          <w:p>
            <w:pPr>
              <w:spacing w:after="20"/>
            </w:pPr>
            <w:r>
              <w:rPr>
                <w:color w:val="1C3A36"/>
                <w:sz w:val="15"/>
              </w:rPr>
              <w:t>AMOC closing price on the Egyptian Exchange, 6 August 2026, from the screened daily price history used throughout this study (engine/raw_ohlc/EG/AMOC.csv)</w:t>
            </w:r>
          </w:p>
        </w:tc>
      </w:tr>
      <w:tr>
        <w:tc>
          <w:tcPr>
            <w:tcW w:type="dxa" w:w="1872"/>
          </w:tcPr>
          <w:p>
            <w:pPr>
              <w:spacing w:after="20"/>
            </w:pPr>
            <w:r>
              <w:rPr>
                <w:color w:val="1C3A36"/>
                <w:sz w:val="15"/>
              </w:rPr>
              <w:t>shares_mn</w:t>
            </w:r>
          </w:p>
        </w:tc>
        <w:tc>
          <w:tcPr>
            <w:tcW w:type="dxa" w:w="1440"/>
          </w:tcPr>
          <w:p>
            <w:pPr>
              <w:spacing w:after="20"/>
            </w:pPr>
            <w:r>
              <w:rPr>
                <w:color w:val="1C3A36"/>
                <w:sz w:val="15"/>
              </w:rPr>
              <w:t>1,291.6</w:t>
            </w:r>
          </w:p>
        </w:tc>
        <w:tc>
          <w:tcPr>
            <w:tcW w:type="dxa" w:w="1037"/>
          </w:tcPr>
          <w:p>
            <w:pPr>
              <w:spacing w:after="20"/>
            </w:pPr>
            <w:r>
              <w:rPr>
                <w:color w:val="1C3A36"/>
                <w:sz w:val="15"/>
              </w:rPr>
              <w:t>2026-08-06</w:t>
            </w:r>
          </w:p>
        </w:tc>
        <w:tc>
          <w:tcPr>
            <w:tcW w:type="dxa" w:w="5832"/>
          </w:tcPr>
          <w:p>
            <w:pPr>
              <w:spacing w:after="20"/>
            </w:pPr>
            <w:r>
              <w:rPr>
                <w:color w:val="1C3A36"/>
                <w:sz w:val="15"/>
              </w:rPr>
              <w:t>Shares outstanding 1,291.56mn. Cross-checked three ways: (a) the reported figure; (b) FY2024/25 standalone profit of EGP 1,490mn over this count gives earnings per share of EGP 1.154, and the declared EGP 0.80 annual dividend over that is a 69.3% payout against the 69.4% reported payout ratio; (c) the reported market capitalisation of EGP 11.51bn implies EGP 8.91 a share against a 6 August close of EGP 9.10</w:t>
            </w:r>
          </w:p>
        </w:tc>
      </w:tr>
      <w:tr>
        <w:tc>
          <w:tcPr>
            <w:tcW w:type="dxa" w:w="1872"/>
          </w:tcPr>
          <w:p>
            <w:pPr>
              <w:spacing w:after="20"/>
            </w:pPr>
            <w:r>
              <w:rPr>
                <w:color w:val="1C3A36"/>
                <w:sz w:val="15"/>
              </w:rPr>
              <w:t>rev_fy23</w:t>
            </w:r>
          </w:p>
        </w:tc>
        <w:tc>
          <w:tcPr>
            <w:tcW w:type="dxa" w:w="1440"/>
          </w:tcPr>
          <w:p>
            <w:pPr>
              <w:spacing w:after="20"/>
            </w:pPr>
            <w:r>
              <w:rPr>
                <w:color w:val="1C3A36"/>
                <w:sz w:val="15"/>
              </w:rPr>
              <w:t>22,515.7</w:t>
            </w:r>
          </w:p>
        </w:tc>
        <w:tc>
          <w:tcPr>
            <w:tcW w:type="dxa" w:w="1037"/>
          </w:tcPr>
          <w:p>
            <w:pPr>
              <w:spacing w:after="20"/>
            </w:pPr>
            <w:r>
              <w:rPr>
                <w:color w:val="1C3A36"/>
                <w:sz w:val="15"/>
              </w:rPr>
              <w:t>2023-06-30</w:t>
            </w:r>
          </w:p>
        </w:tc>
        <w:tc>
          <w:tcPr>
            <w:tcW w:type="dxa" w:w="5832"/>
          </w:tcPr>
          <w:p>
            <w:pPr>
              <w:spacing w:after="20"/>
            </w:pPr>
            <w:r>
              <w:rPr>
                <w:color w:val="1C3A36"/>
                <w:sz w:val="15"/>
              </w:rPr>
              <w:t>FY2022/23 (12 months to 30 June 2023) revenue, computed from the two disclosed components: cost of sales EGP 21,218.64mn plus gross profit EGP 1,297.01mn. This is the one historical year where both the cost line and the margin line are separately disclosed</w:t>
            </w:r>
          </w:p>
        </w:tc>
      </w:tr>
      <w:tr>
        <w:tc>
          <w:tcPr>
            <w:tcW w:type="dxa" w:w="1872"/>
          </w:tcPr>
          <w:p>
            <w:pPr>
              <w:spacing w:after="20"/>
            </w:pPr>
            <w:r>
              <w:rPr>
                <w:color w:val="1C3A36"/>
                <w:sz w:val="15"/>
              </w:rPr>
              <w:t>gp_fy23</w:t>
            </w:r>
          </w:p>
        </w:tc>
        <w:tc>
          <w:tcPr>
            <w:tcW w:type="dxa" w:w="1440"/>
          </w:tcPr>
          <w:p>
            <w:pPr>
              <w:spacing w:after="20"/>
            </w:pPr>
            <w:r>
              <w:rPr>
                <w:color w:val="1C3A36"/>
                <w:sz w:val="15"/>
              </w:rPr>
              <w:t>1,297.0</w:t>
            </w:r>
          </w:p>
        </w:tc>
        <w:tc>
          <w:tcPr>
            <w:tcW w:type="dxa" w:w="1037"/>
          </w:tcPr>
          <w:p>
            <w:pPr>
              <w:spacing w:after="20"/>
            </w:pPr>
            <w:r>
              <w:rPr>
                <w:color w:val="1C3A36"/>
                <w:sz w:val="15"/>
              </w:rPr>
              <w:t>2023-06-30</w:t>
            </w:r>
          </w:p>
        </w:tc>
        <w:tc>
          <w:tcPr>
            <w:tcW w:type="dxa" w:w="5832"/>
          </w:tcPr>
          <w:p>
            <w:pPr>
              <w:spacing w:after="20"/>
            </w:pPr>
            <w:r>
              <w:rPr>
                <w:color w:val="1C3A36"/>
                <w:sz w:val="15"/>
              </w:rPr>
              <w:t>FY2022/23 gross profit, disclosed (5.76% of revenue)</w:t>
            </w:r>
          </w:p>
        </w:tc>
      </w:tr>
      <w:tr>
        <w:tc>
          <w:tcPr>
            <w:tcW w:type="dxa" w:w="1872"/>
          </w:tcPr>
          <w:p>
            <w:pPr>
              <w:spacing w:after="20"/>
            </w:pPr>
            <w:r>
              <w:rPr>
                <w:color w:val="1C3A36"/>
                <w:sz w:val="15"/>
              </w:rPr>
              <w:t>cogs_fy23</w:t>
            </w:r>
          </w:p>
        </w:tc>
        <w:tc>
          <w:tcPr>
            <w:tcW w:type="dxa" w:w="1440"/>
          </w:tcPr>
          <w:p>
            <w:pPr>
              <w:spacing w:after="20"/>
            </w:pPr>
            <w:r>
              <w:rPr>
                <w:color w:val="1C3A36"/>
                <w:sz w:val="15"/>
              </w:rPr>
              <w:t>21,218.6</w:t>
            </w:r>
          </w:p>
        </w:tc>
        <w:tc>
          <w:tcPr>
            <w:tcW w:type="dxa" w:w="1037"/>
          </w:tcPr>
          <w:p>
            <w:pPr>
              <w:spacing w:after="20"/>
            </w:pPr>
            <w:r>
              <w:rPr>
                <w:color w:val="1C3A36"/>
                <w:sz w:val="15"/>
              </w:rPr>
              <w:t>2023-06-30</w:t>
            </w:r>
          </w:p>
        </w:tc>
        <w:tc>
          <w:tcPr>
            <w:tcW w:type="dxa" w:w="5832"/>
          </w:tcPr>
          <w:p>
            <w:pPr>
              <w:spacing w:after="20"/>
            </w:pPr>
            <w:r>
              <w:rPr>
                <w:color w:val="1C3A36"/>
                <w:sz w:val="15"/>
              </w:rPr>
              <w:t>FY2022/23 cost of sales, disclosed</w:t>
            </w:r>
          </w:p>
        </w:tc>
      </w:tr>
      <w:tr>
        <w:tc>
          <w:tcPr>
            <w:tcW w:type="dxa" w:w="1872"/>
          </w:tcPr>
          <w:p>
            <w:pPr>
              <w:spacing w:after="20"/>
            </w:pPr>
            <w:r>
              <w:rPr>
                <w:color w:val="1C3A36"/>
                <w:sz w:val="15"/>
              </w:rPr>
              <w:t>pat_fy23</w:t>
            </w:r>
          </w:p>
        </w:tc>
        <w:tc>
          <w:tcPr>
            <w:tcW w:type="dxa" w:w="1440"/>
          </w:tcPr>
          <w:p>
            <w:pPr>
              <w:spacing w:after="20"/>
            </w:pPr>
            <w:r>
              <w:rPr>
                <w:color w:val="1C3A36"/>
                <w:sz w:val="15"/>
              </w:rPr>
              <w:t>1,320.0</w:t>
            </w:r>
          </w:p>
        </w:tc>
        <w:tc>
          <w:tcPr>
            <w:tcW w:type="dxa" w:w="1037"/>
          </w:tcPr>
          <w:p>
            <w:pPr>
              <w:spacing w:after="20"/>
            </w:pPr>
            <w:r>
              <w:rPr>
                <w:color w:val="1C3A36"/>
                <w:sz w:val="15"/>
              </w:rPr>
              <w:t>2023-06-30</w:t>
            </w:r>
          </w:p>
        </w:tc>
        <w:tc>
          <w:tcPr>
            <w:tcW w:type="dxa" w:w="5832"/>
          </w:tcPr>
          <w:p>
            <w:pPr>
              <w:spacing w:after="20"/>
            </w:pPr>
            <w:r>
              <w:rPr>
                <w:color w:val="1C3A36"/>
                <w:sz w:val="15"/>
              </w:rPr>
              <w:t>FY2022/23 consolidated net profit after tax, EGP 1.32bn, up 11%</w:t>
            </w:r>
          </w:p>
        </w:tc>
      </w:tr>
      <w:tr>
        <w:tc>
          <w:tcPr>
            <w:tcW w:type="dxa" w:w="1872"/>
          </w:tcPr>
          <w:p>
            <w:pPr>
              <w:spacing w:after="20"/>
            </w:pPr>
            <w:r>
              <w:rPr>
                <w:color w:val="1C3A36"/>
                <w:sz w:val="15"/>
              </w:rPr>
              <w:t>rev_fy24_a</w:t>
            </w:r>
          </w:p>
        </w:tc>
        <w:tc>
          <w:tcPr>
            <w:tcW w:type="dxa" w:w="1440"/>
          </w:tcPr>
          <w:p>
            <w:pPr>
              <w:spacing w:after="20"/>
            </w:pPr>
            <w:r>
              <w:rPr>
                <w:color w:val="1C3A36"/>
                <w:sz w:val="15"/>
              </w:rPr>
              <w:t>33,770.0</w:t>
            </w:r>
          </w:p>
        </w:tc>
        <w:tc>
          <w:tcPr>
            <w:tcW w:type="dxa" w:w="1037"/>
          </w:tcPr>
          <w:p>
            <w:pPr>
              <w:spacing w:after="20"/>
            </w:pPr>
            <w:r>
              <w:rPr>
                <w:color w:val="1C3A36"/>
                <w:sz w:val="15"/>
              </w:rPr>
              <w:t>2024-06-30</w:t>
            </w:r>
          </w:p>
        </w:tc>
        <w:tc>
          <w:tcPr>
            <w:tcW w:type="dxa" w:w="5832"/>
          </w:tcPr>
          <w:p>
            <w:pPr>
              <w:spacing w:after="20"/>
            </w:pPr>
            <w:r>
              <w:rPr>
                <w:color w:val="1C3A36"/>
                <w:sz w:val="15"/>
              </w:rPr>
              <w:t>FY2023/24 revenue, method A: the aggregator's prior-year comparative to the FY2024/25 figure</w:t>
            </w:r>
          </w:p>
        </w:tc>
      </w:tr>
      <w:tr>
        <w:tc>
          <w:tcPr>
            <w:tcW w:type="dxa" w:w="1872"/>
          </w:tcPr>
          <w:p>
            <w:pPr>
              <w:spacing w:after="20"/>
            </w:pPr>
            <w:r>
              <w:rPr>
                <w:color w:val="1C3A36"/>
                <w:sz w:val="15"/>
              </w:rPr>
              <w:t>rev_fy24_b</w:t>
            </w:r>
          </w:p>
        </w:tc>
        <w:tc>
          <w:tcPr>
            <w:tcW w:type="dxa" w:w="1440"/>
          </w:tcPr>
          <w:p>
            <w:pPr>
              <w:spacing w:after="20"/>
            </w:pPr>
            <w:r>
              <w:rPr>
                <w:color w:val="1C3A36"/>
                <w:sz w:val="15"/>
              </w:rPr>
              <w:t>33,303.0</w:t>
            </w:r>
          </w:p>
        </w:tc>
        <w:tc>
          <w:tcPr>
            <w:tcW w:type="dxa" w:w="1037"/>
          </w:tcPr>
          <w:p>
            <w:pPr>
              <w:spacing w:after="20"/>
            </w:pPr>
            <w:r>
              <w:rPr>
                <w:color w:val="1C3A36"/>
                <w:sz w:val="15"/>
              </w:rPr>
              <w:t>2024-06-30</w:t>
            </w:r>
          </w:p>
        </w:tc>
        <w:tc>
          <w:tcPr>
            <w:tcW w:type="dxa" w:w="5832"/>
          </w:tcPr>
          <w:p>
            <w:pPr>
              <w:spacing w:after="20"/>
            </w:pPr>
            <w:r>
              <w:rPr>
                <w:color w:val="1C3A36"/>
                <w:sz w:val="15"/>
              </w:rPr>
              <w:t>FY2023/24 revenue, method B: backed out of the company's own statement that FY2024/25 sales of EGP 36.9bn were 10.8% above 2023/24 (36,900 / 1.108)</w:t>
            </w:r>
          </w:p>
        </w:tc>
      </w:tr>
      <w:tr>
        <w:tc>
          <w:tcPr>
            <w:tcW w:type="dxa" w:w="1872"/>
          </w:tcPr>
          <w:p>
            <w:pPr>
              <w:spacing w:after="20"/>
            </w:pPr>
            <w:r>
              <w:rPr>
                <w:color w:val="1C3A36"/>
                <w:sz w:val="15"/>
              </w:rPr>
              <w:t>pat_fy24</w:t>
            </w:r>
          </w:p>
        </w:tc>
        <w:tc>
          <w:tcPr>
            <w:tcW w:type="dxa" w:w="1440"/>
          </w:tcPr>
          <w:p>
            <w:pPr>
              <w:spacing w:after="20"/>
            </w:pPr>
            <w:r>
              <w:rPr>
                <w:color w:val="1C3A36"/>
                <w:sz w:val="15"/>
              </w:rPr>
              <w:t>1,500.0</w:t>
            </w:r>
          </w:p>
        </w:tc>
        <w:tc>
          <w:tcPr>
            <w:tcW w:type="dxa" w:w="1037"/>
          </w:tcPr>
          <w:p>
            <w:pPr>
              <w:spacing w:after="20"/>
            </w:pPr>
            <w:r>
              <w:rPr>
                <w:color w:val="1C3A36"/>
                <w:sz w:val="15"/>
              </w:rPr>
              <w:t>2024-06-30</w:t>
            </w:r>
          </w:p>
        </w:tc>
        <w:tc>
          <w:tcPr>
            <w:tcW w:type="dxa" w:w="5832"/>
          </w:tcPr>
          <w:p>
            <w:pPr>
              <w:spacing w:after="20"/>
            </w:pPr>
            <w:r>
              <w:rPr>
                <w:color w:val="1C3A36"/>
                <w:sz w:val="15"/>
              </w:rPr>
              <w:t>FY2023/24 consolidated net profit after tax, EGP 1.50bn — the comparative in the FY2024/25 release, which reported consolidated profit of EGP 1.55bn, an annual growth of 3%</w:t>
            </w:r>
          </w:p>
        </w:tc>
      </w:tr>
      <w:tr>
        <w:tc>
          <w:tcPr>
            <w:tcW w:type="dxa" w:w="1872"/>
          </w:tcPr>
          <w:p>
            <w:pPr>
              <w:spacing w:after="20"/>
            </w:pPr>
            <w:r>
              <w:rPr>
                <w:color w:val="1C3A36"/>
                <w:sz w:val="15"/>
              </w:rPr>
              <w:t>rev_fy25_a</w:t>
            </w:r>
          </w:p>
        </w:tc>
        <w:tc>
          <w:tcPr>
            <w:tcW w:type="dxa" w:w="1440"/>
          </w:tcPr>
          <w:p>
            <w:pPr>
              <w:spacing w:after="20"/>
            </w:pPr>
            <w:r>
              <w:rPr>
                <w:color w:val="1C3A36"/>
                <w:sz w:val="15"/>
              </w:rPr>
              <w:t>36,900.0</w:t>
            </w:r>
          </w:p>
        </w:tc>
        <w:tc>
          <w:tcPr>
            <w:tcW w:type="dxa" w:w="1037"/>
          </w:tcPr>
          <w:p>
            <w:pPr>
              <w:spacing w:after="20"/>
            </w:pPr>
            <w:r>
              <w:rPr>
                <w:color w:val="1C3A36"/>
                <w:sz w:val="15"/>
              </w:rPr>
              <w:t>2025-06-30</w:t>
            </w:r>
          </w:p>
        </w:tc>
        <w:tc>
          <w:tcPr>
            <w:tcW w:type="dxa" w:w="5832"/>
          </w:tcPr>
          <w:p>
            <w:pPr>
              <w:spacing w:after="20"/>
            </w:pPr>
            <w:r>
              <w:rPr>
                <w:color w:val="1C3A36"/>
                <w:sz w:val="15"/>
              </w:rPr>
              <w:t>FY2024/25 revenue, method A: the company's own release — total sales of 1.26mn tonnes valued at EGP 36.9bn, an 11% increase</w:t>
            </w:r>
          </w:p>
        </w:tc>
      </w:tr>
      <w:tr>
        <w:tc>
          <w:tcPr>
            <w:tcW w:type="dxa" w:w="1872"/>
          </w:tcPr>
          <w:p>
            <w:pPr>
              <w:spacing w:after="20"/>
            </w:pPr>
            <w:r>
              <w:rPr>
                <w:color w:val="1C3A36"/>
                <w:sz w:val="15"/>
              </w:rPr>
              <w:t>rev_fy25_b</w:t>
            </w:r>
          </w:p>
        </w:tc>
        <w:tc>
          <w:tcPr>
            <w:tcW w:type="dxa" w:w="1440"/>
          </w:tcPr>
          <w:p>
            <w:pPr>
              <w:spacing w:after="20"/>
            </w:pPr>
            <w:r>
              <w:rPr>
                <w:color w:val="1C3A36"/>
                <w:sz w:val="15"/>
              </w:rPr>
              <w:t>37,620.0</w:t>
            </w:r>
          </w:p>
        </w:tc>
        <w:tc>
          <w:tcPr>
            <w:tcW w:type="dxa" w:w="1037"/>
          </w:tcPr>
          <w:p>
            <w:pPr>
              <w:spacing w:after="20"/>
            </w:pPr>
            <w:r>
              <w:rPr>
                <w:color w:val="1C3A36"/>
                <w:sz w:val="15"/>
              </w:rPr>
              <w:t>2025-06-30</w:t>
            </w:r>
          </w:p>
        </w:tc>
        <w:tc>
          <w:tcPr>
            <w:tcW w:type="dxa" w:w="5832"/>
          </w:tcPr>
          <w:p>
            <w:pPr>
              <w:spacing w:after="20"/>
            </w:pPr>
            <w:r>
              <w:rPr>
                <w:color w:val="1C3A36"/>
                <w:sz w:val="15"/>
              </w:rPr>
              <w:t>FY2024/25 revenue, method B: the aggregator's fiscal-2025 figure, EGP 37.62bn, +11.42%</w:t>
            </w:r>
          </w:p>
        </w:tc>
      </w:tr>
      <w:tr>
        <w:tc>
          <w:tcPr>
            <w:tcW w:type="dxa" w:w="1872"/>
          </w:tcPr>
          <w:p>
            <w:pPr>
              <w:spacing w:after="20"/>
            </w:pPr>
            <w:r>
              <w:rPr>
                <w:color w:val="1C3A36"/>
                <w:sz w:val="15"/>
              </w:rPr>
              <w:t>rev_fy25_c</w:t>
            </w:r>
          </w:p>
        </w:tc>
        <w:tc>
          <w:tcPr>
            <w:tcW w:type="dxa" w:w="1440"/>
          </w:tcPr>
          <w:p>
            <w:pPr>
              <w:spacing w:after="20"/>
            </w:pPr>
            <w:r>
              <w:rPr>
                <w:color w:val="1C3A36"/>
                <w:sz w:val="15"/>
              </w:rPr>
              <w:t>38,000.0</w:t>
            </w:r>
          </w:p>
        </w:tc>
        <w:tc>
          <w:tcPr>
            <w:tcW w:type="dxa" w:w="1037"/>
          </w:tcPr>
          <w:p>
            <w:pPr>
              <w:spacing w:after="20"/>
            </w:pPr>
            <w:r>
              <w:rPr>
                <w:color w:val="1C3A36"/>
                <w:sz w:val="15"/>
              </w:rPr>
              <w:t>2025-06-30</w:t>
            </w:r>
          </w:p>
        </w:tc>
        <w:tc>
          <w:tcPr>
            <w:tcW w:type="dxa" w:w="5832"/>
          </w:tcPr>
          <w:p>
            <w:pPr>
              <w:spacing w:after="20"/>
            </w:pPr>
            <w:r>
              <w:rPr>
                <w:color w:val="1C3A36"/>
                <w:sz w:val="15"/>
              </w:rPr>
              <w:t>FY2024/25 revenue, method C: the same release's separate statement that revenues stood at EGP 38bn</w:t>
            </w:r>
          </w:p>
        </w:tc>
      </w:tr>
      <w:tr>
        <w:tc>
          <w:tcPr>
            <w:tcW w:type="dxa" w:w="1872"/>
          </w:tcPr>
          <w:p>
            <w:pPr>
              <w:spacing w:after="20"/>
            </w:pPr>
            <w:r>
              <w:rPr>
                <w:color w:val="1C3A36"/>
                <w:sz w:val="15"/>
              </w:rPr>
              <w:t>pat_fy25</w:t>
            </w:r>
          </w:p>
        </w:tc>
        <w:tc>
          <w:tcPr>
            <w:tcW w:type="dxa" w:w="1440"/>
          </w:tcPr>
          <w:p>
            <w:pPr>
              <w:spacing w:after="20"/>
            </w:pPr>
            <w:r>
              <w:rPr>
                <w:color w:val="1C3A36"/>
                <w:sz w:val="15"/>
              </w:rPr>
              <w:t>1,550.0</w:t>
            </w:r>
          </w:p>
        </w:tc>
        <w:tc>
          <w:tcPr>
            <w:tcW w:type="dxa" w:w="1037"/>
          </w:tcPr>
          <w:p>
            <w:pPr>
              <w:spacing w:after="20"/>
            </w:pPr>
            <w:r>
              <w:rPr>
                <w:color w:val="1C3A36"/>
                <w:sz w:val="15"/>
              </w:rPr>
              <w:t>2025-06-30</w:t>
            </w:r>
          </w:p>
        </w:tc>
        <w:tc>
          <w:tcPr>
            <w:tcW w:type="dxa" w:w="5832"/>
          </w:tcPr>
          <w:p>
            <w:pPr>
              <w:spacing w:after="20"/>
            </w:pPr>
            <w:r>
              <w:rPr>
                <w:color w:val="1C3A36"/>
                <w:sz w:val="15"/>
              </w:rPr>
              <w:t>FY2024/25 consolidated net profit after tax, EGP 1.55bn, +3%</w:t>
            </w:r>
          </w:p>
        </w:tc>
      </w:tr>
      <w:tr>
        <w:tc>
          <w:tcPr>
            <w:tcW w:type="dxa" w:w="1872"/>
          </w:tcPr>
          <w:p>
            <w:pPr>
              <w:spacing w:after="20"/>
            </w:pPr>
            <w:r>
              <w:rPr>
                <w:color w:val="1C3A36"/>
                <w:sz w:val="15"/>
              </w:rPr>
              <w:t>pat_fy25_standalone</w:t>
            </w:r>
          </w:p>
        </w:tc>
        <w:tc>
          <w:tcPr>
            <w:tcW w:type="dxa" w:w="1440"/>
          </w:tcPr>
          <w:p>
            <w:pPr>
              <w:spacing w:after="20"/>
            </w:pPr>
            <w:r>
              <w:rPr>
                <w:color w:val="1C3A36"/>
                <w:sz w:val="15"/>
              </w:rPr>
              <w:t>1,490.0</w:t>
            </w:r>
          </w:p>
        </w:tc>
        <w:tc>
          <w:tcPr>
            <w:tcW w:type="dxa" w:w="1037"/>
          </w:tcPr>
          <w:p>
            <w:pPr>
              <w:spacing w:after="20"/>
            </w:pPr>
            <w:r>
              <w:rPr>
                <w:color w:val="1C3A36"/>
                <w:sz w:val="15"/>
              </w:rPr>
              <w:t>2025-06-30</w:t>
            </w:r>
          </w:p>
        </w:tc>
        <w:tc>
          <w:tcPr>
            <w:tcW w:type="dxa" w:w="5832"/>
          </w:tcPr>
          <w:p>
            <w:pPr>
              <w:spacing w:after="20"/>
            </w:pPr>
            <w:r>
              <w:rPr>
                <w:color w:val="1C3A36"/>
                <w:sz w:val="15"/>
              </w:rPr>
              <w:t>FY2024/25 STANDALONE net profit after tax, EGP 1.49bn, +17.3%. The 4% gap to the consolidated figure is the whole contribution of everything outside the parent refinery — the evidence that rules out a holding-company lens</w:t>
            </w:r>
          </w:p>
        </w:tc>
      </w:tr>
      <w:tr>
        <w:tc>
          <w:tcPr>
            <w:tcW w:type="dxa" w:w="1872"/>
          </w:tcPr>
          <w:p>
            <w:pPr>
              <w:spacing w:after="20"/>
            </w:pPr>
            <w:r>
              <w:rPr>
                <w:color w:val="1C3A36"/>
                <w:sz w:val="15"/>
              </w:rPr>
              <w:t>vol_fy25</w:t>
            </w:r>
          </w:p>
        </w:tc>
        <w:tc>
          <w:tcPr>
            <w:tcW w:type="dxa" w:w="1440"/>
          </w:tcPr>
          <w:p>
            <w:pPr>
              <w:spacing w:after="20"/>
            </w:pPr>
            <w:r>
              <w:rPr>
                <w:color w:val="1C3A36"/>
                <w:sz w:val="15"/>
              </w:rPr>
              <w:t>1.26</w:t>
            </w:r>
          </w:p>
        </w:tc>
        <w:tc>
          <w:tcPr>
            <w:tcW w:type="dxa" w:w="1037"/>
          </w:tcPr>
          <w:p>
            <w:pPr>
              <w:spacing w:after="20"/>
            </w:pPr>
            <w:r>
              <w:rPr>
                <w:color w:val="1C3A36"/>
                <w:sz w:val="15"/>
              </w:rPr>
              <w:t>2025-06-30</w:t>
            </w:r>
          </w:p>
        </w:tc>
        <w:tc>
          <w:tcPr>
            <w:tcW w:type="dxa" w:w="5832"/>
          </w:tcPr>
          <w:p>
            <w:pPr>
              <w:spacing w:after="20"/>
            </w:pPr>
            <w:r>
              <w:rPr>
                <w:color w:val="1C3A36"/>
                <w:sz w:val="15"/>
              </w:rPr>
              <w:t>FY2024/25 total sales volume, 1.26mn tonnes</w:t>
            </w:r>
          </w:p>
        </w:tc>
      </w:tr>
      <w:tr>
        <w:tc>
          <w:tcPr>
            <w:tcW w:type="dxa" w:w="1872"/>
          </w:tcPr>
          <w:p>
            <w:pPr>
              <w:spacing w:after="20"/>
            </w:pPr>
            <w:r>
              <w:rPr>
                <w:color w:val="1C3A36"/>
                <w:sz w:val="15"/>
              </w:rPr>
              <w:t>vol_spec_fy25</w:t>
            </w:r>
          </w:p>
        </w:tc>
        <w:tc>
          <w:tcPr>
            <w:tcW w:type="dxa" w:w="1440"/>
          </w:tcPr>
          <w:p>
            <w:pPr>
              <w:spacing w:after="20"/>
            </w:pPr>
            <w:r>
              <w:rPr>
                <w:color w:val="1C3A36"/>
                <w:sz w:val="15"/>
              </w:rPr>
              <w:t>0.172</w:t>
            </w:r>
          </w:p>
        </w:tc>
        <w:tc>
          <w:tcPr>
            <w:tcW w:type="dxa" w:w="1037"/>
          </w:tcPr>
          <w:p>
            <w:pPr>
              <w:spacing w:after="20"/>
            </w:pPr>
            <w:r>
              <w:rPr>
                <w:color w:val="1C3A36"/>
                <w:sz w:val="15"/>
              </w:rPr>
              <w:t>2025-06-30</w:t>
            </w:r>
          </w:p>
        </w:tc>
        <w:tc>
          <w:tcPr>
            <w:tcW w:type="dxa" w:w="5832"/>
          </w:tcPr>
          <w:p>
            <w:pPr>
              <w:spacing w:after="20"/>
            </w:pPr>
            <w:r>
              <w:rPr>
                <w:color w:val="1C3A36"/>
                <w:sz w:val="15"/>
              </w:rPr>
              <w:t>FY2024/25 output of oils and waxes, 172,000 tonnes — 108% of the year's target. This is the specialty leg; the balance of the 1.26mn tonnes is fuel products and by-products</w:t>
            </w:r>
          </w:p>
        </w:tc>
      </w:tr>
      <w:tr>
        <w:tc>
          <w:tcPr>
            <w:tcW w:type="dxa" w:w="1872"/>
          </w:tcPr>
          <w:p>
            <w:pPr>
              <w:spacing w:after="20"/>
            </w:pPr>
            <w:r>
              <w:rPr>
                <w:color w:val="1C3A36"/>
                <w:sz w:val="15"/>
              </w:rPr>
              <w:t>rev_h1fy25</w:t>
            </w:r>
          </w:p>
        </w:tc>
        <w:tc>
          <w:tcPr>
            <w:tcW w:type="dxa" w:w="1440"/>
          </w:tcPr>
          <w:p>
            <w:pPr>
              <w:spacing w:after="20"/>
            </w:pPr>
            <w:r>
              <w:rPr>
                <w:color w:val="1C3A36"/>
                <w:sz w:val="15"/>
              </w:rPr>
              <w:t>18,246.0</w:t>
            </w:r>
          </w:p>
        </w:tc>
        <w:tc>
          <w:tcPr>
            <w:tcW w:type="dxa" w:w="1037"/>
          </w:tcPr>
          <w:p>
            <w:pPr>
              <w:spacing w:after="20"/>
            </w:pPr>
            <w:r>
              <w:rPr>
                <w:color w:val="1C3A36"/>
                <w:sz w:val="15"/>
              </w:rPr>
              <w:t>2024-12-31</w:t>
            </w:r>
          </w:p>
        </w:tc>
        <w:tc>
          <w:tcPr>
            <w:tcW w:type="dxa" w:w="5832"/>
          </w:tcPr>
          <w:p>
            <w:pPr>
              <w:spacing w:after="20"/>
            </w:pPr>
            <w:r>
              <w:rPr>
                <w:color w:val="1C3A36"/>
                <w:sz w:val="15"/>
              </w:rPr>
              <w:t>Consolidated sales for July-December 2024, EGP 18.246bn — the comparative disclosed alongside the transition period</w:t>
            </w:r>
          </w:p>
        </w:tc>
      </w:tr>
      <w:tr>
        <w:tc>
          <w:tcPr>
            <w:tcW w:type="dxa" w:w="1872"/>
          </w:tcPr>
          <w:p>
            <w:pPr>
              <w:spacing w:after="20"/>
            </w:pPr>
            <w:r>
              <w:rPr>
                <w:color w:val="1C3A36"/>
                <w:sz w:val="15"/>
              </w:rPr>
              <w:t>pat_h1fy25</w:t>
            </w:r>
          </w:p>
        </w:tc>
        <w:tc>
          <w:tcPr>
            <w:tcW w:type="dxa" w:w="1440"/>
          </w:tcPr>
          <w:p>
            <w:pPr>
              <w:spacing w:after="20"/>
            </w:pPr>
            <w:r>
              <w:rPr>
                <w:color w:val="1C3A36"/>
                <w:sz w:val="15"/>
              </w:rPr>
              <w:t>643.6</w:t>
            </w:r>
          </w:p>
        </w:tc>
        <w:tc>
          <w:tcPr>
            <w:tcW w:type="dxa" w:w="1037"/>
          </w:tcPr>
          <w:p>
            <w:pPr>
              <w:spacing w:after="20"/>
            </w:pPr>
            <w:r>
              <w:rPr>
                <w:color w:val="1C3A36"/>
                <w:sz w:val="15"/>
              </w:rPr>
              <w:t>2024-12-31</w:t>
            </w:r>
          </w:p>
        </w:tc>
        <w:tc>
          <w:tcPr>
            <w:tcW w:type="dxa" w:w="5832"/>
          </w:tcPr>
          <w:p>
            <w:pPr>
              <w:spacing w:after="20"/>
            </w:pPr>
            <w:r>
              <w:rPr>
                <w:color w:val="1C3A36"/>
                <w:sz w:val="15"/>
              </w:rPr>
              <w:t>Consolidated net profit after tax for July-December 2024, derived from the disclosed statement that the transition period's EGP 656.428mn was a 2% year-on-year increase (656.428 / 1.02)</w:t>
            </w:r>
          </w:p>
        </w:tc>
      </w:tr>
      <w:tr>
        <w:tc>
          <w:tcPr>
            <w:tcW w:type="dxa" w:w="1872"/>
          </w:tcPr>
          <w:p>
            <w:pPr>
              <w:spacing w:after="20"/>
            </w:pPr>
            <w:r>
              <w:rPr>
                <w:color w:val="1C3A36"/>
                <w:sz w:val="15"/>
              </w:rPr>
              <w:t>rev_h2cy25</w:t>
            </w:r>
          </w:p>
        </w:tc>
        <w:tc>
          <w:tcPr>
            <w:tcW w:type="dxa" w:w="1440"/>
          </w:tcPr>
          <w:p>
            <w:pPr>
              <w:spacing w:after="20"/>
            </w:pPr>
            <w:r>
              <w:rPr>
                <w:color w:val="1C3A36"/>
                <w:sz w:val="15"/>
              </w:rPr>
              <w:t>20,735.0</w:t>
            </w:r>
          </w:p>
        </w:tc>
        <w:tc>
          <w:tcPr>
            <w:tcW w:type="dxa" w:w="1037"/>
          </w:tcPr>
          <w:p>
            <w:pPr>
              <w:spacing w:after="20"/>
            </w:pPr>
            <w:r>
              <w:rPr>
                <w:color w:val="1C3A36"/>
                <w:sz w:val="15"/>
              </w:rPr>
              <w:t>2025-12-31</w:t>
            </w:r>
          </w:p>
        </w:tc>
        <w:tc>
          <w:tcPr>
            <w:tcW w:type="dxa" w:w="5832"/>
          </w:tcPr>
          <w:p>
            <w:pPr>
              <w:spacing w:after="20"/>
            </w:pPr>
            <w:r>
              <w:rPr>
                <w:color w:val="1C3A36"/>
                <w:sz w:val="15"/>
              </w:rPr>
              <w:t>Consolidated sales for the July-December 2025 transition period, EGP 20.735bn, up 14% year on year</w:t>
            </w:r>
          </w:p>
        </w:tc>
      </w:tr>
      <w:tr>
        <w:tc>
          <w:tcPr>
            <w:tcW w:type="dxa" w:w="1872"/>
          </w:tcPr>
          <w:p>
            <w:pPr>
              <w:spacing w:after="20"/>
            </w:pPr>
            <w:r>
              <w:rPr>
                <w:color w:val="1C3A36"/>
                <w:sz w:val="15"/>
              </w:rPr>
              <w:t>pat_h2cy25</w:t>
            </w:r>
          </w:p>
        </w:tc>
        <w:tc>
          <w:tcPr>
            <w:tcW w:type="dxa" w:w="1440"/>
          </w:tcPr>
          <w:p>
            <w:pPr>
              <w:spacing w:after="20"/>
            </w:pPr>
            <w:r>
              <w:rPr>
                <w:color w:val="1C3A36"/>
                <w:sz w:val="15"/>
              </w:rPr>
              <w:t>656.4</w:t>
            </w:r>
          </w:p>
        </w:tc>
        <w:tc>
          <w:tcPr>
            <w:tcW w:type="dxa" w:w="1037"/>
          </w:tcPr>
          <w:p>
            <w:pPr>
              <w:spacing w:after="20"/>
            </w:pPr>
            <w:r>
              <w:rPr>
                <w:color w:val="1C3A36"/>
                <w:sz w:val="15"/>
              </w:rPr>
              <w:t>2025-12-31</w:t>
            </w:r>
          </w:p>
        </w:tc>
        <w:tc>
          <w:tcPr>
            <w:tcW w:type="dxa" w:w="5832"/>
          </w:tcPr>
          <w:p>
            <w:pPr>
              <w:spacing w:after="20"/>
            </w:pPr>
            <w:r>
              <w:rPr>
                <w:color w:val="1C3A36"/>
                <w:sz w:val="15"/>
              </w:rPr>
              <w:t>Consolidated net profit after tax for the July-December 2025 transition period, EGP 656.428mn, +2%</w:t>
            </w:r>
          </w:p>
        </w:tc>
      </w:tr>
      <w:tr>
        <w:tc>
          <w:tcPr>
            <w:tcW w:type="dxa" w:w="1872"/>
          </w:tcPr>
          <w:p>
            <w:pPr>
              <w:spacing w:after="20"/>
            </w:pPr>
            <w:r>
              <w:rPr>
                <w:color w:val="1C3A36"/>
                <w:sz w:val="15"/>
              </w:rPr>
              <w:t>vol_h2cy25</w:t>
            </w:r>
          </w:p>
        </w:tc>
        <w:tc>
          <w:tcPr>
            <w:tcW w:type="dxa" w:w="1440"/>
          </w:tcPr>
          <w:p>
            <w:pPr>
              <w:spacing w:after="20"/>
            </w:pPr>
            <w:r>
              <w:rPr>
                <w:color w:val="1C3A36"/>
                <w:sz w:val="15"/>
              </w:rPr>
              <w:t>0.808</w:t>
            </w:r>
          </w:p>
        </w:tc>
        <w:tc>
          <w:tcPr>
            <w:tcW w:type="dxa" w:w="1037"/>
          </w:tcPr>
          <w:p>
            <w:pPr>
              <w:spacing w:after="20"/>
            </w:pPr>
            <w:r>
              <w:rPr>
                <w:color w:val="1C3A36"/>
                <w:sz w:val="15"/>
              </w:rPr>
              <w:t>2025-12-31</w:t>
            </w:r>
          </w:p>
        </w:tc>
        <w:tc>
          <w:tcPr>
            <w:tcW w:type="dxa" w:w="5832"/>
          </w:tcPr>
          <w:p>
            <w:pPr>
              <w:spacing w:after="20"/>
            </w:pPr>
            <w:r>
              <w:rPr>
                <w:color w:val="1C3A36"/>
                <w:sz w:val="15"/>
              </w:rPr>
              <w:t>Transition-period sales volume, 808,000 tonnes, +14.5%</w:t>
            </w:r>
          </w:p>
        </w:tc>
      </w:tr>
      <w:tr>
        <w:tc>
          <w:tcPr>
            <w:tcW w:type="dxa" w:w="1872"/>
          </w:tcPr>
          <w:p>
            <w:pPr>
              <w:spacing w:after="20"/>
            </w:pPr>
            <w:r>
              <w:rPr>
                <w:color w:val="1C3A36"/>
                <w:sz w:val="15"/>
              </w:rPr>
              <w:t>exp_h2cy25</w:t>
            </w:r>
          </w:p>
        </w:tc>
        <w:tc>
          <w:tcPr>
            <w:tcW w:type="dxa" w:w="1440"/>
          </w:tcPr>
          <w:p>
            <w:pPr>
              <w:spacing w:after="20"/>
            </w:pPr>
            <w:r>
              <w:rPr>
                <w:color w:val="1C3A36"/>
                <w:sz w:val="15"/>
              </w:rPr>
              <w:t>0.042</w:t>
            </w:r>
          </w:p>
        </w:tc>
        <w:tc>
          <w:tcPr>
            <w:tcW w:type="dxa" w:w="1037"/>
          </w:tcPr>
          <w:p>
            <w:pPr>
              <w:spacing w:after="20"/>
            </w:pPr>
            <w:r>
              <w:rPr>
                <w:color w:val="1C3A36"/>
                <w:sz w:val="15"/>
              </w:rPr>
              <w:t>2025-12-31</w:t>
            </w:r>
          </w:p>
        </w:tc>
        <w:tc>
          <w:tcPr>
            <w:tcW w:type="dxa" w:w="5832"/>
          </w:tcPr>
          <w:p>
            <w:pPr>
              <w:spacing w:after="20"/>
            </w:pPr>
            <w:r>
              <w:rPr>
                <w:color w:val="1C3A36"/>
                <w:sz w:val="15"/>
              </w:rPr>
              <w:t>Transition-period exports of oils and waxes, ~42,000 tonnes, +40% year on year on entry into new export markets</w:t>
            </w:r>
          </w:p>
        </w:tc>
      </w:tr>
      <w:tr>
        <w:tc>
          <w:tcPr>
            <w:tcW w:type="dxa" w:w="1872"/>
          </w:tcPr>
          <w:p>
            <w:pPr>
              <w:spacing w:after="20"/>
            </w:pPr>
            <w:r>
              <w:rPr>
                <w:color w:val="1C3A36"/>
                <w:sz w:val="15"/>
              </w:rPr>
              <w:t>rev_q1cy26</w:t>
            </w:r>
          </w:p>
        </w:tc>
        <w:tc>
          <w:tcPr>
            <w:tcW w:type="dxa" w:w="1440"/>
          </w:tcPr>
          <w:p>
            <w:pPr>
              <w:spacing w:after="20"/>
            </w:pPr>
            <w:r>
              <w:rPr>
                <w:color w:val="1C3A36"/>
                <w:sz w:val="15"/>
              </w:rPr>
              <w:t>10,510.0</w:t>
            </w:r>
          </w:p>
        </w:tc>
        <w:tc>
          <w:tcPr>
            <w:tcW w:type="dxa" w:w="1037"/>
          </w:tcPr>
          <w:p>
            <w:pPr>
              <w:spacing w:after="20"/>
            </w:pPr>
            <w:r>
              <w:rPr>
                <w:color w:val="1C3A36"/>
                <w:sz w:val="15"/>
              </w:rPr>
              <w:t>2026-03-31</w:t>
            </w:r>
          </w:p>
        </w:tc>
        <w:tc>
          <w:tcPr>
            <w:tcW w:type="dxa" w:w="5832"/>
          </w:tcPr>
          <w:p>
            <w:pPr>
              <w:spacing w:after="20"/>
            </w:pPr>
            <w:r>
              <w:rPr>
                <w:color w:val="1C3A36"/>
                <w:sz w:val="15"/>
              </w:rPr>
              <w:t>Consolidated net sales for the quarter to 31 March 2026, EGP 10.51bn, against EGP 10.07bn a year earlier</w:t>
            </w:r>
          </w:p>
        </w:tc>
      </w:tr>
      <w:tr>
        <w:tc>
          <w:tcPr>
            <w:tcW w:type="dxa" w:w="1872"/>
          </w:tcPr>
          <w:p>
            <w:pPr>
              <w:spacing w:after="20"/>
            </w:pPr>
            <w:r>
              <w:rPr>
                <w:color w:val="1C3A36"/>
                <w:sz w:val="15"/>
              </w:rPr>
              <w:t>pat_q1cy26</w:t>
            </w:r>
          </w:p>
        </w:tc>
        <w:tc>
          <w:tcPr>
            <w:tcW w:type="dxa" w:w="1440"/>
          </w:tcPr>
          <w:p>
            <w:pPr>
              <w:spacing w:after="20"/>
            </w:pPr>
            <w:r>
              <w:rPr>
                <w:color w:val="1C3A36"/>
                <w:sz w:val="15"/>
              </w:rPr>
              <w:t>635.1</w:t>
            </w:r>
          </w:p>
        </w:tc>
        <w:tc>
          <w:tcPr>
            <w:tcW w:type="dxa" w:w="1037"/>
          </w:tcPr>
          <w:p>
            <w:pPr>
              <w:spacing w:after="20"/>
            </w:pPr>
            <w:r>
              <w:rPr>
                <w:color w:val="1C3A36"/>
                <w:sz w:val="15"/>
              </w:rPr>
              <w:t>2026-03-31</w:t>
            </w:r>
          </w:p>
        </w:tc>
        <w:tc>
          <w:tcPr>
            <w:tcW w:type="dxa" w:w="5832"/>
          </w:tcPr>
          <w:p>
            <w:pPr>
              <w:spacing w:after="20"/>
            </w:pPr>
            <w:r>
              <w:rPr>
                <w:color w:val="1C3A36"/>
                <w:sz w:val="15"/>
              </w:rPr>
              <w:t>Consolidated net profit for the quarter to 31 March 2026, EGP 635.12mn, +37%</w:t>
            </w:r>
          </w:p>
        </w:tc>
      </w:tr>
      <w:tr>
        <w:tc>
          <w:tcPr>
            <w:tcW w:type="dxa" w:w="1872"/>
          </w:tcPr>
          <w:p>
            <w:pPr>
              <w:spacing w:after="20"/>
            </w:pPr>
            <w:r>
              <w:rPr>
                <w:color w:val="1C3A36"/>
                <w:sz w:val="15"/>
              </w:rPr>
              <w:t>rev_h1cy26_rep</w:t>
            </w:r>
          </w:p>
        </w:tc>
        <w:tc>
          <w:tcPr>
            <w:tcW w:type="dxa" w:w="1440"/>
          </w:tcPr>
          <w:p>
            <w:pPr>
              <w:spacing w:after="20"/>
            </w:pPr>
            <w:r>
              <w:rPr>
                <w:color w:val="1C3A36"/>
                <w:sz w:val="15"/>
              </w:rPr>
              <w:t>26,200.0</w:t>
            </w:r>
          </w:p>
        </w:tc>
        <w:tc>
          <w:tcPr>
            <w:tcW w:type="dxa" w:w="1037"/>
          </w:tcPr>
          <w:p>
            <w:pPr>
              <w:spacing w:after="20"/>
            </w:pPr>
            <w:r>
              <w:rPr>
                <w:color w:val="1C3A36"/>
                <w:sz w:val="15"/>
              </w:rPr>
              <w:t>2026-06-30</w:t>
            </w:r>
          </w:p>
        </w:tc>
        <w:tc>
          <w:tcPr>
            <w:tcW w:type="dxa" w:w="5832"/>
          </w:tcPr>
          <w:p>
            <w:pPr>
              <w:spacing w:after="20"/>
            </w:pPr>
            <w:r>
              <w:rPr>
                <w:color w:val="1C3A36"/>
                <w:sz w:val="15"/>
              </w:rPr>
              <w:t>Consolidated revenue reported for the six months to 30 June 2026, EGP 26.2bn, +35%. Carried as a CORROBORATING data point only, not as the forecast base — see the period-labelling note</w:t>
            </w:r>
          </w:p>
        </w:tc>
      </w:tr>
      <w:tr>
        <w:tc>
          <w:tcPr>
            <w:tcW w:type="dxa" w:w="1872"/>
          </w:tcPr>
          <w:p>
            <w:pPr>
              <w:spacing w:after="20"/>
            </w:pPr>
            <w:r>
              <w:rPr>
                <w:color w:val="1C3A36"/>
                <w:sz w:val="15"/>
              </w:rPr>
              <w:t>pat_h1cy26_rep</w:t>
            </w:r>
          </w:p>
        </w:tc>
        <w:tc>
          <w:tcPr>
            <w:tcW w:type="dxa" w:w="1440"/>
          </w:tcPr>
          <w:p>
            <w:pPr>
              <w:spacing w:after="20"/>
            </w:pPr>
            <w:r>
              <w:rPr>
                <w:color w:val="1C3A36"/>
                <w:sz w:val="15"/>
              </w:rPr>
              <w:t>1,900.0</w:t>
            </w:r>
          </w:p>
        </w:tc>
        <w:tc>
          <w:tcPr>
            <w:tcW w:type="dxa" w:w="1037"/>
          </w:tcPr>
          <w:p>
            <w:pPr>
              <w:spacing w:after="20"/>
            </w:pPr>
            <w:r>
              <w:rPr>
                <w:color w:val="1C3A36"/>
                <w:sz w:val="15"/>
              </w:rPr>
              <w:t>2026-06-30</w:t>
            </w:r>
          </w:p>
        </w:tc>
        <w:tc>
          <w:tcPr>
            <w:tcW w:type="dxa" w:w="5832"/>
          </w:tcPr>
          <w:p>
            <w:pPr>
              <w:spacing w:after="20"/>
            </w:pPr>
            <w:r>
              <w:rPr>
                <w:color w:val="1C3A36"/>
                <w:sz w:val="15"/>
              </w:rPr>
              <w:t>Consolidated net profit after tax reported for the six months to 30 June 2026, EGP 1.90bn, +109%. Corroborating only</w:t>
            </w:r>
          </w:p>
        </w:tc>
      </w:tr>
      <w:tr>
        <w:tc>
          <w:tcPr>
            <w:tcW w:type="dxa" w:w="1872"/>
          </w:tcPr>
          <w:p>
            <w:pPr>
              <w:spacing w:after="20"/>
            </w:pPr>
            <w:r>
              <w:rPr>
                <w:color w:val="1C3A36"/>
                <w:sz w:val="15"/>
              </w:rPr>
              <w:t>assets_snap</w:t>
            </w:r>
          </w:p>
        </w:tc>
        <w:tc>
          <w:tcPr>
            <w:tcW w:type="dxa" w:w="1440"/>
          </w:tcPr>
          <w:p>
            <w:pPr>
              <w:spacing w:after="20"/>
            </w:pPr>
            <w:r>
              <w:rPr>
                <w:color w:val="1C3A36"/>
                <w:sz w:val="15"/>
              </w:rPr>
              <w:t>8,136.4</w:t>
            </w:r>
          </w:p>
        </w:tc>
        <w:tc>
          <w:tcPr>
            <w:tcW w:type="dxa" w:w="1037"/>
          </w:tcPr>
          <w:p>
            <w:pPr>
              <w:spacing w:after="20"/>
            </w:pPr>
            <w:r>
              <w:rPr>
                <w:color w:val="1C3A36"/>
                <w:sz w:val="15"/>
              </w:rPr>
              <w:t>2026-03-31</w:t>
            </w:r>
          </w:p>
        </w:tc>
        <w:tc>
          <w:tcPr>
            <w:tcW w:type="dxa" w:w="5832"/>
          </w:tcPr>
          <w:p>
            <w:pPr>
              <w:spacing w:after="20"/>
            </w:pPr>
            <w:r>
              <w:rPr>
                <w:color w:val="1C3A36"/>
                <w:sz w:val="15"/>
              </w:rPr>
              <w:t>Total assets, EGP 8,136.42mn, most recent reported quarter</w:t>
            </w:r>
          </w:p>
        </w:tc>
      </w:tr>
      <w:tr>
        <w:tc>
          <w:tcPr>
            <w:tcW w:type="dxa" w:w="1872"/>
          </w:tcPr>
          <w:p>
            <w:pPr>
              <w:spacing w:after="20"/>
            </w:pPr>
            <w:r>
              <w:rPr>
                <w:color w:val="1C3A36"/>
                <w:sz w:val="15"/>
              </w:rPr>
              <w:t>liab_snap</w:t>
            </w:r>
          </w:p>
        </w:tc>
        <w:tc>
          <w:tcPr>
            <w:tcW w:type="dxa" w:w="1440"/>
          </w:tcPr>
          <w:p>
            <w:pPr>
              <w:spacing w:after="20"/>
            </w:pPr>
            <w:r>
              <w:rPr>
                <w:color w:val="1C3A36"/>
                <w:sz w:val="15"/>
              </w:rPr>
              <w:t>3,189.6</w:t>
            </w:r>
          </w:p>
        </w:tc>
        <w:tc>
          <w:tcPr>
            <w:tcW w:type="dxa" w:w="1037"/>
          </w:tcPr>
          <w:p>
            <w:pPr>
              <w:spacing w:after="20"/>
            </w:pPr>
            <w:r>
              <w:rPr>
                <w:color w:val="1C3A36"/>
                <w:sz w:val="15"/>
              </w:rPr>
              <w:t>2026-03-31</w:t>
            </w:r>
          </w:p>
        </w:tc>
        <w:tc>
          <w:tcPr>
            <w:tcW w:type="dxa" w:w="5832"/>
          </w:tcPr>
          <w:p>
            <w:pPr>
              <w:spacing w:after="20"/>
            </w:pPr>
            <w:r>
              <w:rPr>
                <w:color w:val="1C3A36"/>
                <w:sz w:val="15"/>
              </w:rPr>
              <w:t>Total liabilities, EGP 3,189.56mn, same reporting date</w:t>
            </w:r>
          </w:p>
        </w:tc>
      </w:tr>
      <w:tr>
        <w:tc>
          <w:tcPr>
            <w:tcW w:type="dxa" w:w="1872"/>
          </w:tcPr>
          <w:p>
            <w:pPr>
              <w:spacing w:after="20"/>
            </w:pPr>
            <w:r>
              <w:rPr>
                <w:color w:val="1C3A36"/>
                <w:sz w:val="15"/>
              </w:rPr>
              <w:t>cash_snap</w:t>
            </w:r>
          </w:p>
        </w:tc>
        <w:tc>
          <w:tcPr>
            <w:tcW w:type="dxa" w:w="1440"/>
          </w:tcPr>
          <w:p>
            <w:pPr>
              <w:spacing w:after="20"/>
            </w:pPr>
            <w:r>
              <w:rPr>
                <w:color w:val="1C3A36"/>
                <w:sz w:val="15"/>
              </w:rPr>
              <w:t>2,463.5</w:t>
            </w:r>
          </w:p>
        </w:tc>
        <w:tc>
          <w:tcPr>
            <w:tcW w:type="dxa" w:w="1037"/>
          </w:tcPr>
          <w:p>
            <w:pPr>
              <w:spacing w:after="20"/>
            </w:pPr>
            <w:r>
              <w:rPr>
                <w:color w:val="1C3A36"/>
                <w:sz w:val="15"/>
              </w:rPr>
              <w:t>2026-03-31</w:t>
            </w:r>
          </w:p>
        </w:tc>
        <w:tc>
          <w:tcPr>
            <w:tcW w:type="dxa" w:w="5832"/>
          </w:tcPr>
          <w:p>
            <w:pPr>
              <w:spacing w:after="20"/>
            </w:pPr>
            <w:r>
              <w:rPr>
                <w:color w:val="1C3A36"/>
                <w:sz w:val="15"/>
              </w:rPr>
              <w:t>Cash and cash equivalents, EGP 2,463.52mn, same reporting date</w:t>
            </w:r>
          </w:p>
        </w:tc>
      </w:tr>
      <w:tr>
        <w:tc>
          <w:tcPr>
            <w:tcW w:type="dxa" w:w="1872"/>
          </w:tcPr>
          <w:p>
            <w:pPr>
              <w:spacing w:after="20"/>
            </w:pPr>
            <w:r>
              <w:rPr>
                <w:color w:val="1C3A36"/>
                <w:sz w:val="15"/>
              </w:rPr>
              <w:t>debt_snap</w:t>
            </w:r>
          </w:p>
        </w:tc>
        <w:tc>
          <w:tcPr>
            <w:tcW w:type="dxa" w:w="1440"/>
          </w:tcPr>
          <w:p>
            <w:pPr>
              <w:spacing w:after="20"/>
            </w:pPr>
            <w:r>
              <w:rPr>
                <w:color w:val="1C3A36"/>
                <w:sz w:val="15"/>
              </w:rPr>
              <w:t>25.26</w:t>
            </w:r>
          </w:p>
        </w:tc>
        <w:tc>
          <w:tcPr>
            <w:tcW w:type="dxa" w:w="1037"/>
          </w:tcPr>
          <w:p>
            <w:pPr>
              <w:spacing w:after="20"/>
            </w:pPr>
            <w:r>
              <w:rPr>
                <w:color w:val="1C3A36"/>
                <w:sz w:val="15"/>
              </w:rPr>
              <w:t>2026-03-31</w:t>
            </w:r>
          </w:p>
        </w:tc>
        <w:tc>
          <w:tcPr>
            <w:tcW w:type="dxa" w:w="5832"/>
          </w:tcPr>
          <w:p>
            <w:pPr>
              <w:spacing w:after="20"/>
            </w:pPr>
            <w:r>
              <w:rPr>
                <w:color w:val="1C3A36"/>
                <w:sz w:val="15"/>
              </w:rPr>
              <w:t>Total debt, EGP 25.26mn, same reporting date. A gross debt book of 0.06% of revenue is the defining balance-sheet fact about this name</w:t>
            </w:r>
          </w:p>
        </w:tc>
      </w:tr>
      <w:tr>
        <w:tc>
          <w:tcPr>
            <w:tcW w:type="dxa" w:w="1872"/>
          </w:tcPr>
          <w:p>
            <w:pPr>
              <w:spacing w:after="20"/>
            </w:pPr>
            <w:r>
              <w:rPr>
                <w:color w:val="1C3A36"/>
                <w:sz w:val="15"/>
              </w:rPr>
              <w:t>reserves_dec25</w:t>
            </w:r>
          </w:p>
        </w:tc>
        <w:tc>
          <w:tcPr>
            <w:tcW w:type="dxa" w:w="1440"/>
          </w:tcPr>
          <w:p>
            <w:pPr>
              <w:spacing w:after="20"/>
            </w:pPr>
            <w:r>
              <w:rPr>
                <w:color w:val="1C3A36"/>
                <w:sz w:val="15"/>
              </w:rPr>
              <w:t>2,390.0</w:t>
            </w:r>
          </w:p>
        </w:tc>
        <w:tc>
          <w:tcPr>
            <w:tcW w:type="dxa" w:w="1037"/>
          </w:tcPr>
          <w:p>
            <w:pPr>
              <w:spacing w:after="20"/>
            </w:pPr>
            <w:r>
              <w:rPr>
                <w:color w:val="1C3A36"/>
                <w:sz w:val="15"/>
              </w:rPr>
              <w:t>2025-12-31</w:t>
            </w:r>
          </w:p>
        </w:tc>
        <w:tc>
          <w:tcPr>
            <w:tcW w:type="dxa" w:w="5832"/>
          </w:tcPr>
          <w:p>
            <w:pPr>
              <w:spacing w:after="20"/>
            </w:pPr>
            <w:r>
              <w:rPr>
                <w:color w:val="1C3A36"/>
                <w:sz w:val="15"/>
              </w:rPr>
              <w:t>Total reserves increased to EGP 2.39bn at the transition-period balance date</w:t>
            </w:r>
          </w:p>
        </w:tc>
      </w:tr>
      <w:tr>
        <w:tc>
          <w:tcPr>
            <w:tcW w:type="dxa" w:w="1872"/>
          </w:tcPr>
          <w:p>
            <w:pPr>
              <w:spacing w:after="20"/>
            </w:pPr>
            <w:r>
              <w:rPr>
                <w:color w:val="1C3A36"/>
                <w:sz w:val="15"/>
              </w:rPr>
              <w:t>dps</w:t>
            </w:r>
          </w:p>
        </w:tc>
        <w:tc>
          <w:tcPr>
            <w:tcW w:type="dxa" w:w="1440"/>
          </w:tcPr>
          <w:p>
            <w:pPr>
              <w:spacing w:after="20"/>
            </w:pPr>
            <w:r>
              <w:rPr>
                <w:color w:val="1C3A36"/>
                <w:sz w:val="15"/>
              </w:rPr>
              <w:t>0.8</w:t>
            </w:r>
          </w:p>
        </w:tc>
        <w:tc>
          <w:tcPr>
            <w:tcW w:type="dxa" w:w="1037"/>
          </w:tcPr>
          <w:p>
            <w:pPr>
              <w:spacing w:after="20"/>
            </w:pPr>
            <w:r>
              <w:rPr>
                <w:color w:val="1C3A36"/>
                <w:sz w:val="15"/>
              </w:rPr>
              <w:t>2026-03-28</w:t>
            </w:r>
          </w:p>
        </w:tc>
        <w:tc>
          <w:tcPr>
            <w:tcW w:type="dxa" w:w="5832"/>
          </w:tcPr>
          <w:p>
            <w:pPr>
              <w:spacing w:after="20"/>
            </w:pPr>
            <w:r>
              <w:rPr>
                <w:color w:val="1C3A36"/>
                <w:sz w:val="15"/>
              </w:rPr>
              <w:t>Declared dividend of EGP 0.80 a share a year; EGP 0.40 a share was approved for the July-December 2025 transition period at the general assembly of 28 March 2026</w:t>
            </w:r>
          </w:p>
        </w:tc>
      </w:tr>
      <w:tr>
        <w:tc>
          <w:tcPr>
            <w:tcW w:type="dxa" w:w="1872"/>
          </w:tcPr>
          <w:p>
            <w:pPr>
              <w:spacing w:after="20"/>
            </w:pPr>
            <w:r>
              <w:rPr>
                <w:color w:val="1C3A36"/>
                <w:sz w:val="15"/>
              </w:rPr>
              <w:t>payout_reported</w:t>
            </w:r>
          </w:p>
        </w:tc>
        <w:tc>
          <w:tcPr>
            <w:tcW w:type="dxa" w:w="1440"/>
          </w:tcPr>
          <w:p>
            <w:pPr>
              <w:spacing w:after="20"/>
            </w:pPr>
            <w:r>
              <w:rPr>
                <w:color w:val="1C3A36"/>
                <w:sz w:val="15"/>
              </w:rPr>
              <w:t>0.694</w:t>
            </w:r>
          </w:p>
        </w:tc>
        <w:tc>
          <w:tcPr>
            <w:tcW w:type="dxa" w:w="1037"/>
          </w:tcPr>
          <w:p>
            <w:pPr>
              <w:spacing w:after="20"/>
            </w:pPr>
            <w:r>
              <w:rPr>
                <w:color w:val="1C3A36"/>
                <w:sz w:val="15"/>
              </w:rPr>
              <w:t>2026-08-06</w:t>
            </w:r>
          </w:p>
        </w:tc>
        <w:tc>
          <w:tcPr>
            <w:tcW w:type="dxa" w:w="5832"/>
          </w:tcPr>
          <w:p>
            <w:pPr>
              <w:spacing w:after="20"/>
            </w:pPr>
            <w:r>
              <w:rPr>
                <w:color w:val="1C3A36"/>
                <w:sz w:val="15"/>
              </w:rPr>
              <w:t>Reported dividend payout ratio, 69.4%</w:t>
            </w:r>
          </w:p>
        </w:tc>
      </w:tr>
      <w:tr>
        <w:tc>
          <w:tcPr>
            <w:tcW w:type="dxa" w:w="1872"/>
          </w:tcPr>
          <w:p>
            <w:pPr>
              <w:spacing w:after="20"/>
            </w:pPr>
            <w:r>
              <w:rPr>
                <w:color w:val="1C3A36"/>
                <w:sz w:val="15"/>
              </w:rPr>
              <w:t>capex_budget</w:t>
            </w:r>
          </w:p>
        </w:tc>
        <w:tc>
          <w:tcPr>
            <w:tcW w:type="dxa" w:w="1440"/>
          </w:tcPr>
          <w:p>
            <w:pPr>
              <w:spacing w:after="20"/>
            </w:pPr>
            <w:r>
              <w:rPr>
                <w:color w:val="1C3A36"/>
                <w:sz w:val="15"/>
              </w:rPr>
              <w:t>580.2</w:t>
            </w:r>
          </w:p>
        </w:tc>
        <w:tc>
          <w:tcPr>
            <w:tcW w:type="dxa" w:w="1037"/>
          </w:tcPr>
          <w:p>
            <w:pPr>
              <w:spacing w:after="20"/>
            </w:pPr>
            <w:r>
              <w:rPr>
                <w:color w:val="1C3A36"/>
                <w:sz w:val="15"/>
              </w:rPr>
              <w:t>2025-06-30</w:t>
            </w:r>
          </w:p>
        </w:tc>
        <w:tc>
          <w:tcPr>
            <w:tcW w:type="dxa" w:w="5832"/>
          </w:tcPr>
          <w:p>
            <w:pPr>
              <w:spacing w:after="20"/>
            </w:pPr>
            <w:r>
              <w:rPr>
                <w:color w:val="1C3A36"/>
                <w:sz w:val="15"/>
              </w:rPr>
              <w:t>Approved capital budget of EGP 580.19mn for the July 2025-June 2026 planning year</w:t>
            </w:r>
          </w:p>
        </w:tc>
      </w:tr>
      <w:tr>
        <w:tc>
          <w:tcPr>
            <w:tcW w:type="dxa" w:w="1872"/>
          </w:tcPr>
          <w:p>
            <w:pPr>
              <w:spacing w:after="20"/>
            </w:pPr>
            <w:r>
              <w:rPr>
                <w:color w:val="1C3A36"/>
                <w:sz w:val="15"/>
              </w:rPr>
              <w:t>budget_rev</w:t>
            </w:r>
          </w:p>
        </w:tc>
        <w:tc>
          <w:tcPr>
            <w:tcW w:type="dxa" w:w="1440"/>
          </w:tcPr>
          <w:p>
            <w:pPr>
              <w:spacing w:after="20"/>
            </w:pPr>
            <w:r>
              <w:rPr>
                <w:color w:val="1C3A36"/>
                <w:sz w:val="15"/>
              </w:rPr>
              <w:t>37,332.0</w:t>
            </w:r>
          </w:p>
        </w:tc>
        <w:tc>
          <w:tcPr>
            <w:tcW w:type="dxa" w:w="1037"/>
          </w:tcPr>
          <w:p>
            <w:pPr>
              <w:spacing w:after="20"/>
            </w:pPr>
            <w:r>
              <w:rPr>
                <w:color w:val="1C3A36"/>
                <w:sz w:val="15"/>
              </w:rPr>
              <w:t>2025-06-30</w:t>
            </w:r>
          </w:p>
        </w:tc>
        <w:tc>
          <w:tcPr>
            <w:tcW w:type="dxa" w:w="5832"/>
          </w:tcPr>
          <w:p>
            <w:pPr>
              <w:spacing w:after="20"/>
            </w:pPr>
            <w:r>
              <w:rPr>
                <w:color w:val="1C3A36"/>
                <w:sz w:val="15"/>
              </w:rPr>
              <w:t>The company's own approved planning-budget net sales of EGP 37.332bn for July 2025-June 2026, against a budgeted net profit of about EGP 1.02bn — later revised upward to about EGP 2.1bn</w:t>
            </w:r>
          </w:p>
        </w:tc>
      </w:tr>
      <w:tr>
        <w:tc>
          <w:tcPr>
            <w:tcW w:type="dxa" w:w="1872"/>
          </w:tcPr>
          <w:p>
            <w:pPr>
              <w:spacing w:after="20"/>
            </w:pPr>
            <w:r>
              <w:rPr>
                <w:color w:val="1C3A36"/>
                <w:sz w:val="15"/>
              </w:rPr>
              <w:t>egpc_stake</w:t>
            </w:r>
          </w:p>
        </w:tc>
        <w:tc>
          <w:tcPr>
            <w:tcW w:type="dxa" w:w="1440"/>
          </w:tcPr>
          <w:p>
            <w:pPr>
              <w:spacing w:after="20"/>
            </w:pPr>
            <w:r>
              <w:rPr>
                <w:color w:val="1C3A36"/>
                <w:sz w:val="15"/>
              </w:rPr>
              <w:t>0.2</w:t>
            </w:r>
          </w:p>
        </w:tc>
        <w:tc>
          <w:tcPr>
            <w:tcW w:type="dxa" w:w="1037"/>
          </w:tcPr>
          <w:p>
            <w:pPr>
              <w:spacing w:after="20"/>
            </w:pPr>
            <w:r>
              <w:rPr>
                <w:color w:val="1C3A36"/>
                <w:sz w:val="15"/>
              </w:rPr>
              <w:t>2026-08-06</w:t>
            </w:r>
          </w:p>
        </w:tc>
        <w:tc>
          <w:tcPr>
            <w:tcW w:type="dxa" w:w="5832"/>
          </w:tcPr>
          <w:p>
            <w:pPr>
              <w:spacing w:after="20"/>
            </w:pPr>
            <w:r>
              <w:rPr>
                <w:color w:val="1C3A36"/>
                <w:sz w:val="15"/>
              </w:rPr>
              <w:t>The Egyptian General Petroleum Corporation is the second-largest single shareholder with a 20% holding</w:t>
            </w:r>
          </w:p>
        </w:tc>
      </w:tr>
      <w:tr>
        <w:tc>
          <w:tcPr>
            <w:tcW w:type="dxa" w:w="1872"/>
          </w:tcPr>
          <w:p>
            <w:pPr>
              <w:spacing w:after="20"/>
            </w:pPr>
            <w:r>
              <w:rPr>
                <w:color w:val="1C3A36"/>
                <w:sz w:val="15"/>
              </w:rPr>
              <w:t>line_oil_t</w:t>
            </w:r>
          </w:p>
        </w:tc>
        <w:tc>
          <w:tcPr>
            <w:tcW w:type="dxa" w:w="1440"/>
          </w:tcPr>
          <w:p>
            <w:pPr>
              <w:spacing w:after="20"/>
            </w:pPr>
            <w:r>
              <w:rPr>
                <w:color w:val="1C3A36"/>
                <w:sz w:val="15"/>
              </w:rPr>
              <w:t>111,256.0</w:t>
            </w:r>
          </w:p>
        </w:tc>
        <w:tc>
          <w:tcPr>
            <w:tcW w:type="dxa" w:w="1037"/>
          </w:tcPr>
          <w:p>
            <w:pPr>
              <w:spacing w:after="20"/>
            </w:pPr>
            <w:r>
              <w:rPr>
                <w:color w:val="1C3A36"/>
                <w:sz w:val="15"/>
              </w:rPr>
              <w:t>2024-06-30</w:t>
            </w:r>
          </w:p>
        </w:tc>
        <w:tc>
          <w:tcPr>
            <w:tcW w:type="dxa" w:w="5832"/>
          </w:tcPr>
          <w:p>
            <w:pPr>
              <w:spacing w:after="20"/>
            </w:pPr>
            <w:r>
              <w:rPr>
                <w:color w:val="1C3A36"/>
                <w:sz w:val="15"/>
              </w:rPr>
              <w:t>Base oils, tonnes sold, year to 30 June 2024 — disclosed product table (reviewer-sourced, not verified from the filing here)</w:t>
            </w:r>
          </w:p>
        </w:tc>
      </w:tr>
      <w:tr>
        <w:tc>
          <w:tcPr>
            <w:tcW w:type="dxa" w:w="1872"/>
          </w:tcPr>
          <w:p>
            <w:pPr>
              <w:spacing w:after="20"/>
            </w:pPr>
            <w:r>
              <w:rPr>
                <w:color w:val="1C3A36"/>
                <w:sz w:val="15"/>
              </w:rPr>
              <w:t>line_oil_v</w:t>
            </w:r>
          </w:p>
        </w:tc>
        <w:tc>
          <w:tcPr>
            <w:tcW w:type="dxa" w:w="1440"/>
          </w:tcPr>
          <w:p>
            <w:pPr>
              <w:spacing w:after="20"/>
            </w:pPr>
            <w:r>
              <w:rPr>
                <w:color w:val="1C3A36"/>
                <w:sz w:val="15"/>
              </w:rPr>
              <w:t>4,454.1</w:t>
            </w:r>
          </w:p>
        </w:tc>
        <w:tc>
          <w:tcPr>
            <w:tcW w:type="dxa" w:w="1037"/>
          </w:tcPr>
          <w:p>
            <w:pPr>
              <w:spacing w:after="20"/>
            </w:pPr>
            <w:r>
              <w:rPr>
                <w:color w:val="1C3A36"/>
                <w:sz w:val="15"/>
              </w:rPr>
              <w:t>2024-06-30</w:t>
            </w:r>
          </w:p>
        </w:tc>
        <w:tc>
          <w:tcPr>
            <w:tcW w:type="dxa" w:w="5832"/>
          </w:tcPr>
          <w:p>
            <w:pPr>
              <w:spacing w:after="20"/>
            </w:pPr>
            <w:r>
              <w:rPr>
                <w:color w:val="1C3A36"/>
                <w:sz w:val="15"/>
              </w:rPr>
              <w:t>Base oils, sales value EGP mn, same table</w:t>
            </w:r>
          </w:p>
        </w:tc>
      </w:tr>
      <w:tr>
        <w:tc>
          <w:tcPr>
            <w:tcW w:type="dxa" w:w="1872"/>
          </w:tcPr>
          <w:p>
            <w:pPr>
              <w:spacing w:after="20"/>
            </w:pPr>
            <w:r>
              <w:rPr>
                <w:color w:val="1C3A36"/>
                <w:sz w:val="15"/>
              </w:rPr>
              <w:t>line_wax_t</w:t>
            </w:r>
          </w:p>
        </w:tc>
        <w:tc>
          <w:tcPr>
            <w:tcW w:type="dxa" w:w="1440"/>
          </w:tcPr>
          <w:p>
            <w:pPr>
              <w:spacing w:after="20"/>
            </w:pPr>
            <w:r>
              <w:rPr>
                <w:color w:val="1C3A36"/>
                <w:sz w:val="15"/>
              </w:rPr>
              <w:t>65,742.0</w:t>
            </w:r>
          </w:p>
        </w:tc>
        <w:tc>
          <w:tcPr>
            <w:tcW w:type="dxa" w:w="1037"/>
          </w:tcPr>
          <w:p>
            <w:pPr>
              <w:spacing w:after="20"/>
            </w:pPr>
            <w:r>
              <w:rPr>
                <w:color w:val="1C3A36"/>
                <w:sz w:val="15"/>
              </w:rPr>
              <w:t>2024-06-30</w:t>
            </w:r>
          </w:p>
        </w:tc>
        <w:tc>
          <w:tcPr>
            <w:tcW w:type="dxa" w:w="5832"/>
          </w:tcPr>
          <w:p>
            <w:pPr>
              <w:spacing w:after="20"/>
            </w:pPr>
            <w:r>
              <w:rPr>
                <w:color w:val="1C3A36"/>
                <w:sz w:val="15"/>
              </w:rPr>
              <w:t>Paraffin wax, tonnes sold, same table</w:t>
            </w:r>
          </w:p>
        </w:tc>
      </w:tr>
      <w:tr>
        <w:tc>
          <w:tcPr>
            <w:tcW w:type="dxa" w:w="1872"/>
          </w:tcPr>
          <w:p>
            <w:pPr>
              <w:spacing w:after="20"/>
            </w:pPr>
            <w:r>
              <w:rPr>
                <w:color w:val="1C3A36"/>
                <w:sz w:val="15"/>
              </w:rPr>
              <w:t>line_wax_v</w:t>
            </w:r>
          </w:p>
        </w:tc>
        <w:tc>
          <w:tcPr>
            <w:tcW w:type="dxa" w:w="1440"/>
          </w:tcPr>
          <w:p>
            <w:pPr>
              <w:spacing w:after="20"/>
            </w:pPr>
            <w:r>
              <w:rPr>
                <w:color w:val="1C3A36"/>
                <w:sz w:val="15"/>
              </w:rPr>
              <w:t>2,408.7</w:t>
            </w:r>
          </w:p>
        </w:tc>
        <w:tc>
          <w:tcPr>
            <w:tcW w:type="dxa" w:w="1037"/>
          </w:tcPr>
          <w:p>
            <w:pPr>
              <w:spacing w:after="20"/>
            </w:pPr>
            <w:r>
              <w:rPr>
                <w:color w:val="1C3A36"/>
                <w:sz w:val="15"/>
              </w:rPr>
              <w:t>2024-06-30</w:t>
            </w:r>
          </w:p>
        </w:tc>
        <w:tc>
          <w:tcPr>
            <w:tcW w:type="dxa" w:w="5832"/>
          </w:tcPr>
          <w:p>
            <w:pPr>
              <w:spacing w:after="20"/>
            </w:pPr>
            <w:r>
              <w:rPr>
                <w:color w:val="1C3A36"/>
                <w:sz w:val="15"/>
              </w:rPr>
              <w:t>Paraffin wax, sales value EGP mn, same table</w:t>
            </w:r>
          </w:p>
        </w:tc>
      </w:tr>
      <w:tr>
        <w:tc>
          <w:tcPr>
            <w:tcW w:type="dxa" w:w="1872"/>
          </w:tcPr>
          <w:p>
            <w:pPr>
              <w:spacing w:after="20"/>
            </w:pPr>
            <w:r>
              <w:rPr>
                <w:color w:val="1C3A36"/>
                <w:sz w:val="15"/>
              </w:rPr>
              <w:t>line_tot_t</w:t>
            </w:r>
          </w:p>
        </w:tc>
        <w:tc>
          <w:tcPr>
            <w:tcW w:type="dxa" w:w="1440"/>
          </w:tcPr>
          <w:p>
            <w:pPr>
              <w:spacing w:after="20"/>
            </w:pPr>
            <w:r>
              <w:rPr>
                <w:color w:val="1C3A36"/>
                <w:sz w:val="15"/>
              </w:rPr>
              <w:t>1,433,340.0</w:t>
            </w:r>
          </w:p>
        </w:tc>
        <w:tc>
          <w:tcPr>
            <w:tcW w:type="dxa" w:w="1037"/>
          </w:tcPr>
          <w:p>
            <w:pPr>
              <w:spacing w:after="20"/>
            </w:pPr>
            <w:r>
              <w:rPr>
                <w:color w:val="1C3A36"/>
                <w:sz w:val="15"/>
              </w:rPr>
              <w:t>2024-06-30</w:t>
            </w:r>
          </w:p>
        </w:tc>
        <w:tc>
          <w:tcPr>
            <w:tcW w:type="dxa" w:w="5832"/>
          </w:tcPr>
          <w:p>
            <w:pPr>
              <w:spacing w:after="20"/>
            </w:pPr>
            <w:r>
              <w:rPr>
                <w:color w:val="1C3A36"/>
                <w:sz w:val="15"/>
              </w:rPr>
              <w:t>Total tonnes sold, same table</w:t>
            </w:r>
          </w:p>
        </w:tc>
      </w:tr>
      <w:tr>
        <w:tc>
          <w:tcPr>
            <w:tcW w:type="dxa" w:w="1872"/>
          </w:tcPr>
          <w:p>
            <w:pPr>
              <w:spacing w:after="20"/>
            </w:pPr>
            <w:r>
              <w:rPr>
                <w:color w:val="1C3A36"/>
                <w:sz w:val="15"/>
              </w:rPr>
              <w:t>line_tot_v</w:t>
            </w:r>
          </w:p>
        </w:tc>
        <w:tc>
          <w:tcPr>
            <w:tcW w:type="dxa" w:w="1440"/>
          </w:tcPr>
          <w:p>
            <w:pPr>
              <w:spacing w:after="20"/>
            </w:pPr>
            <w:r>
              <w:rPr>
                <w:color w:val="1C3A36"/>
                <w:sz w:val="15"/>
              </w:rPr>
              <w:t>33,312.1</w:t>
            </w:r>
          </w:p>
        </w:tc>
        <w:tc>
          <w:tcPr>
            <w:tcW w:type="dxa" w:w="1037"/>
          </w:tcPr>
          <w:p>
            <w:pPr>
              <w:spacing w:after="20"/>
            </w:pPr>
            <w:r>
              <w:rPr>
                <w:color w:val="1C3A36"/>
                <w:sz w:val="15"/>
              </w:rPr>
              <w:t>2024-06-30</w:t>
            </w:r>
          </w:p>
        </w:tc>
        <w:tc>
          <w:tcPr>
            <w:tcW w:type="dxa" w:w="5832"/>
          </w:tcPr>
          <w:p>
            <w:pPr>
              <w:spacing w:after="20"/>
            </w:pPr>
            <w:r>
              <w:rPr>
                <w:color w:val="1C3A36"/>
                <w:sz w:val="15"/>
              </w:rPr>
              <w:t>Total sales value EGP mn, same table</w:t>
            </w:r>
          </w:p>
        </w:tc>
      </w:tr>
    </w:tbl>
    <w:p>
      <w:pPr>
        <w:spacing w:after="40"/>
      </w:pPr>
    </w:p>
    <w:p>
      <w:pPr>
        <w:spacing w:after="60" w:before="160"/>
      </w:pPr>
      <w:r>
        <w:rPr>
          <w:b/>
          <w:i w:val="0"/>
          <w:color w:val="1C3A36"/>
          <w:sz w:val="22"/>
        </w:rPr>
        <w:t>Industry layer — 5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bbl_per_t_feed</w:t>
            </w:r>
          </w:p>
        </w:tc>
        <w:tc>
          <w:tcPr>
            <w:tcW w:type="dxa" w:w="1440"/>
          </w:tcPr>
          <w:p>
            <w:pPr>
              <w:spacing w:after="20"/>
            </w:pPr>
            <w:r>
              <w:rPr>
                <w:color w:val="1C3A36"/>
                <w:sz w:val="15"/>
              </w:rPr>
              <w:t>6.9</w:t>
            </w:r>
          </w:p>
        </w:tc>
        <w:tc>
          <w:tcPr>
            <w:tcW w:type="dxa" w:w="1037"/>
          </w:tcPr>
          <w:p>
            <w:pPr>
              <w:spacing w:after="20"/>
            </w:pPr>
            <w:r>
              <w:rPr>
                <w:color w:val="1C3A36"/>
                <w:sz w:val="15"/>
              </w:rPr>
              <w:t>2026-08-06</w:t>
            </w:r>
          </w:p>
        </w:tc>
        <w:tc>
          <w:tcPr>
            <w:tcW w:type="dxa" w:w="5832"/>
          </w:tcPr>
          <w:p>
            <w:pPr>
              <w:spacing w:after="20"/>
            </w:pPr>
            <w:r>
              <w:rPr>
                <w:color w:val="1C3A36"/>
                <w:sz w:val="15"/>
              </w:rPr>
              <w:t>Barrels per tonne of feedstock, used to convert a dollar-a-barrel crude reference into a dollar-a-tonne feedstock parity. 7.33 is the figure for light crude; a heavier vacuum-gas-oil and long-residue feed of the kind a lube plant draws runs nearer 6.8-7.0. HOUSE ESTIMATE</w:t>
            </w:r>
          </w:p>
        </w:tc>
      </w:tr>
      <w:tr>
        <w:tc>
          <w:tcPr>
            <w:tcW w:type="dxa" w:w="1872"/>
          </w:tcPr>
          <w:p>
            <w:pPr>
              <w:spacing w:after="20"/>
            </w:pPr>
            <w:r>
              <w:rPr>
                <w:color w:val="1C3A36"/>
                <w:sz w:val="15"/>
              </w:rPr>
              <w:t>energy_usd_t</w:t>
            </w:r>
          </w:p>
        </w:tc>
        <w:tc>
          <w:tcPr>
            <w:tcW w:type="dxa" w:w="1440"/>
          </w:tcPr>
          <w:p>
            <w:pPr>
              <w:spacing w:after="20"/>
            </w:pPr>
            <w:r>
              <w:rPr>
                <w:color w:val="1C3A36"/>
                <w:sz w:val="15"/>
              </w:rPr>
              <w:t>22</w:t>
            </w:r>
          </w:p>
        </w:tc>
        <w:tc>
          <w:tcPr>
            <w:tcW w:type="dxa" w:w="1037"/>
          </w:tcPr>
          <w:p>
            <w:pPr>
              <w:spacing w:after="20"/>
            </w:pPr>
            <w:r>
              <w:rPr>
                <w:color w:val="1C3A36"/>
                <w:sz w:val="15"/>
              </w:rPr>
              <w:t>2026-08-06</w:t>
            </w:r>
          </w:p>
        </w:tc>
        <w:tc>
          <w:tcPr>
            <w:tcW w:type="dxa" w:w="5832"/>
          </w:tcPr>
          <w:p>
            <w:pPr>
              <w:spacing w:after="20"/>
            </w:pPr>
            <w:r>
              <w:rPr>
                <w:color w:val="1C3A36"/>
                <w:sz w:val="15"/>
              </w:rPr>
              <w:t>Energy and utilities — fuel gas, steam, power — in US dollars per tonne of feedstock intake. Solvent extraction, dewaxing and hydrofinishing make a lube plant materially more energy-intensive than simple fractionation. HOUSE ESTIMATE</w:t>
            </w:r>
          </w:p>
        </w:tc>
      </w:tr>
      <w:tr>
        <w:tc>
          <w:tcPr>
            <w:tcW w:type="dxa" w:w="1872"/>
          </w:tcPr>
          <w:p>
            <w:pPr>
              <w:spacing w:after="20"/>
            </w:pPr>
            <w:r>
              <w:rPr>
                <w:color w:val="1C3A36"/>
                <w:sz w:val="15"/>
              </w:rPr>
              <w:t>chem_usd_t</w:t>
            </w:r>
          </w:p>
        </w:tc>
        <w:tc>
          <w:tcPr>
            <w:tcW w:type="dxa" w:w="1440"/>
          </w:tcPr>
          <w:p>
            <w:pPr>
              <w:spacing w:after="20"/>
            </w:pPr>
            <w:r>
              <w:rPr>
                <w:color w:val="1C3A36"/>
                <w:sz w:val="15"/>
              </w:rPr>
              <w:t>oil: 45; wax: 60; fuel: 3</w:t>
            </w:r>
          </w:p>
        </w:tc>
        <w:tc>
          <w:tcPr>
            <w:tcW w:type="dxa" w:w="1037"/>
          </w:tcPr>
          <w:p>
            <w:pPr>
              <w:spacing w:after="20"/>
            </w:pPr>
            <w:r>
              <w:rPr>
                <w:color w:val="1C3A36"/>
                <w:sz w:val="15"/>
              </w:rPr>
              <w:t>2026-08-06</w:t>
            </w:r>
          </w:p>
        </w:tc>
        <w:tc>
          <w:tcPr>
            <w:tcW w:type="dxa" w:w="5832"/>
          </w:tcPr>
          <w:p>
            <w:pPr>
              <w:spacing w:after="20"/>
            </w:pPr>
            <w:r>
              <w:rPr>
                <w:color w:val="1C3A36"/>
                <w:sz w:val="15"/>
              </w:rPr>
              <w:t>Chemicals, solvent make-up and catalyst, US dollars per tonne of PRODUCT, by line. The specialty lines carry solvent losses and catalyst that the fuel slate does not — wax highest because it passes through dewaxing as well. The fuel and by-product slate is essentially fractionation and carries almost none. HOUSE ESTIMATE</w:t>
            </w:r>
          </w:p>
        </w:tc>
      </w:tr>
      <w:tr>
        <w:tc>
          <w:tcPr>
            <w:tcW w:type="dxa" w:w="1872"/>
          </w:tcPr>
          <w:p>
            <w:pPr>
              <w:spacing w:after="20"/>
            </w:pPr>
            <w:r>
              <w:rPr>
                <w:color w:val="1C3A36"/>
                <w:sz w:val="15"/>
              </w:rPr>
              <w:t>brent_path</w:t>
            </w:r>
          </w:p>
        </w:tc>
        <w:tc>
          <w:tcPr>
            <w:tcW w:type="dxa" w:w="1440"/>
          </w:tcPr>
          <w:p>
            <w:pPr>
              <w:spacing w:after="20"/>
            </w:pPr>
            <w:r>
              <w:rPr>
                <w:color w:val="1C3A36"/>
                <w:sz w:val="15"/>
              </w:rPr>
              <w:t>70, 71.5, 73, 74.5, 76</w:t>
            </w:r>
          </w:p>
        </w:tc>
        <w:tc>
          <w:tcPr>
            <w:tcW w:type="dxa" w:w="1037"/>
          </w:tcPr>
          <w:p>
            <w:pPr>
              <w:spacing w:after="20"/>
            </w:pPr>
            <w:r>
              <w:rPr>
                <w:color w:val="1C3A36"/>
                <w:sz w:val="15"/>
              </w:rPr>
              <w:t>2026-08-06</w:t>
            </w:r>
          </w:p>
        </w:tc>
        <w:tc>
          <w:tcPr>
            <w:tcW w:type="dxa" w:w="5832"/>
          </w:tcPr>
          <w:p>
            <w:pPr>
              <w:spacing w:after="20"/>
            </w:pPr>
            <w:r>
              <w:rPr>
                <w:color w:val="1C3A36"/>
                <w:sz w:val="15"/>
              </w:rPr>
              <w:t>Brent crude reference path, USD a barrel, 2026E-2030E. A flat-to-slowly-rising deck. In the previous edition this input drove NOTHING — it was registered, published in the source register and read by no line of the model. It is now the spine of both sides of the margin: every product realisation is this deck times a crack multiple solved from the disclosed product table, and the feedstock charge is this deck times a differential solved from disclosed cost of sales</w:t>
            </w:r>
          </w:p>
        </w:tc>
      </w:tr>
      <w:tr>
        <w:tc>
          <w:tcPr>
            <w:tcW w:type="dxa" w:w="1872"/>
          </w:tcPr>
          <w:p>
            <w:pPr>
              <w:spacing w:after="20"/>
            </w:pPr>
            <w:r>
              <w:rPr>
                <w:color w:val="1C3A36"/>
                <w:sz w:val="15"/>
              </w:rPr>
              <w:t>crude_hist</w:t>
            </w:r>
          </w:p>
        </w:tc>
        <w:tc>
          <w:tcPr>
            <w:tcW w:type="dxa" w:w="1440"/>
          </w:tcPr>
          <w:p>
            <w:pPr>
              <w:spacing w:after="20"/>
            </w:pPr>
            <w:r>
              <w:rPr>
                <w:color w:val="1C3A36"/>
                <w:sz w:val="15"/>
              </w:rPr>
              <w:t>fy23: 85; fy24: 84; fy25: 74; cy25: 70</w:t>
            </w:r>
          </w:p>
        </w:tc>
        <w:tc>
          <w:tcPr>
            <w:tcW w:type="dxa" w:w="1037"/>
          </w:tcPr>
          <w:p>
            <w:pPr>
              <w:spacing w:after="20"/>
            </w:pPr>
            <w:r>
              <w:rPr>
                <w:color w:val="1C3A36"/>
                <w:sz w:val="15"/>
              </w:rPr>
              <w:t>2026-08-06</w:t>
            </w:r>
          </w:p>
        </w:tc>
        <w:tc>
          <w:tcPr>
            <w:tcW w:type="dxa" w:w="5832"/>
          </w:tcPr>
          <w:p>
            <w:pPr>
              <w:spacing w:after="20"/>
            </w:pPr>
            <w:r>
              <w:rPr>
                <w:color w:val="1C3A36"/>
                <w:sz w:val="15"/>
              </w:rPr>
              <w:t>Brent averages for the four historical periods, USD a barrel. HOUSE ESTIMATES read off the published price record for each window, not company disclosure. They matter less than they look: the crude level enters the margin on BOTH sides and very largely cancels, which the study demonstrates rather than asserts</w:t>
            </w:r>
          </w:p>
        </w:tc>
      </w:tr>
    </w:tbl>
    <w:p>
      <w:pPr>
        <w:spacing w:after="40"/>
      </w:pPr>
    </w:p>
    <w:p>
      <w:pPr>
        <w:spacing w:after="60" w:before="160"/>
      </w:pPr>
      <w:r>
        <w:rPr>
          <w:b/>
          <w:i w:val="0"/>
          <w:color w:val="1C3A36"/>
          <w:sz w:val="22"/>
        </w:rPr>
        <w:t>Country layer — 14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fixed_cost_infl</w:t>
            </w:r>
          </w:p>
        </w:tc>
        <w:tc>
          <w:tcPr>
            <w:tcW w:type="dxa" w:w="1440"/>
          </w:tcPr>
          <w:p>
            <w:pPr>
              <w:spacing w:after="20"/>
            </w:pPr>
            <w:r>
              <w:rPr>
                <w:color w:val="1C3A36"/>
                <w:sz w:val="15"/>
              </w:rPr>
              <w:t>1.33, 1.28, 1.12, 1.145, 1.13, 1.115, 1.1, 1.095</w:t>
            </w:r>
          </w:p>
        </w:tc>
        <w:tc>
          <w:tcPr>
            <w:tcW w:type="dxa" w:w="1037"/>
          </w:tcPr>
          <w:p>
            <w:pPr>
              <w:spacing w:after="20"/>
            </w:pPr>
            <w:r>
              <w:rPr>
                <w:color w:val="1C3A36"/>
                <w:sz w:val="15"/>
              </w:rPr>
              <w:t>2026-08-06</w:t>
            </w:r>
          </w:p>
        </w:tc>
        <w:tc>
          <w:tcPr>
            <w:tcW w:type="dxa" w:w="5832"/>
          </w:tcPr>
          <w:p>
            <w:pPr>
              <w:spacing w:after="20"/>
            </w:pPr>
            <w:r>
              <w:rPr>
                <w:color w:val="1C3A36"/>
                <w:sz w:val="15"/>
              </w:rPr>
              <w:t>Cumulative-year inflation factors applied to the fixed conversion leg, FY2023/24 through 2030E: Egyptian headline inflation as printed for the historical years and easing toward the central bank's target thereafter</w:t>
            </w:r>
          </w:p>
        </w:tc>
      </w:tr>
      <w:tr>
        <w:tc>
          <w:tcPr>
            <w:tcW w:type="dxa" w:w="1872"/>
          </w:tcPr>
          <w:p>
            <w:pPr>
              <w:spacing w:after="20"/>
            </w:pPr>
            <w:r>
              <w:rPr>
                <w:color w:val="1C3A36"/>
                <w:sz w:val="15"/>
              </w:rPr>
              <w:t>fx_hist</w:t>
            </w:r>
          </w:p>
        </w:tc>
        <w:tc>
          <w:tcPr>
            <w:tcW w:type="dxa" w:w="1440"/>
          </w:tcPr>
          <w:p>
            <w:pPr>
              <w:spacing w:after="20"/>
            </w:pPr>
            <w:r>
              <w:rPr>
                <w:color w:val="1C3A36"/>
                <w:sz w:val="15"/>
              </w:rPr>
              <w:t>fy23: 28.5; fy24: 36.4; fy25: 48.9; cy25: 48.7</w:t>
            </w:r>
          </w:p>
        </w:tc>
        <w:tc>
          <w:tcPr>
            <w:tcW w:type="dxa" w:w="1037"/>
          </w:tcPr>
          <w:p>
            <w:pPr>
              <w:spacing w:after="20"/>
            </w:pPr>
            <w:r>
              <w:rPr>
                <w:color w:val="1C3A36"/>
                <w:sz w:val="15"/>
              </w:rPr>
              <w:t>2026-08-06</w:t>
            </w:r>
          </w:p>
        </w:tc>
        <w:tc>
          <w:tcPr>
            <w:tcW w:type="dxa" w:w="5832"/>
          </w:tcPr>
          <w:p>
            <w:pPr>
              <w:spacing w:after="20"/>
            </w:pPr>
            <w:r>
              <w:rPr>
                <w:color w:val="1C3A36"/>
                <w:sz w:val="15"/>
              </w:rPr>
              <w:t>USD/EGP averages for the four historical periods. The June-2024 figure is built month by month across the March-2024 float (eight months near 30.9, four near 47.5); the others are period averages of the published rate. HOUSE ESTIMATES</w:t>
            </w:r>
          </w:p>
        </w:tc>
      </w:tr>
      <w:tr>
        <w:tc>
          <w:tcPr>
            <w:tcW w:type="dxa" w:w="1872"/>
          </w:tcPr>
          <w:p>
            <w:pPr>
              <w:spacing w:after="20"/>
            </w:pPr>
            <w:r>
              <w:rPr>
                <w:color w:val="1C3A36"/>
                <w:sz w:val="15"/>
              </w:rPr>
              <w:t>rf</w:t>
            </w:r>
          </w:p>
        </w:tc>
        <w:tc>
          <w:tcPr>
            <w:tcW w:type="dxa" w:w="1440"/>
          </w:tcPr>
          <w:p>
            <w:pPr>
              <w:spacing w:after="20"/>
            </w:pPr>
            <w:r>
              <w:rPr>
                <w:color w:val="1C3A36"/>
                <w:sz w:val="15"/>
              </w:rPr>
              <w:t>0.2231</w:t>
            </w:r>
          </w:p>
        </w:tc>
        <w:tc>
          <w:tcPr>
            <w:tcW w:type="dxa" w:w="1037"/>
          </w:tcPr>
          <w:p>
            <w:pPr>
              <w:spacing w:after="20"/>
            </w:pPr>
            <w:r>
              <w:rPr>
                <w:color w:val="1C3A36"/>
                <w:sz w:val="15"/>
              </w:rPr>
              <w:t>2026-07-21</w:t>
            </w:r>
          </w:p>
        </w:tc>
        <w:tc>
          <w:tcPr>
            <w:tcW w:type="dxa" w:w="5832"/>
          </w:tcPr>
          <w:p>
            <w:pPr>
              <w:spacing w:after="20"/>
            </w:pPr>
            <w:r>
              <w:rPr>
                <w:color w:val="1C3A36"/>
                <w:sz w:val="15"/>
              </w:rPr>
              <w:t>Egypt 10-year local-currency government bond yield, 22.31% (house cost-of-capital reference, cached 21-Jul-2026 print, re-verified 06-Aug-2026)</w:t>
            </w:r>
          </w:p>
        </w:tc>
      </w:tr>
      <w:tr>
        <w:tc>
          <w:tcPr>
            <w:tcW w:type="dxa" w:w="1872"/>
          </w:tcPr>
          <w:p>
            <w:pPr>
              <w:spacing w:after="20"/>
            </w:pPr>
            <w:r>
              <w:rPr>
                <w:color w:val="1C3A36"/>
                <w:sz w:val="15"/>
              </w:rPr>
              <w:t>sov_spread_cds</w:t>
            </w:r>
          </w:p>
        </w:tc>
        <w:tc>
          <w:tcPr>
            <w:tcW w:type="dxa" w:w="1440"/>
          </w:tcPr>
          <w:p>
            <w:pPr>
              <w:spacing w:after="20"/>
            </w:pPr>
            <w:r>
              <w:rPr>
                <w:color w:val="1C3A36"/>
                <w:sz w:val="15"/>
              </w:rPr>
              <w:t>0.034</w:t>
            </w:r>
          </w:p>
        </w:tc>
        <w:tc>
          <w:tcPr>
            <w:tcW w:type="dxa" w:w="1037"/>
          </w:tcPr>
          <w:p>
            <w:pPr>
              <w:spacing w:after="20"/>
            </w:pPr>
            <w:r>
              <w:rPr>
                <w:color w:val="1C3A36"/>
                <w:sz w:val="15"/>
              </w:rPr>
              <w:t>2026-01-05</w:t>
            </w:r>
          </w:p>
        </w:tc>
        <w:tc>
          <w:tcPr>
            <w:tcW w:type="dxa" w:w="5832"/>
          </w:tcPr>
          <w:p>
            <w:pPr>
              <w:spacing w:after="20"/>
            </w:pPr>
            <w:r>
              <w:rPr>
                <w:color w:val="1C3A36"/>
                <w:sz w:val="15"/>
              </w:rPr>
              <w:t>Egypt credit-default-swap-implied sovereign default spread, Damodaran January-2026 country-premium file, CDS column. Netted out of the local-currency risk-free rate so sovereign default risk is not charged twice</w:t>
            </w:r>
          </w:p>
        </w:tc>
      </w:tr>
      <w:tr>
        <w:tc>
          <w:tcPr>
            <w:tcW w:type="dxa" w:w="1872"/>
          </w:tcPr>
          <w:p>
            <w:pPr>
              <w:spacing w:after="20"/>
            </w:pPr>
            <w:r>
              <w:rPr>
                <w:color w:val="1C3A36"/>
                <w:sz w:val="15"/>
              </w:rPr>
              <w:t>sov_spread_rating</w:t>
            </w:r>
          </w:p>
        </w:tc>
        <w:tc>
          <w:tcPr>
            <w:tcW w:type="dxa" w:w="1440"/>
          </w:tcPr>
          <w:p>
            <w:pPr>
              <w:spacing w:after="20"/>
            </w:pPr>
            <w:r>
              <w:rPr>
                <w:color w:val="1C3A36"/>
                <w:sz w:val="15"/>
              </w:rPr>
              <w:t>0.0637</w:t>
            </w:r>
          </w:p>
        </w:tc>
        <w:tc>
          <w:tcPr>
            <w:tcW w:type="dxa" w:w="1037"/>
          </w:tcPr>
          <w:p>
            <w:pPr>
              <w:spacing w:after="20"/>
            </w:pPr>
            <w:r>
              <w:rPr>
                <w:color w:val="1C3A36"/>
                <w:sz w:val="15"/>
              </w:rPr>
              <w:t>2026-01-05</w:t>
            </w:r>
          </w:p>
        </w:tc>
        <w:tc>
          <w:tcPr>
            <w:tcW w:type="dxa" w:w="5832"/>
          </w:tcPr>
          <w:p>
            <w:pPr>
              <w:spacing w:after="20"/>
            </w:pPr>
            <w:r>
              <w:rPr>
                <w:color w:val="1C3A36"/>
                <w:sz w:val="15"/>
              </w:rPr>
              <w:t>Damodaran adjusted default spread on the rating basis, January-2026 — the alternative construction, disclosed for the audit trail</w:t>
            </w:r>
          </w:p>
        </w:tc>
      </w:tr>
      <w:tr>
        <w:tc>
          <w:tcPr>
            <w:tcW w:type="dxa" w:w="1872"/>
          </w:tcPr>
          <w:p>
            <w:pPr>
              <w:spacing w:after="20"/>
            </w:pPr>
            <w:r>
              <w:rPr>
                <w:color w:val="1C3A36"/>
                <w:sz w:val="15"/>
              </w:rPr>
              <w:t>erp_cds</w:t>
            </w:r>
          </w:p>
        </w:tc>
        <w:tc>
          <w:tcPr>
            <w:tcW w:type="dxa" w:w="1440"/>
          </w:tcPr>
          <w:p>
            <w:pPr>
              <w:spacing w:after="20"/>
            </w:pPr>
            <w:r>
              <w:rPr>
                <w:color w:val="1C3A36"/>
                <w:sz w:val="15"/>
              </w:rPr>
              <w:t>0.0941</w:t>
            </w:r>
          </w:p>
        </w:tc>
        <w:tc>
          <w:tcPr>
            <w:tcW w:type="dxa" w:w="1037"/>
          </w:tcPr>
          <w:p>
            <w:pPr>
              <w:spacing w:after="20"/>
            </w:pPr>
            <w:r>
              <w:rPr>
                <w:color w:val="1C3A36"/>
                <w:sz w:val="15"/>
              </w:rPr>
              <w:t>2026-01-05</w:t>
            </w:r>
          </w:p>
        </w:tc>
        <w:tc>
          <w:tcPr>
            <w:tcW w:type="dxa" w:w="5832"/>
          </w:tcPr>
          <w:p>
            <w:pPr>
              <w:spacing w:after="20"/>
            </w:pPr>
            <w:r>
              <w:rPr>
                <w:color w:val="1C3A36"/>
                <w:sz w:val="15"/>
              </w:rPr>
              <w:t>Damodaran original country-premium file, Egypt row, CDS column, last updated 5 January 2026 — total equity risk premium</w:t>
            </w:r>
          </w:p>
        </w:tc>
      </w:tr>
      <w:tr>
        <w:tc>
          <w:tcPr>
            <w:tcW w:type="dxa" w:w="1872"/>
          </w:tcPr>
          <w:p>
            <w:pPr>
              <w:spacing w:after="20"/>
            </w:pPr>
            <w:r>
              <w:rPr>
                <w:color w:val="1C3A36"/>
                <w:sz w:val="15"/>
              </w:rPr>
              <w:t>erp_rating</w:t>
            </w:r>
          </w:p>
        </w:tc>
        <w:tc>
          <w:tcPr>
            <w:tcW w:type="dxa" w:w="1440"/>
          </w:tcPr>
          <w:p>
            <w:pPr>
              <w:spacing w:after="20"/>
            </w:pPr>
            <w:r>
              <w:rPr>
                <w:color w:val="1C3A36"/>
                <w:sz w:val="15"/>
              </w:rPr>
              <w:t>0.1394</w:t>
            </w:r>
          </w:p>
        </w:tc>
        <w:tc>
          <w:tcPr>
            <w:tcW w:type="dxa" w:w="1037"/>
          </w:tcPr>
          <w:p>
            <w:pPr>
              <w:spacing w:after="20"/>
            </w:pPr>
            <w:r>
              <w:rPr>
                <w:color w:val="1C3A36"/>
                <w:sz w:val="15"/>
              </w:rPr>
              <w:t>2026-01-05</w:t>
            </w:r>
          </w:p>
        </w:tc>
        <w:tc>
          <w:tcPr>
            <w:tcW w:type="dxa" w:w="5832"/>
          </w:tcPr>
          <w:p>
            <w:pPr>
              <w:spacing w:after="20"/>
            </w:pPr>
            <w:r>
              <w:rPr>
                <w:color w:val="1C3A36"/>
                <w:sz w:val="15"/>
              </w:rPr>
              <w:t>Damodaran original country-premium file, Egypt row, rating basis, January-2026 — the alternative</w:t>
            </w:r>
          </w:p>
        </w:tc>
      </w:tr>
      <w:tr>
        <w:tc>
          <w:tcPr>
            <w:tcW w:type="dxa" w:w="1872"/>
          </w:tcPr>
          <w:p>
            <w:pPr>
              <w:spacing w:after="20"/>
            </w:pPr>
            <w:r>
              <w:rPr>
                <w:color w:val="1C3A36"/>
                <w:sz w:val="15"/>
              </w:rPr>
              <w:t>policy_rate</w:t>
            </w:r>
          </w:p>
        </w:tc>
        <w:tc>
          <w:tcPr>
            <w:tcW w:type="dxa" w:w="1440"/>
          </w:tcPr>
          <w:p>
            <w:pPr>
              <w:spacing w:after="20"/>
            </w:pPr>
            <w:r>
              <w:rPr>
                <w:color w:val="1C3A36"/>
                <w:sz w:val="15"/>
              </w:rPr>
              <w:t>0.195</w:t>
            </w:r>
          </w:p>
        </w:tc>
        <w:tc>
          <w:tcPr>
            <w:tcW w:type="dxa" w:w="1037"/>
          </w:tcPr>
          <w:p>
            <w:pPr>
              <w:spacing w:after="20"/>
            </w:pPr>
            <w:r>
              <w:rPr>
                <w:color w:val="1C3A36"/>
                <w:sz w:val="15"/>
              </w:rPr>
              <w:t>2026-08-06</w:t>
            </w:r>
          </w:p>
        </w:tc>
        <w:tc>
          <w:tcPr>
            <w:tcW w:type="dxa" w:w="5832"/>
          </w:tcPr>
          <w:p>
            <w:pPr>
              <w:spacing w:after="20"/>
            </w:pPr>
            <w:r>
              <w:rPr>
                <w:color w:val="1C3A36"/>
                <w:sz w:val="15"/>
              </w:rPr>
              <w:t>Central Bank of Egypt main operation rate 19.50% (corridor 19.00/20.00), held at the third meeting of 2026 — a second consecutive hold</w:t>
            </w:r>
          </w:p>
        </w:tc>
      </w:tr>
      <w:tr>
        <w:tc>
          <w:tcPr>
            <w:tcW w:type="dxa" w:w="1872"/>
          </w:tcPr>
          <w:p>
            <w:pPr>
              <w:spacing w:after="20"/>
            </w:pPr>
            <w:r>
              <w:rPr>
                <w:color w:val="1C3A36"/>
                <w:sz w:val="15"/>
              </w:rPr>
              <w:t>cpi</w:t>
            </w:r>
          </w:p>
        </w:tc>
        <w:tc>
          <w:tcPr>
            <w:tcW w:type="dxa" w:w="1440"/>
          </w:tcPr>
          <w:p>
            <w:pPr>
              <w:spacing w:after="20"/>
            </w:pPr>
            <w:r>
              <w:rPr>
                <w:color w:val="1C3A36"/>
                <w:sz w:val="15"/>
              </w:rPr>
              <w:t>0.143</w:t>
            </w:r>
          </w:p>
        </w:tc>
        <w:tc>
          <w:tcPr>
            <w:tcW w:type="dxa" w:w="1037"/>
          </w:tcPr>
          <w:p>
            <w:pPr>
              <w:spacing w:after="20"/>
            </w:pPr>
            <w:r>
              <w:rPr>
                <w:color w:val="1C3A36"/>
                <w:sz w:val="15"/>
              </w:rPr>
              <w:t>2026-06-30</w:t>
            </w:r>
          </w:p>
        </w:tc>
        <w:tc>
          <w:tcPr>
            <w:tcW w:type="dxa" w:w="5832"/>
          </w:tcPr>
          <w:p>
            <w:pPr>
              <w:spacing w:after="20"/>
            </w:pPr>
            <w:r>
              <w:rPr>
                <w:color w:val="1C3A36"/>
                <w:sz w:val="15"/>
              </w:rPr>
              <w:t>Egypt annual headline inflation 14.30% in June 2026, down from 14.60% in May. The central bank expects inflation to accelerate through the third quarter of 2026 on base effects, supply pressures and fiscal adjustment before resuming its decline</w:t>
            </w:r>
          </w:p>
        </w:tc>
      </w:tr>
      <w:tr>
        <w:tc>
          <w:tcPr>
            <w:tcW w:type="dxa" w:w="1872"/>
          </w:tcPr>
          <w:p>
            <w:pPr>
              <w:spacing w:after="20"/>
            </w:pPr>
            <w:r>
              <w:rPr>
                <w:color w:val="1C3A36"/>
                <w:sz w:val="15"/>
              </w:rPr>
              <w:t>cbe_target</w:t>
            </w:r>
          </w:p>
        </w:tc>
        <w:tc>
          <w:tcPr>
            <w:tcW w:type="dxa" w:w="1440"/>
          </w:tcPr>
          <w:p>
            <w:pPr>
              <w:spacing w:after="20"/>
            </w:pPr>
            <w:r>
              <w:rPr>
                <w:color w:val="1C3A36"/>
                <w:sz w:val="15"/>
              </w:rPr>
              <w:t>0.07</w:t>
            </w:r>
          </w:p>
        </w:tc>
        <w:tc>
          <w:tcPr>
            <w:tcW w:type="dxa" w:w="1037"/>
          </w:tcPr>
          <w:p>
            <w:pPr>
              <w:spacing w:after="20"/>
            </w:pPr>
            <w:r>
              <w:rPr>
                <w:color w:val="1C3A36"/>
                <w:sz w:val="15"/>
              </w:rPr>
              <w:t>2026-08-06</w:t>
            </w:r>
          </w:p>
        </w:tc>
        <w:tc>
          <w:tcPr>
            <w:tcW w:type="dxa" w:w="5832"/>
          </w:tcPr>
          <w:p>
            <w:pPr>
              <w:spacing w:after="20"/>
            </w:pPr>
            <w:r>
              <w:rPr>
                <w:color w:val="1C3A36"/>
                <w:sz w:val="15"/>
              </w:rPr>
              <w:t>The central bank's own stated inflation target, 7% (+/-2pp) on average for the fourth quarter of 2026, falling to 5% (+/-2pp) for the fourth quarter of 2028</w:t>
            </w:r>
          </w:p>
        </w:tc>
      </w:tr>
      <w:tr>
        <w:tc>
          <w:tcPr>
            <w:tcW w:type="dxa" w:w="1872"/>
          </w:tcPr>
          <w:p>
            <w:pPr>
              <w:spacing w:after="20"/>
            </w:pPr>
            <w:r>
              <w:rPr>
                <w:color w:val="1C3A36"/>
                <w:sz w:val="15"/>
              </w:rPr>
              <w:t>fx</w:t>
            </w:r>
          </w:p>
        </w:tc>
        <w:tc>
          <w:tcPr>
            <w:tcW w:type="dxa" w:w="1440"/>
          </w:tcPr>
          <w:p>
            <w:pPr>
              <w:spacing w:after="20"/>
            </w:pPr>
            <w:r>
              <w:rPr>
                <w:color w:val="1C3A36"/>
                <w:sz w:val="15"/>
              </w:rPr>
              <w:t>50.25</w:t>
            </w:r>
          </w:p>
        </w:tc>
        <w:tc>
          <w:tcPr>
            <w:tcW w:type="dxa" w:w="1037"/>
          </w:tcPr>
          <w:p>
            <w:pPr>
              <w:spacing w:after="20"/>
            </w:pPr>
            <w:r>
              <w:rPr>
                <w:color w:val="1C3A36"/>
                <w:sz w:val="15"/>
              </w:rPr>
              <w:t>2026-08-06</w:t>
            </w:r>
          </w:p>
        </w:tc>
        <w:tc>
          <w:tcPr>
            <w:tcW w:type="dxa" w:w="5832"/>
          </w:tcPr>
          <w:p>
            <w:pPr>
              <w:spacing w:after="20"/>
            </w:pPr>
            <w:r>
              <w:rPr>
                <w:color w:val="1C3A36"/>
                <w:sz w:val="15"/>
              </w:rPr>
              <w:t>USD/EGP 50.25; the pound closed at 50.30/50.40 on 4 August 2026. The 52-week range is 46.64-54.86, so the currency is not range-bound</w:t>
            </w:r>
          </w:p>
        </w:tc>
      </w:tr>
      <w:tr>
        <w:tc>
          <w:tcPr>
            <w:tcW w:type="dxa" w:w="1872"/>
          </w:tcPr>
          <w:p>
            <w:pPr>
              <w:spacing w:after="20"/>
            </w:pPr>
            <w:r>
              <w:rPr>
                <w:color w:val="1C3A36"/>
                <w:sz w:val="15"/>
              </w:rPr>
              <w:t>fx_avg_cy25</w:t>
            </w:r>
          </w:p>
        </w:tc>
        <w:tc>
          <w:tcPr>
            <w:tcW w:type="dxa" w:w="1440"/>
          </w:tcPr>
          <w:p>
            <w:pPr>
              <w:spacing w:after="20"/>
            </w:pPr>
            <w:r>
              <w:rPr>
                <w:color w:val="1C3A36"/>
                <w:sz w:val="15"/>
              </w:rPr>
              <w:t>48.7</w:t>
            </w:r>
          </w:p>
        </w:tc>
        <w:tc>
          <w:tcPr>
            <w:tcW w:type="dxa" w:w="1037"/>
          </w:tcPr>
          <w:p>
            <w:pPr>
              <w:spacing w:after="20"/>
            </w:pPr>
            <w:r>
              <w:rPr>
                <w:color w:val="1C3A36"/>
                <w:sz w:val="15"/>
              </w:rPr>
              <w:t>2025-12-31</w:t>
            </w:r>
          </w:p>
        </w:tc>
        <w:tc>
          <w:tcPr>
            <w:tcW w:type="dxa" w:w="5832"/>
          </w:tcPr>
          <w:p>
            <w:pPr>
              <w:spacing w:after="20"/>
            </w:pPr>
            <w:r>
              <w:rPr>
                <w:color w:val="1C3A36"/>
                <w:sz w:val="15"/>
              </w:rPr>
              <w:t>USD/EGP average rate for calendar 2025, used to convert the dollar-denominated unit build back to the reported base year</w:t>
            </w:r>
          </w:p>
        </w:tc>
      </w:tr>
      <w:tr>
        <w:tc>
          <w:tcPr>
            <w:tcW w:type="dxa" w:w="1872"/>
          </w:tcPr>
          <w:p>
            <w:pPr>
              <w:spacing w:after="20"/>
            </w:pPr>
            <w:r>
              <w:rPr>
                <w:color w:val="1C3A36"/>
                <w:sz w:val="15"/>
              </w:rPr>
              <w:t>tax_stat</w:t>
            </w:r>
          </w:p>
        </w:tc>
        <w:tc>
          <w:tcPr>
            <w:tcW w:type="dxa" w:w="1440"/>
          </w:tcPr>
          <w:p>
            <w:pPr>
              <w:spacing w:after="20"/>
            </w:pPr>
            <w:r>
              <w:rPr>
                <w:color w:val="1C3A36"/>
                <w:sz w:val="15"/>
              </w:rPr>
              <w:t>0.225</w:t>
            </w:r>
          </w:p>
        </w:tc>
        <w:tc>
          <w:tcPr>
            <w:tcW w:type="dxa" w:w="1037"/>
          </w:tcPr>
          <w:p>
            <w:pPr>
              <w:spacing w:after="20"/>
            </w:pPr>
            <w:r>
              <w:rPr>
                <w:color w:val="1C3A36"/>
                <w:sz w:val="15"/>
              </w:rPr>
              <w:t>2026</w:t>
            </w:r>
          </w:p>
        </w:tc>
        <w:tc>
          <w:tcPr>
            <w:tcW w:type="dxa" w:w="5832"/>
          </w:tcPr>
          <w:p>
            <w:pPr>
              <w:spacing w:after="20"/>
            </w:pPr>
            <w:r>
              <w:rPr>
                <w:color w:val="1C3A36"/>
                <w:sz w:val="15"/>
              </w:rPr>
              <w:t>Egypt corporate income tax 22.5%. AMOC is a downstream processor and is taxed at the ordinary corporate rate, not the ~40.55% rate that applies to exploration and production concessions</w:t>
            </w:r>
          </w:p>
        </w:tc>
      </w:tr>
      <w:tr>
        <w:tc>
          <w:tcPr>
            <w:tcW w:type="dxa" w:w="1872"/>
          </w:tcPr>
          <w:p>
            <w:pPr>
              <w:spacing w:after="20"/>
            </w:pPr>
            <w:r>
              <w:rPr>
                <w:color w:val="1C3A36"/>
                <w:sz w:val="15"/>
              </w:rPr>
              <w:t>egypt_gdp_nominal</w:t>
            </w:r>
          </w:p>
        </w:tc>
        <w:tc>
          <w:tcPr>
            <w:tcW w:type="dxa" w:w="1440"/>
          </w:tcPr>
          <w:p>
            <w:pPr>
              <w:spacing w:after="20"/>
            </w:pPr>
            <w:r>
              <w:rPr>
                <w:color w:val="1C3A36"/>
                <w:sz w:val="15"/>
              </w:rPr>
              <w:t>20,000,000.0</w:t>
            </w:r>
          </w:p>
        </w:tc>
        <w:tc>
          <w:tcPr>
            <w:tcW w:type="dxa" w:w="1037"/>
          </w:tcPr>
          <w:p>
            <w:pPr>
              <w:spacing w:after="20"/>
            </w:pPr>
            <w:r>
              <w:rPr>
                <w:color w:val="1C3A36"/>
                <w:sz w:val="15"/>
              </w:rPr>
              <w:t>2026-08-06</w:t>
            </w:r>
          </w:p>
        </w:tc>
        <w:tc>
          <w:tcPr>
            <w:tcW w:type="dxa" w:w="5832"/>
          </w:tcPr>
          <w:p>
            <w:pPr>
              <w:spacing w:after="20"/>
            </w:pPr>
            <w:r>
              <w:rPr>
                <w:color w:val="1C3A36"/>
                <w:sz w:val="15"/>
              </w:rPr>
              <w:t>Egypt nominal gross domestic product, EGP mn, order of magnitude, used only for the terminal-growth crossover arithmetic</w:t>
            </w:r>
          </w:p>
        </w:tc>
      </w:tr>
    </w:tbl>
    <w:p>
      <w:pPr>
        <w:spacing w:after="40"/>
      </w:pPr>
    </w:p>
    <w:p>
      <w:pPr>
        <w:spacing w:after="60" w:before="160"/>
      </w:pPr>
      <w:r>
        <w:rPr>
          <w:b/>
          <w:i w:val="0"/>
          <w:color w:val="1C3A36"/>
          <w:sz w:val="22"/>
        </w:rPr>
        <w:t>Global layer — 3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world_nominal_growth</w:t>
            </w:r>
          </w:p>
        </w:tc>
        <w:tc>
          <w:tcPr>
            <w:tcW w:type="dxa" w:w="1440"/>
          </w:tcPr>
          <w:p>
            <w:pPr>
              <w:spacing w:after="20"/>
            </w:pPr>
            <w:r>
              <w:rPr>
                <w:color w:val="1C3A36"/>
                <w:sz w:val="15"/>
              </w:rPr>
              <w:t>0.075</w:t>
            </w:r>
          </w:p>
        </w:tc>
        <w:tc>
          <w:tcPr>
            <w:tcW w:type="dxa" w:w="1037"/>
          </w:tcPr>
          <w:p>
            <w:pPr>
              <w:spacing w:after="20"/>
            </w:pPr>
            <w:r>
              <w:rPr>
                <w:color w:val="1C3A36"/>
                <w:sz w:val="15"/>
              </w:rPr>
              <w:t>2026-08-06</w:t>
            </w:r>
          </w:p>
        </w:tc>
        <w:tc>
          <w:tcPr>
            <w:tcW w:type="dxa" w:w="5832"/>
          </w:tcPr>
          <w:p>
            <w:pPr>
              <w:spacing w:after="20"/>
            </w:pPr>
            <w:r>
              <w:rPr>
                <w:color w:val="1C3A36"/>
                <w:sz w:val="15"/>
              </w:rPr>
              <w:t>Long-run world nominal growth used as the terminal ceiling for the export leg</w:t>
            </w:r>
          </w:p>
        </w:tc>
      </w:tr>
      <w:tr>
        <w:tc>
          <w:tcPr>
            <w:tcW w:type="dxa" w:w="1872"/>
          </w:tcPr>
          <w:p>
            <w:pPr>
              <w:spacing w:after="20"/>
            </w:pPr>
            <w:r>
              <w:rPr>
                <w:color w:val="1C3A36"/>
                <w:sz w:val="15"/>
              </w:rPr>
              <w:t>wacc_usd_rf</w:t>
            </w:r>
          </w:p>
        </w:tc>
        <w:tc>
          <w:tcPr>
            <w:tcW w:type="dxa" w:w="1440"/>
          </w:tcPr>
          <w:p>
            <w:pPr>
              <w:spacing w:after="20"/>
            </w:pPr>
            <w:r>
              <w:rPr>
                <w:color w:val="1C3A36"/>
                <w:sz w:val="15"/>
              </w:rPr>
              <w:t>0.043</w:t>
            </w:r>
          </w:p>
        </w:tc>
        <w:tc>
          <w:tcPr>
            <w:tcW w:type="dxa" w:w="1037"/>
          </w:tcPr>
          <w:p>
            <w:pPr>
              <w:spacing w:after="20"/>
            </w:pPr>
            <w:r>
              <w:rPr>
                <w:color w:val="1C3A36"/>
                <w:sz w:val="15"/>
              </w:rPr>
              <w:t>2026-08-06</w:t>
            </w:r>
          </w:p>
        </w:tc>
        <w:tc>
          <w:tcPr>
            <w:tcW w:type="dxa" w:w="5832"/>
          </w:tcPr>
          <w:p>
            <w:pPr>
              <w:spacing w:after="20"/>
            </w:pPr>
            <w:r>
              <w:rPr>
                <w:color w:val="1C3A36"/>
                <w:sz w:val="15"/>
              </w:rPr>
              <w:t>US 10-year Treasury yield used in the currency-of-discounting alternative</w:t>
            </w:r>
          </w:p>
        </w:tc>
      </w:tr>
      <w:tr>
        <w:tc>
          <w:tcPr>
            <w:tcW w:type="dxa" w:w="1872"/>
          </w:tcPr>
          <w:p>
            <w:pPr>
              <w:spacing w:after="20"/>
            </w:pPr>
            <w:r>
              <w:rPr>
                <w:color w:val="1C3A36"/>
                <w:sz w:val="15"/>
              </w:rPr>
              <w:t>wacc_usd_erp</w:t>
            </w:r>
          </w:p>
        </w:tc>
        <w:tc>
          <w:tcPr>
            <w:tcW w:type="dxa" w:w="1440"/>
          </w:tcPr>
          <w:p>
            <w:pPr>
              <w:spacing w:after="20"/>
            </w:pPr>
            <w:r>
              <w:rPr>
                <w:color w:val="1C3A36"/>
                <w:sz w:val="15"/>
              </w:rPr>
              <w:t>0.075</w:t>
            </w:r>
          </w:p>
        </w:tc>
        <w:tc>
          <w:tcPr>
            <w:tcW w:type="dxa" w:w="1037"/>
          </w:tcPr>
          <w:p>
            <w:pPr>
              <w:spacing w:after="20"/>
            </w:pPr>
            <w:r>
              <w:rPr>
                <w:color w:val="1C3A36"/>
                <w:sz w:val="15"/>
              </w:rPr>
              <w:t>2026-08-06</w:t>
            </w:r>
          </w:p>
        </w:tc>
        <w:tc>
          <w:tcPr>
            <w:tcW w:type="dxa" w:w="5832"/>
          </w:tcPr>
          <w:p>
            <w:pPr>
              <w:spacing w:after="20"/>
            </w:pPr>
            <w:r>
              <w:rPr>
                <w:color w:val="1C3A36"/>
                <w:sz w:val="15"/>
              </w:rPr>
              <w:t>Blended emerging-market equity risk premium applied to the dollar-denominated alternative</w:t>
            </w:r>
          </w:p>
        </w:tc>
      </w:tr>
    </w:tbl>
    <w:p>
      <w:pPr>
        <w:spacing w:after="40"/>
      </w:pPr>
    </w:p>
    <w:p>
      <w:pPr>
        <w:spacing w:after="60" w:before="160"/>
      </w:pPr>
      <w:r>
        <w:rPr>
          <w:b/>
          <w:i w:val="0"/>
          <w:color w:val="1C3A36"/>
          <w:sz w:val="22"/>
        </w:rPr>
        <w:t>House layer — 31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440"/>
        <w:gridCol w:w="1037"/>
        <w:gridCol w:w="5832"/>
      </w:tblGrid>
      <w:tr>
        <w:tc>
          <w:tcPr>
            <w:tcW w:type="dxa" w:w="1872"/>
            <w:shd w:val="clear" w:color="auto" w:fill="EAF0EE"/>
          </w:tcPr>
          <w:p>
            <w:pPr>
              <w:spacing w:after="20"/>
            </w:pPr>
            <w:r>
              <w:rPr>
                <w:b/>
                <w:color w:val="1C3A36"/>
                <w:sz w:val="15"/>
              </w:rPr>
              <w:t>Input</w:t>
            </w:r>
          </w:p>
        </w:tc>
        <w:tc>
          <w:tcPr>
            <w:tcW w:type="dxa" w:w="1440"/>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5832"/>
            <w:shd w:val="clear" w:color="auto" w:fill="EAF0EE"/>
          </w:tcPr>
          <w:p>
            <w:pPr>
              <w:spacing w:after="20"/>
            </w:pPr>
            <w:r>
              <w:rPr>
                <w:b/>
                <w:color w:val="1C3A36"/>
                <w:sz w:val="15"/>
              </w:rPr>
              <w:t>Source and reasoning</w:t>
            </w:r>
          </w:p>
        </w:tc>
      </w:tr>
      <w:tr>
        <w:tc>
          <w:tcPr>
            <w:tcW w:type="dxa" w:w="1872"/>
          </w:tcPr>
          <w:p>
            <w:pPr>
              <w:spacing w:after="20"/>
            </w:pPr>
            <w:r>
              <w:rPr>
                <w:color w:val="1C3A36"/>
                <w:sz w:val="15"/>
              </w:rPr>
              <w:t>fx_fy24</w:t>
            </w:r>
          </w:p>
        </w:tc>
        <w:tc>
          <w:tcPr>
            <w:tcW w:type="dxa" w:w="1440"/>
          </w:tcPr>
          <w:p>
            <w:pPr>
              <w:spacing w:after="20"/>
            </w:pPr>
            <w:r>
              <w:rPr>
                <w:color w:val="1C3A36"/>
                <w:sz w:val="15"/>
              </w:rPr>
              <w:t>36.4</w:t>
            </w:r>
          </w:p>
        </w:tc>
        <w:tc>
          <w:tcPr>
            <w:tcW w:type="dxa" w:w="1037"/>
          </w:tcPr>
          <w:p>
            <w:pPr>
              <w:spacing w:after="20"/>
            </w:pPr>
            <w:r>
              <w:rPr>
                <w:color w:val="1C3A36"/>
                <w:sz w:val="15"/>
              </w:rPr>
              <w:t>2024-06-30</w:t>
            </w:r>
          </w:p>
        </w:tc>
        <w:tc>
          <w:tcPr>
            <w:tcW w:type="dxa" w:w="5832"/>
          </w:tcPr>
          <w:p>
            <w:pPr>
              <w:spacing w:after="20"/>
            </w:pPr>
            <w:r>
              <w:rPr>
                <w:color w:val="1C3A36"/>
                <w:sz w:val="15"/>
              </w:rPr>
              <w:t>USD/EGP average for the year to 30 June 2024. Eight months at the pre-float ~30.9 and four at the post-float ~47.5, volume-weighted by month. Used only to convert the disclosed EGP-per-tonne realisations into the dollar prices the forecast then grows</w:t>
            </w:r>
          </w:p>
        </w:tc>
      </w:tr>
      <w:tr>
        <w:tc>
          <w:tcPr>
            <w:tcW w:type="dxa" w:w="1872"/>
          </w:tcPr>
          <w:p>
            <w:pPr>
              <w:spacing w:after="20"/>
            </w:pPr>
            <w:r>
              <w:rPr>
                <w:color w:val="1C3A36"/>
                <w:sz w:val="15"/>
              </w:rPr>
              <w:t>spec_ramp_cy25</w:t>
            </w:r>
          </w:p>
        </w:tc>
        <w:tc>
          <w:tcPr>
            <w:tcW w:type="dxa" w:w="1440"/>
          </w:tcPr>
          <w:p>
            <w:pPr>
              <w:spacing w:after="20"/>
            </w:pPr>
            <w:r>
              <w:rPr>
                <w:color w:val="1C3A36"/>
                <w:sz w:val="15"/>
              </w:rPr>
              <w:t>0.1</w:t>
            </w:r>
          </w:p>
        </w:tc>
        <w:tc>
          <w:tcPr>
            <w:tcW w:type="dxa" w:w="1037"/>
          </w:tcPr>
          <w:p>
            <w:pPr>
              <w:spacing w:after="20"/>
            </w:pPr>
            <w:r>
              <w:rPr>
                <w:color w:val="1C3A36"/>
                <w:sz w:val="15"/>
              </w:rPr>
              <w:t>2026-08-06</w:t>
            </w:r>
          </w:p>
        </w:tc>
        <w:tc>
          <w:tcPr>
            <w:tcW w:type="dxa" w:w="5832"/>
          </w:tcPr>
          <w:p>
            <w:pPr>
              <w:spacing w:after="20"/>
            </w:pPr>
            <w:r>
              <w:rPr>
                <w:color w:val="1C3A36"/>
                <w:sz w:val="15"/>
              </w:rPr>
              <w:t>Growth in specialty tonnage from the disclosed FY2024/25 172kt to the calendar-2025 base, on the disclosed 40% rise in oils-and-wax EXPORTS through the transition half</w:t>
            </w:r>
          </w:p>
        </w:tc>
      </w:tr>
      <w:tr>
        <w:tc>
          <w:tcPr>
            <w:tcW w:type="dxa" w:w="1872"/>
          </w:tcPr>
          <w:p>
            <w:pPr>
              <w:spacing w:after="20"/>
            </w:pPr>
            <w:r>
              <w:rPr>
                <w:color w:val="1C3A36"/>
                <w:sz w:val="15"/>
              </w:rPr>
              <w:t>loss_frac</w:t>
            </w:r>
          </w:p>
        </w:tc>
        <w:tc>
          <w:tcPr>
            <w:tcW w:type="dxa" w:w="1440"/>
          </w:tcPr>
          <w:p>
            <w:pPr>
              <w:spacing w:after="20"/>
            </w:pPr>
            <w:r>
              <w:rPr>
                <w:color w:val="1C3A36"/>
                <w:sz w:val="15"/>
              </w:rPr>
              <w:t>0.03</w:t>
            </w:r>
          </w:p>
        </w:tc>
        <w:tc>
          <w:tcPr>
            <w:tcW w:type="dxa" w:w="1037"/>
          </w:tcPr>
          <w:p>
            <w:pPr>
              <w:spacing w:after="20"/>
            </w:pPr>
            <w:r>
              <w:rPr>
                <w:color w:val="1C3A36"/>
                <w:sz w:val="15"/>
              </w:rPr>
              <w:t>2026-08-06</w:t>
            </w:r>
          </w:p>
        </w:tc>
        <w:tc>
          <w:tcPr>
            <w:tcW w:type="dxa" w:w="5832"/>
          </w:tcPr>
          <w:p>
            <w:pPr>
              <w:spacing w:after="20"/>
            </w:pPr>
            <w:r>
              <w:rPr>
                <w:color w:val="1C3A36"/>
                <w:sz w:val="15"/>
              </w:rPr>
              <w:t>Process loss and internal fuel burn, as a share of feedstock intake — the gap between tonnes of feed drawn and tonnes of saleable product out. 2-4% is the ordinary range for a lube refinery of this configuration; 3.0% is taken. HOUSE ESTIMATE, not disclosed</w:t>
            </w:r>
          </w:p>
        </w:tc>
      </w:tr>
      <w:tr>
        <w:tc>
          <w:tcPr>
            <w:tcW w:type="dxa" w:w="1872"/>
          </w:tcPr>
          <w:p>
            <w:pPr>
              <w:spacing w:after="20"/>
            </w:pPr>
            <w:r>
              <w:rPr>
                <w:color w:val="1C3A36"/>
                <w:sz w:val="15"/>
              </w:rPr>
              <w:t>fixed_cost_fy23</w:t>
            </w:r>
          </w:p>
        </w:tc>
        <w:tc>
          <w:tcPr>
            <w:tcW w:type="dxa" w:w="1440"/>
          </w:tcPr>
          <w:p>
            <w:pPr>
              <w:spacing w:after="20"/>
            </w:pPr>
            <w:r>
              <w:rPr>
                <w:color w:val="1C3A36"/>
                <w:sz w:val="15"/>
              </w:rPr>
              <w:t>700.0</w:t>
            </w:r>
          </w:p>
        </w:tc>
        <w:tc>
          <w:tcPr>
            <w:tcW w:type="dxa" w:w="1037"/>
          </w:tcPr>
          <w:p>
            <w:pPr>
              <w:spacing w:after="20"/>
            </w:pPr>
            <w:r>
              <w:rPr>
                <w:color w:val="1C3A36"/>
                <w:sz w:val="15"/>
              </w:rPr>
              <w:t>2026-06-30</w:t>
            </w:r>
          </w:p>
        </w:tc>
        <w:tc>
          <w:tcPr>
            <w:tcW w:type="dxa" w:w="5832"/>
          </w:tcPr>
          <w:p>
            <w:pPr>
              <w:spacing w:after="20"/>
            </w:pPr>
            <w:r>
              <w:rPr>
                <w:color w:val="1C3A36"/>
                <w:sz w:val="15"/>
              </w:rPr>
              <w:t>Fixed conversion cost inside cost of sales — plant labour, maintenance, plant overhead — EGP mn in the year to June 2023. This is the EGP-denominated leg of the cost base, and its presence is why devaluation WIDENS the reported margin: revenue and feedstock are both dollar-linked and this is not. HOUSE ESTIMATE</w:t>
            </w:r>
          </w:p>
        </w:tc>
      </w:tr>
      <w:tr>
        <w:tc>
          <w:tcPr>
            <w:tcW w:type="dxa" w:w="1872"/>
          </w:tcPr>
          <w:p>
            <w:pPr>
              <w:spacing w:after="20"/>
            </w:pPr>
            <w:r>
              <w:rPr>
                <w:color w:val="1C3A36"/>
                <w:sz w:val="15"/>
              </w:rPr>
              <w:t>complexity_weight</w:t>
            </w:r>
          </w:p>
        </w:tc>
        <w:tc>
          <w:tcPr>
            <w:tcW w:type="dxa" w:w="1440"/>
          </w:tcPr>
          <w:p>
            <w:pPr>
              <w:spacing w:after="20"/>
            </w:pPr>
            <w:r>
              <w:rPr>
                <w:color w:val="1C3A36"/>
                <w:sz w:val="15"/>
              </w:rPr>
              <w:t>3</w:t>
            </w:r>
          </w:p>
        </w:tc>
        <w:tc>
          <w:tcPr>
            <w:tcW w:type="dxa" w:w="1037"/>
          </w:tcPr>
          <w:p>
            <w:pPr>
              <w:spacing w:after="20"/>
            </w:pPr>
            <w:r>
              <w:rPr>
                <w:color w:val="1C3A36"/>
                <w:sz w:val="15"/>
              </w:rPr>
              <w:t>2026-08-06</w:t>
            </w:r>
          </w:p>
        </w:tc>
        <w:tc>
          <w:tcPr>
            <w:tcW w:type="dxa" w:w="5832"/>
          </w:tcPr>
          <w:p>
            <w:pPr>
              <w:spacing w:after="20"/>
            </w:pPr>
            <w:r>
              <w:rPr>
                <w:color w:val="1C3A36"/>
                <w:sz w:val="15"/>
              </w:rPr>
              <w:t>Fixed conversion cost per tonne on the specialty lines as a multiple of the fuel slate. A tonne of base oil occupies the extraction, dewaxing and finishing trains; a tonne of gas-oil blend leaves at the fractionator. This allocates the fixed leg and is the ONLY judgment parameter left inside the margin — and it moves the SPLIT between lines, not the blended margin, which is pinned by the solved feedstock differential</w:t>
            </w:r>
          </w:p>
        </w:tc>
      </w:tr>
      <w:tr>
        <w:tc>
          <w:tcPr>
            <w:tcW w:type="dxa" w:w="1872"/>
          </w:tcPr>
          <w:p>
            <w:pPr>
              <w:spacing w:after="20"/>
            </w:pPr>
            <w:r>
              <w:rPr>
                <w:color w:val="1C3A36"/>
                <w:sz w:val="15"/>
              </w:rPr>
              <w:t>line_vol_growth</w:t>
            </w:r>
          </w:p>
        </w:tc>
        <w:tc>
          <w:tcPr>
            <w:tcW w:type="dxa" w:w="1440"/>
          </w:tcPr>
          <w:p>
            <w:pPr>
              <w:spacing w:after="20"/>
            </w:pPr>
            <w:r>
              <w:rPr>
                <w:color w:val="1C3A36"/>
                <w:sz w:val="15"/>
              </w:rPr>
              <w:t>oil: 0.075, 0.055, 0.045, 0.038, 0.032; wax: 0.09, 0.07, 0.055, 0.045, 0.04; fuel: 0.05, 0.036, 0.032, 0.028, 0.023</w:t>
            </w:r>
          </w:p>
        </w:tc>
        <w:tc>
          <w:tcPr>
            <w:tcW w:type="dxa" w:w="1037"/>
          </w:tcPr>
          <w:p>
            <w:pPr>
              <w:spacing w:after="20"/>
            </w:pPr>
            <w:r>
              <w:rPr>
                <w:color w:val="1C3A36"/>
                <w:sz w:val="15"/>
              </w:rPr>
              <w:t>2026-08-06</w:t>
            </w:r>
          </w:p>
        </w:tc>
        <w:tc>
          <w:tcPr>
            <w:tcW w:type="dxa" w:w="5832"/>
          </w:tcPr>
          <w:p>
            <w:pPr>
              <w:spacing w:after="20"/>
            </w:pPr>
            <w:r>
              <w:rPr>
                <w:color w:val="1C3A36"/>
                <w:sz w:val="15"/>
              </w:rPr>
              <w:t>Volume growth by product line. Wax fastest on the export push, base oils next, the fuel slate slowest — it is throughput the specialty units do not take</w:t>
            </w:r>
          </w:p>
        </w:tc>
      </w:tr>
      <w:tr>
        <w:tc>
          <w:tcPr>
            <w:tcW w:type="dxa" w:w="1872"/>
          </w:tcPr>
          <w:p>
            <w:pPr>
              <w:spacing w:after="20"/>
            </w:pPr>
            <w:r>
              <w:rPr>
                <w:color w:val="1C3A36"/>
                <w:sz w:val="15"/>
              </w:rPr>
              <w:t>fx_path</w:t>
            </w:r>
          </w:p>
        </w:tc>
        <w:tc>
          <w:tcPr>
            <w:tcW w:type="dxa" w:w="1440"/>
          </w:tcPr>
          <w:p>
            <w:pPr>
              <w:spacing w:after="20"/>
            </w:pPr>
            <w:r>
              <w:rPr>
                <w:color w:val="1C3A36"/>
                <w:sz w:val="15"/>
              </w:rPr>
              <w:t>50.9, 53.4, 55.8, 58, 60.1</w:t>
            </w:r>
          </w:p>
        </w:tc>
        <w:tc>
          <w:tcPr>
            <w:tcW w:type="dxa" w:w="1037"/>
          </w:tcPr>
          <w:p>
            <w:pPr>
              <w:spacing w:after="20"/>
            </w:pPr>
            <w:r>
              <w:rPr>
                <w:color w:val="1C3A36"/>
                <w:sz w:val="15"/>
              </w:rPr>
              <w:t>2026-08-06</w:t>
            </w:r>
          </w:p>
        </w:tc>
        <w:tc>
          <w:tcPr>
            <w:tcW w:type="dxa" w:w="5832"/>
          </w:tcPr>
          <w:p>
            <w:pPr>
              <w:spacing w:after="20"/>
            </w:pPr>
            <w:r>
              <w:rPr>
                <w:color w:val="1C3A36"/>
                <w:sz w:val="15"/>
              </w:rPr>
              <w:t>USD/EGP average-rate path, about 4.5% a year of depreciation from the 2025 average. Below the inflation differential, on the view that the post-float regime and the reserve build slow the pass-through — this is a genuine driver: both revenue legs are priced off dollar product benchmarks</w:t>
            </w:r>
          </w:p>
        </w:tc>
      </w:tr>
      <w:tr>
        <w:tc>
          <w:tcPr>
            <w:tcW w:type="dxa" w:w="1872"/>
          </w:tcPr>
          <w:p>
            <w:pPr>
              <w:spacing w:after="20"/>
            </w:pPr>
            <w:r>
              <w:rPr>
                <w:color w:val="1C3A36"/>
                <w:sz w:val="15"/>
              </w:rPr>
              <w:t>egypt_nominal_growth</w:t>
            </w:r>
          </w:p>
        </w:tc>
        <w:tc>
          <w:tcPr>
            <w:tcW w:type="dxa" w:w="1440"/>
          </w:tcPr>
          <w:p>
            <w:pPr>
              <w:spacing w:after="20"/>
            </w:pPr>
            <w:r>
              <w:rPr>
                <w:color w:val="1C3A36"/>
                <w:sz w:val="15"/>
              </w:rPr>
              <w:t>0.15</w:t>
            </w:r>
          </w:p>
        </w:tc>
        <w:tc>
          <w:tcPr>
            <w:tcW w:type="dxa" w:w="1037"/>
          </w:tcPr>
          <w:p>
            <w:pPr>
              <w:spacing w:after="20"/>
            </w:pPr>
            <w:r>
              <w:rPr>
                <w:color w:val="1C3A36"/>
                <w:sz w:val="15"/>
              </w:rPr>
              <w:t>2026-08-06</w:t>
            </w:r>
          </w:p>
        </w:tc>
        <w:tc>
          <w:tcPr>
            <w:tcW w:type="dxa" w:w="5832"/>
          </w:tcPr>
          <w:p>
            <w:pPr>
              <w:spacing w:after="20"/>
            </w:pPr>
            <w:r>
              <w:rPr>
                <w:color w:val="1C3A36"/>
                <w:sz w:val="15"/>
              </w:rPr>
              <w:t>Long-run Egyptian nominal growth used as the terminal ceiling for the domestic leg</w:t>
            </w:r>
          </w:p>
        </w:tc>
      </w:tr>
      <w:tr>
        <w:tc>
          <w:tcPr>
            <w:tcW w:type="dxa" w:w="1872"/>
          </w:tcPr>
          <w:p>
            <w:pPr>
              <w:spacing w:after="20"/>
            </w:pPr>
            <w:r>
              <w:rPr>
                <w:color w:val="1C3A36"/>
                <w:sz w:val="15"/>
              </w:rPr>
              <w:t>beta</w:t>
            </w:r>
          </w:p>
        </w:tc>
        <w:tc>
          <w:tcPr>
            <w:tcW w:type="dxa" w:w="1440"/>
          </w:tcPr>
          <w:p>
            <w:pPr>
              <w:spacing w:after="20"/>
            </w:pPr>
            <w:r>
              <w:rPr>
                <w:color w:val="1C3A36"/>
                <w:sz w:val="15"/>
              </w:rPr>
              <w:t>0.9405</w:t>
            </w:r>
          </w:p>
        </w:tc>
        <w:tc>
          <w:tcPr>
            <w:tcW w:type="dxa" w:w="1037"/>
          </w:tcPr>
          <w:p>
            <w:pPr>
              <w:spacing w:after="20"/>
            </w:pPr>
            <w:r>
              <w:rPr>
                <w:color w:val="1C3A36"/>
                <w:sz w:val="15"/>
              </w:rPr>
              <w:t>2026-08-06</w:t>
            </w:r>
          </w:p>
        </w:tc>
        <w:tc>
          <w:tcPr>
            <w:tcW w:type="dxa" w:w="5832"/>
          </w:tcPr>
          <w:p>
            <w:pPr>
              <w:spacing w:after="20"/>
            </w:pPr>
            <w:r>
              <w:rPr>
                <w:color w:val="1C3A36"/>
                <w:sz w:val="15"/>
              </w:rPr>
              <w:t>Own-stock tier-1 regression: AMOC weekly log-returns against a 33-name equal-weight Egyptian Exchange composite built from the full covered library, five-year window. R-squared 0.312, n = 257, standard error 0.087, 90% confidence interval [0.797, 1.084]. Passes the usability gate comfortably and is NOT a weak instrument: the interval spans 0.29x the point estimate, well inside the 2x flag</w:t>
            </w:r>
          </w:p>
        </w:tc>
      </w:tr>
      <w:tr>
        <w:tc>
          <w:tcPr>
            <w:tcW w:type="dxa" w:w="1872"/>
          </w:tcPr>
          <w:p>
            <w:pPr>
              <w:spacing w:after="20"/>
            </w:pPr>
            <w:r>
              <w:rPr>
                <w:color w:val="1C3A36"/>
                <w:sz w:val="15"/>
              </w:rPr>
              <w:t>tax_eff</w:t>
            </w:r>
          </w:p>
        </w:tc>
        <w:tc>
          <w:tcPr>
            <w:tcW w:type="dxa" w:w="1440"/>
          </w:tcPr>
          <w:p>
            <w:pPr>
              <w:spacing w:after="20"/>
            </w:pPr>
            <w:r>
              <w:rPr>
                <w:color w:val="1C3A36"/>
                <w:sz w:val="15"/>
              </w:rPr>
              <w:t>0.235</w:t>
            </w:r>
          </w:p>
        </w:tc>
        <w:tc>
          <w:tcPr>
            <w:tcW w:type="dxa" w:w="1037"/>
          </w:tcPr>
          <w:p>
            <w:pPr>
              <w:spacing w:after="20"/>
            </w:pPr>
            <w:r>
              <w:rPr>
                <w:color w:val="1C3A36"/>
                <w:sz w:val="15"/>
              </w:rPr>
              <w:t>2026-08-06</w:t>
            </w:r>
          </w:p>
        </w:tc>
        <w:tc>
          <w:tcPr>
            <w:tcW w:type="dxa" w:w="5832"/>
          </w:tcPr>
          <w:p>
            <w:pPr>
              <w:spacing w:after="20"/>
            </w:pPr>
            <w:r>
              <w:rPr>
                <w:color w:val="1C3A36"/>
                <w:sz w:val="15"/>
              </w:rPr>
              <w:t>Effective tax rate used for NOPAT. Struck one percentage point above the 22.5% statutory rate for non-deductible items and the deferred-tax drag typical of Egyptian downstream filers</w:t>
            </w:r>
          </w:p>
        </w:tc>
      </w:tr>
      <w:tr>
        <w:tc>
          <w:tcPr>
            <w:tcW w:type="dxa" w:w="1872"/>
          </w:tcPr>
          <w:p>
            <w:pPr>
              <w:spacing w:after="20"/>
            </w:pPr>
            <w:r>
              <w:rPr>
                <w:color w:val="1C3A36"/>
                <w:sz w:val="15"/>
              </w:rPr>
              <w:t>nci_share</w:t>
            </w:r>
          </w:p>
        </w:tc>
        <w:tc>
          <w:tcPr>
            <w:tcW w:type="dxa" w:w="1440"/>
          </w:tcPr>
          <w:p>
            <w:pPr>
              <w:spacing w:after="20"/>
            </w:pPr>
            <w:r>
              <w:rPr>
                <w:color w:val="1C3A36"/>
                <w:sz w:val="15"/>
              </w:rPr>
              <w:t>0.03</w:t>
            </w:r>
          </w:p>
        </w:tc>
        <w:tc>
          <w:tcPr>
            <w:tcW w:type="dxa" w:w="1037"/>
          </w:tcPr>
          <w:p>
            <w:pPr>
              <w:spacing w:after="20"/>
            </w:pPr>
            <w:r>
              <w:rPr>
                <w:color w:val="1C3A36"/>
                <w:sz w:val="15"/>
              </w:rPr>
              <w:t>2026-08-06</w:t>
            </w:r>
          </w:p>
        </w:tc>
        <w:tc>
          <w:tcPr>
            <w:tcW w:type="dxa" w:w="5832"/>
          </w:tcPr>
          <w:p>
            <w:pPr>
              <w:spacing w:after="20"/>
            </w:pPr>
            <w:r>
              <w:rPr>
                <w:color w:val="1C3A36"/>
                <w:sz w:val="15"/>
              </w:rPr>
              <w:t>Minority interests' share of group profit. Consolidated FY2024/25 profit of EGP 1,550mn against standalone EGP 1,490mn means non-parent entities contribute EGP 60mn, about 3.9% of the group; the minority slice of that is smaller again. Held at 3.0% and sensitised</w:t>
            </w:r>
          </w:p>
        </w:tc>
      </w:tr>
      <w:tr>
        <w:tc>
          <w:tcPr>
            <w:tcW w:type="dxa" w:w="1872"/>
          </w:tcPr>
          <w:p>
            <w:pPr>
              <w:spacing w:after="20"/>
            </w:pPr>
            <w:r>
              <w:rPr>
                <w:color w:val="1C3A36"/>
                <w:sz w:val="15"/>
              </w:rPr>
              <w:t>recv_days</w:t>
            </w:r>
          </w:p>
        </w:tc>
        <w:tc>
          <w:tcPr>
            <w:tcW w:type="dxa" w:w="1440"/>
          </w:tcPr>
          <w:p>
            <w:pPr>
              <w:spacing w:after="20"/>
            </w:pPr>
            <w:r>
              <w:rPr>
                <w:color w:val="1C3A36"/>
                <w:sz w:val="15"/>
              </w:rPr>
              <w:t>14</w:t>
            </w:r>
          </w:p>
        </w:tc>
        <w:tc>
          <w:tcPr>
            <w:tcW w:type="dxa" w:w="1037"/>
          </w:tcPr>
          <w:p>
            <w:pPr>
              <w:spacing w:after="20"/>
            </w:pPr>
            <w:r>
              <w:rPr>
                <w:color w:val="1C3A36"/>
                <w:sz w:val="15"/>
              </w:rPr>
              <w:t>2026-08-06</w:t>
            </w:r>
          </w:p>
        </w:tc>
        <w:tc>
          <w:tcPr>
            <w:tcW w:type="dxa" w:w="5832"/>
          </w:tcPr>
          <w:p>
            <w:pPr>
              <w:spacing w:after="20"/>
            </w:pPr>
            <w:r>
              <w:rPr>
                <w:color w:val="1C3A36"/>
                <w:sz w:val="15"/>
              </w:rPr>
              <w:t>Trade receivable days. The offtake is dominated by the state petroleum complex on short settlement, which is why a company turning over EGP 40bn of revenue runs a balance sheet of only EGP 8.1bn</w:t>
            </w:r>
          </w:p>
        </w:tc>
      </w:tr>
      <w:tr>
        <w:tc>
          <w:tcPr>
            <w:tcW w:type="dxa" w:w="1872"/>
          </w:tcPr>
          <w:p>
            <w:pPr>
              <w:spacing w:after="20"/>
            </w:pPr>
            <w:r>
              <w:rPr>
                <w:color w:val="1C3A36"/>
                <w:sz w:val="15"/>
              </w:rPr>
              <w:t>inv_days</w:t>
            </w:r>
          </w:p>
        </w:tc>
        <w:tc>
          <w:tcPr>
            <w:tcW w:type="dxa" w:w="1440"/>
          </w:tcPr>
          <w:p>
            <w:pPr>
              <w:spacing w:after="20"/>
            </w:pPr>
            <w:r>
              <w:rPr>
                <w:color w:val="1C3A36"/>
                <w:sz w:val="15"/>
              </w:rPr>
              <w:t>14</w:t>
            </w:r>
          </w:p>
        </w:tc>
        <w:tc>
          <w:tcPr>
            <w:tcW w:type="dxa" w:w="1037"/>
          </w:tcPr>
          <w:p>
            <w:pPr>
              <w:spacing w:after="20"/>
            </w:pPr>
            <w:r>
              <w:rPr>
                <w:color w:val="1C3A36"/>
                <w:sz w:val="15"/>
              </w:rPr>
              <w:t>2026-08-06</w:t>
            </w:r>
          </w:p>
        </w:tc>
        <w:tc>
          <w:tcPr>
            <w:tcW w:type="dxa" w:w="5832"/>
          </w:tcPr>
          <w:p>
            <w:pPr>
              <w:spacing w:after="20"/>
            </w:pPr>
            <w:r>
              <w:rPr>
                <w:color w:val="1C3A36"/>
                <w:sz w:val="15"/>
              </w:rPr>
              <w:t>Inventory days on cost of sales. Feedstock is drawn from the adjacent refining complex rather than imported and stocked</w:t>
            </w:r>
          </w:p>
        </w:tc>
      </w:tr>
      <w:tr>
        <w:tc>
          <w:tcPr>
            <w:tcW w:type="dxa" w:w="1872"/>
          </w:tcPr>
          <w:p>
            <w:pPr>
              <w:spacing w:after="20"/>
            </w:pPr>
            <w:r>
              <w:rPr>
                <w:color w:val="1C3A36"/>
                <w:sz w:val="15"/>
              </w:rPr>
              <w:t>pay_days</w:t>
            </w:r>
          </w:p>
        </w:tc>
        <w:tc>
          <w:tcPr>
            <w:tcW w:type="dxa" w:w="1440"/>
          </w:tcPr>
          <w:p>
            <w:pPr>
              <w:spacing w:after="20"/>
            </w:pPr>
            <w:r>
              <w:rPr>
                <w:color w:val="1C3A36"/>
                <w:sz w:val="15"/>
              </w:rPr>
              <w:t>24</w:t>
            </w:r>
          </w:p>
        </w:tc>
        <w:tc>
          <w:tcPr>
            <w:tcW w:type="dxa" w:w="1037"/>
          </w:tcPr>
          <w:p>
            <w:pPr>
              <w:spacing w:after="20"/>
            </w:pPr>
            <w:r>
              <w:rPr>
                <w:color w:val="1C3A36"/>
                <w:sz w:val="15"/>
              </w:rPr>
              <w:t>2026-08-06</w:t>
            </w:r>
          </w:p>
        </w:tc>
        <w:tc>
          <w:tcPr>
            <w:tcW w:type="dxa" w:w="5832"/>
          </w:tcPr>
          <w:p>
            <w:pPr>
              <w:spacing w:after="20"/>
            </w:pPr>
            <w:r>
              <w:rPr>
                <w:color w:val="1C3A36"/>
                <w:sz w:val="15"/>
              </w:rPr>
              <w:t>Trade payable days on cost of sales. The feedstock payable to the state petroleum corporation is the company's principal source of working-capital funding</w:t>
            </w:r>
          </w:p>
        </w:tc>
      </w:tr>
      <w:tr>
        <w:tc>
          <w:tcPr>
            <w:tcW w:type="dxa" w:w="1872"/>
          </w:tcPr>
          <w:p>
            <w:pPr>
              <w:spacing w:after="20"/>
            </w:pPr>
            <w:r>
              <w:rPr>
                <w:color w:val="1C3A36"/>
                <w:sz w:val="15"/>
              </w:rPr>
              <w:t>other_ca</w:t>
            </w:r>
          </w:p>
        </w:tc>
        <w:tc>
          <w:tcPr>
            <w:tcW w:type="dxa" w:w="1440"/>
          </w:tcPr>
          <w:p>
            <w:pPr>
              <w:spacing w:after="20"/>
            </w:pPr>
            <w:r>
              <w:rPr>
                <w:color w:val="1C3A36"/>
                <w:sz w:val="15"/>
              </w:rPr>
              <w:t>300.0</w:t>
            </w:r>
          </w:p>
        </w:tc>
        <w:tc>
          <w:tcPr>
            <w:tcW w:type="dxa" w:w="1037"/>
          </w:tcPr>
          <w:p>
            <w:pPr>
              <w:spacing w:after="20"/>
            </w:pPr>
            <w:r>
              <w:rPr>
                <w:color w:val="1C3A36"/>
                <w:sz w:val="15"/>
              </w:rPr>
              <w:t>2026-08-06</w:t>
            </w:r>
          </w:p>
        </w:tc>
        <w:tc>
          <w:tcPr>
            <w:tcW w:type="dxa" w:w="5832"/>
          </w:tcPr>
          <w:p>
            <w:pPr>
              <w:spacing w:after="20"/>
            </w:pPr>
            <w:r>
              <w:rPr>
                <w:color w:val="1C3A36"/>
                <w:sz w:val="15"/>
              </w:rPr>
              <w:t>Other current assets, EGP mn, held flat</w:t>
            </w:r>
          </w:p>
        </w:tc>
      </w:tr>
      <w:tr>
        <w:tc>
          <w:tcPr>
            <w:tcW w:type="dxa" w:w="1872"/>
          </w:tcPr>
          <w:p>
            <w:pPr>
              <w:spacing w:after="20"/>
            </w:pPr>
            <w:r>
              <w:rPr>
                <w:color w:val="1C3A36"/>
                <w:sz w:val="15"/>
              </w:rPr>
              <w:t>dna_pct</w:t>
            </w:r>
          </w:p>
        </w:tc>
        <w:tc>
          <w:tcPr>
            <w:tcW w:type="dxa" w:w="1440"/>
          </w:tcPr>
          <w:p>
            <w:pPr>
              <w:spacing w:after="20"/>
            </w:pPr>
            <w:r>
              <w:rPr>
                <w:color w:val="1C3A36"/>
                <w:sz w:val="15"/>
              </w:rPr>
              <w:t>0.011</w:t>
            </w:r>
          </w:p>
        </w:tc>
        <w:tc>
          <w:tcPr>
            <w:tcW w:type="dxa" w:w="1037"/>
          </w:tcPr>
          <w:p>
            <w:pPr>
              <w:spacing w:after="20"/>
            </w:pPr>
            <w:r>
              <w:rPr>
                <w:color w:val="1C3A36"/>
                <w:sz w:val="15"/>
              </w:rPr>
              <w:t>2026-08-06</w:t>
            </w:r>
          </w:p>
        </w:tc>
        <w:tc>
          <w:tcPr>
            <w:tcW w:type="dxa" w:w="5832"/>
          </w:tcPr>
          <w:p>
            <w:pPr>
              <w:spacing w:after="20"/>
            </w:pPr>
            <w:r>
              <w:rPr>
                <w:color w:val="1C3A36"/>
                <w:sz w:val="15"/>
              </w:rPr>
              <w:t>Depreciation and amortisation as a share of revenue. The complex was commissioned between 1997 and 2000 and is substantially written down, which is why the charge is small against turnover</w:t>
            </w:r>
          </w:p>
        </w:tc>
      </w:tr>
      <w:tr>
        <w:tc>
          <w:tcPr>
            <w:tcW w:type="dxa" w:w="1872"/>
          </w:tcPr>
          <w:p>
            <w:pPr>
              <w:spacing w:after="20"/>
            </w:pPr>
            <w:r>
              <w:rPr>
                <w:color w:val="1C3A36"/>
                <w:sz w:val="15"/>
              </w:rPr>
              <w:t>capex_pct</w:t>
            </w:r>
          </w:p>
        </w:tc>
        <w:tc>
          <w:tcPr>
            <w:tcW w:type="dxa" w:w="1440"/>
          </w:tcPr>
          <w:p>
            <w:pPr>
              <w:spacing w:after="20"/>
            </w:pPr>
            <w:r>
              <w:rPr>
                <w:color w:val="1C3A36"/>
                <w:sz w:val="15"/>
              </w:rPr>
              <w:t>0.0145, 0.014, 0.0135, 0.013, 0.0125</w:t>
            </w:r>
          </w:p>
        </w:tc>
        <w:tc>
          <w:tcPr>
            <w:tcW w:type="dxa" w:w="1037"/>
          </w:tcPr>
          <w:p>
            <w:pPr>
              <w:spacing w:after="20"/>
            </w:pPr>
            <w:r>
              <w:rPr>
                <w:color w:val="1C3A36"/>
                <w:sz w:val="15"/>
              </w:rPr>
              <w:t>2026-08-06</w:t>
            </w:r>
          </w:p>
        </w:tc>
        <w:tc>
          <w:tcPr>
            <w:tcW w:type="dxa" w:w="5832"/>
          </w:tcPr>
          <w:p>
            <w:pPr>
              <w:spacing w:after="20"/>
            </w:pPr>
            <w:r>
              <w:rPr>
                <w:color w:val="1C3A36"/>
                <w:sz w:val="15"/>
              </w:rPr>
              <w:t>Capital expenditure as a share of revenue, tapering. Anchored on the approved EGP 580.19mn budget against the same year's budgeted net sales of EGP 37.332bn, which is 1.55%; the taper reflects the completion of the current storage-tank and environmental programme</w:t>
            </w:r>
          </w:p>
        </w:tc>
      </w:tr>
      <w:tr>
        <w:tc>
          <w:tcPr>
            <w:tcW w:type="dxa" w:w="1872"/>
          </w:tcPr>
          <w:p>
            <w:pPr>
              <w:spacing w:after="20"/>
            </w:pPr>
            <w:r>
              <w:rPr>
                <w:color w:val="1C3A36"/>
                <w:sz w:val="15"/>
              </w:rPr>
              <w:t>opex_pct</w:t>
            </w:r>
          </w:p>
        </w:tc>
        <w:tc>
          <w:tcPr>
            <w:tcW w:type="dxa" w:w="1440"/>
          </w:tcPr>
          <w:p>
            <w:pPr>
              <w:spacing w:after="20"/>
            </w:pPr>
            <w:r>
              <w:rPr>
                <w:color w:val="1C3A36"/>
                <w:sz w:val="15"/>
              </w:rPr>
              <w:t>0.0125, 0.0125, 0.0126, 0.0127, 0.0128</w:t>
            </w:r>
          </w:p>
        </w:tc>
        <w:tc>
          <w:tcPr>
            <w:tcW w:type="dxa" w:w="1037"/>
          </w:tcPr>
          <w:p>
            <w:pPr>
              <w:spacing w:after="20"/>
            </w:pPr>
            <w:r>
              <w:rPr>
                <w:color w:val="1C3A36"/>
                <w:sz w:val="15"/>
              </w:rPr>
              <w:t>2026-08-06</w:t>
            </w:r>
          </w:p>
        </w:tc>
        <w:tc>
          <w:tcPr>
            <w:tcW w:type="dxa" w:w="5832"/>
          </w:tcPr>
          <w:p>
            <w:pPr>
              <w:spacing w:after="20"/>
            </w:pPr>
            <w:r>
              <w:rPr>
                <w:color w:val="1C3A36"/>
                <w:sz w:val="15"/>
              </w:rPr>
              <w:t>The net operating load between gross profit and EBITDA, as a share of revenue — selling, general and administrative costs and other expenses, less other operating income</w:t>
            </w:r>
          </w:p>
        </w:tc>
      </w:tr>
      <w:tr>
        <w:tc>
          <w:tcPr>
            <w:tcW w:type="dxa" w:w="1872"/>
          </w:tcPr>
          <w:p>
            <w:pPr>
              <w:spacing w:after="20"/>
            </w:pPr>
            <w:r>
              <w:rPr>
                <w:color w:val="1C3A36"/>
                <w:sz w:val="15"/>
              </w:rPr>
              <w:t>cash_yield</w:t>
            </w:r>
          </w:p>
        </w:tc>
        <w:tc>
          <w:tcPr>
            <w:tcW w:type="dxa" w:w="1440"/>
          </w:tcPr>
          <w:p>
            <w:pPr>
              <w:spacing w:after="20"/>
            </w:pPr>
            <w:r>
              <w:rPr>
                <w:color w:val="1C3A36"/>
                <w:sz w:val="15"/>
              </w:rPr>
              <w:t>0.17</w:t>
            </w:r>
          </w:p>
        </w:tc>
        <w:tc>
          <w:tcPr>
            <w:tcW w:type="dxa" w:w="1037"/>
          </w:tcPr>
          <w:p>
            <w:pPr>
              <w:spacing w:after="20"/>
            </w:pPr>
            <w:r>
              <w:rPr>
                <w:color w:val="1C3A36"/>
                <w:sz w:val="15"/>
              </w:rPr>
              <w:t>2026-08-06</w:t>
            </w:r>
          </w:p>
        </w:tc>
        <w:tc>
          <w:tcPr>
            <w:tcW w:type="dxa" w:w="5832"/>
          </w:tcPr>
          <w:p>
            <w:pPr>
              <w:spacing w:after="20"/>
            </w:pPr>
            <w:r>
              <w:rPr>
                <w:color w:val="1C3A36"/>
                <w:sz w:val="15"/>
              </w:rPr>
              <w:t>Yield earned on the cash pile. Egyptian treasury bills and corporate deposits price a few points under the 19.50% policy rate net of the 20% withholding on interest</w:t>
            </w:r>
          </w:p>
        </w:tc>
      </w:tr>
      <w:tr>
        <w:tc>
          <w:tcPr>
            <w:tcW w:type="dxa" w:w="1872"/>
          </w:tcPr>
          <w:p>
            <w:pPr>
              <w:spacing w:after="20"/>
            </w:pPr>
            <w:r>
              <w:rPr>
                <w:color w:val="1C3A36"/>
                <w:sz w:val="15"/>
              </w:rPr>
              <w:t>cash_yield_path</w:t>
            </w:r>
          </w:p>
        </w:tc>
        <w:tc>
          <w:tcPr>
            <w:tcW w:type="dxa" w:w="1440"/>
          </w:tcPr>
          <w:p>
            <w:pPr>
              <w:spacing w:after="20"/>
            </w:pPr>
            <w:r>
              <w:rPr>
                <w:color w:val="1C3A36"/>
                <w:sz w:val="15"/>
              </w:rPr>
              <w:t>0.17, 0.15, 0.135, 0.125, 0.118</w:t>
            </w:r>
          </w:p>
        </w:tc>
        <w:tc>
          <w:tcPr>
            <w:tcW w:type="dxa" w:w="1037"/>
          </w:tcPr>
          <w:p>
            <w:pPr>
              <w:spacing w:after="20"/>
            </w:pPr>
            <w:r>
              <w:rPr>
                <w:color w:val="1C3A36"/>
                <w:sz w:val="15"/>
              </w:rPr>
              <w:t>2026-08-06</w:t>
            </w:r>
          </w:p>
        </w:tc>
        <w:tc>
          <w:tcPr>
            <w:tcW w:type="dxa" w:w="5832"/>
          </w:tcPr>
          <w:p>
            <w:pPr>
              <w:spacing w:after="20"/>
            </w:pPr>
            <w:r>
              <w:rPr>
                <w:color w:val="1C3A36"/>
                <w:sz w:val="15"/>
              </w:rPr>
              <w:t>Forward path for the deposit yield, easing with the policy rate</w:t>
            </w:r>
          </w:p>
        </w:tc>
      </w:tr>
      <w:tr>
        <w:tc>
          <w:tcPr>
            <w:tcW w:type="dxa" w:w="1872"/>
          </w:tcPr>
          <w:p>
            <w:pPr>
              <w:spacing w:after="20"/>
            </w:pPr>
            <w:r>
              <w:rPr>
                <w:color w:val="1C3A36"/>
                <w:sz w:val="15"/>
              </w:rPr>
              <w:t>kd</w:t>
            </w:r>
          </w:p>
        </w:tc>
        <w:tc>
          <w:tcPr>
            <w:tcW w:type="dxa" w:w="1440"/>
          </w:tcPr>
          <w:p>
            <w:pPr>
              <w:spacing w:after="20"/>
            </w:pPr>
            <w:r>
              <w:rPr>
                <w:color w:val="1C3A36"/>
                <w:sz w:val="15"/>
              </w:rPr>
              <w:t>0.22</w:t>
            </w:r>
          </w:p>
        </w:tc>
        <w:tc>
          <w:tcPr>
            <w:tcW w:type="dxa" w:w="1037"/>
          </w:tcPr>
          <w:p>
            <w:pPr>
              <w:spacing w:after="20"/>
            </w:pPr>
            <w:r>
              <w:rPr>
                <w:color w:val="1C3A36"/>
                <w:sz w:val="15"/>
              </w:rPr>
              <w:t>2026-08-06</w:t>
            </w:r>
          </w:p>
        </w:tc>
        <w:tc>
          <w:tcPr>
            <w:tcW w:type="dxa" w:w="5832"/>
          </w:tcPr>
          <w:p>
            <w:pPr>
              <w:spacing w:after="20"/>
            </w:pPr>
            <w:r>
              <w:rPr>
                <w:color w:val="1C3A36"/>
                <w:sz w:val="15"/>
              </w:rPr>
              <w:t>Marginal cost of debt. The gross book is EGP 25mn — 0.06% of revenue — of short-dated Egyptian-pound facilities, so the rate is taken at the corridor lending rate of 20.00% plus a 200bp corporate spread rather than pretended to be observable. The integrity gate below computes what this input is actually WORTH to the answer</w:t>
            </w:r>
          </w:p>
        </w:tc>
      </w:tr>
      <w:tr>
        <w:tc>
          <w:tcPr>
            <w:tcW w:type="dxa" w:w="1872"/>
          </w:tcPr>
          <w:p>
            <w:pPr>
              <w:spacing w:after="20"/>
            </w:pPr>
            <w:r>
              <w:rPr>
                <w:color w:val="1C3A36"/>
                <w:sz w:val="15"/>
              </w:rPr>
              <w:t>kd_path</w:t>
            </w:r>
          </w:p>
        </w:tc>
        <w:tc>
          <w:tcPr>
            <w:tcW w:type="dxa" w:w="1440"/>
          </w:tcPr>
          <w:p>
            <w:pPr>
              <w:spacing w:after="20"/>
            </w:pPr>
            <w:r>
              <w:rPr>
                <w:color w:val="1C3A36"/>
                <w:sz w:val="15"/>
              </w:rPr>
              <w:t>0.22, 0.195, 0.175, 0.16, 0.15</w:t>
            </w:r>
          </w:p>
        </w:tc>
        <w:tc>
          <w:tcPr>
            <w:tcW w:type="dxa" w:w="1037"/>
          </w:tcPr>
          <w:p>
            <w:pPr>
              <w:spacing w:after="20"/>
            </w:pPr>
            <w:r>
              <w:rPr>
                <w:color w:val="1C3A36"/>
                <w:sz w:val="15"/>
              </w:rPr>
              <w:t>2026-08-06</w:t>
            </w:r>
          </w:p>
        </w:tc>
        <w:tc>
          <w:tcPr>
            <w:tcW w:type="dxa" w:w="5832"/>
          </w:tcPr>
          <w:p>
            <w:pPr>
              <w:spacing w:after="20"/>
            </w:pPr>
            <w:r>
              <w:rPr>
                <w:color w:val="1C3A36"/>
                <w:sz w:val="15"/>
              </w:rPr>
              <w:t>Forward cost-of-debt path 2026E-2030E, following the central bank's own disinflation path toward the long-run Egyptian corporate-borrowing norm. This path is what sets the SHAPE of the cost-of-capital glide; it is not a second free parameter</w:t>
            </w:r>
          </w:p>
        </w:tc>
      </w:tr>
      <w:tr>
        <w:tc>
          <w:tcPr>
            <w:tcW w:type="dxa" w:w="1872"/>
          </w:tcPr>
          <w:p>
            <w:pPr>
              <w:spacing w:after="20"/>
            </w:pPr>
            <w:r>
              <w:rPr>
                <w:color w:val="1C3A36"/>
                <w:sz w:val="15"/>
              </w:rPr>
              <w:t>kd_term</w:t>
            </w:r>
          </w:p>
        </w:tc>
        <w:tc>
          <w:tcPr>
            <w:tcW w:type="dxa" w:w="1440"/>
          </w:tcPr>
          <w:p>
            <w:pPr>
              <w:spacing w:after="20"/>
            </w:pPr>
            <w:r>
              <w:rPr>
                <w:color w:val="1C3A36"/>
                <w:sz w:val="15"/>
              </w:rPr>
              <w:t>0.15</w:t>
            </w:r>
          </w:p>
        </w:tc>
        <w:tc>
          <w:tcPr>
            <w:tcW w:type="dxa" w:w="1037"/>
          </w:tcPr>
          <w:p>
            <w:pPr>
              <w:spacing w:after="20"/>
            </w:pPr>
            <w:r>
              <w:rPr>
                <w:color w:val="1C3A36"/>
                <w:sz w:val="15"/>
              </w:rPr>
              <w:t>2026-08-06</w:t>
            </w:r>
          </w:p>
        </w:tc>
        <w:tc>
          <w:tcPr>
            <w:tcW w:type="dxa" w:w="5832"/>
          </w:tcPr>
          <w:p>
            <w:pPr>
              <w:spacing w:after="20"/>
            </w:pPr>
            <w:r>
              <w:rPr>
                <w:color w:val="1C3A36"/>
                <w:sz w:val="15"/>
              </w:rPr>
              <w:t>Terminal cost of debt: the midpoint of the 14-16% long-run Egyptian corporate-borrowing norm, with no name-specific reason to deviate</w:t>
            </w:r>
          </w:p>
        </w:tc>
      </w:tr>
      <w:tr>
        <w:tc>
          <w:tcPr>
            <w:tcW w:type="dxa" w:w="1872"/>
          </w:tcPr>
          <w:p>
            <w:pPr>
              <w:spacing w:after="20"/>
            </w:pPr>
            <w:r>
              <w:rPr>
                <w:color w:val="1C3A36"/>
                <w:sz w:val="15"/>
              </w:rPr>
              <w:t>rf_term</w:t>
            </w:r>
          </w:p>
        </w:tc>
        <w:tc>
          <w:tcPr>
            <w:tcW w:type="dxa" w:w="1440"/>
          </w:tcPr>
          <w:p>
            <w:pPr>
              <w:spacing w:after="20"/>
            </w:pPr>
            <w:r>
              <w:rPr>
                <w:color w:val="1C3A36"/>
                <w:sz w:val="15"/>
              </w:rPr>
              <w:t>0.105</w:t>
            </w:r>
          </w:p>
        </w:tc>
        <w:tc>
          <w:tcPr>
            <w:tcW w:type="dxa" w:w="1037"/>
          </w:tcPr>
          <w:p>
            <w:pPr>
              <w:spacing w:after="20"/>
            </w:pPr>
            <w:r>
              <w:rPr>
                <w:color w:val="1C3A36"/>
                <w:sz w:val="15"/>
              </w:rPr>
              <w:t>2026-08-06</w:t>
            </w:r>
          </w:p>
        </w:tc>
        <w:tc>
          <w:tcPr>
            <w:tcW w:type="dxa" w:w="5832"/>
          </w:tcPr>
          <w:p>
            <w:pPr>
              <w:spacing w:after="20"/>
            </w:pPr>
            <w:r>
              <w:rPr>
                <w:color w:val="1C3A36"/>
                <w:sz w:val="15"/>
              </w:rPr>
              <w:t>Terminal risk-free rate, norm-built: the central bank's own stated medium-term inflation target of 5% plus the standard ~5.5pp emerging-market real-rate convention. Never a raw historical average and never backed out of a price</w:t>
            </w:r>
          </w:p>
        </w:tc>
      </w:tr>
      <w:tr>
        <w:tc>
          <w:tcPr>
            <w:tcW w:type="dxa" w:w="1872"/>
          </w:tcPr>
          <w:p>
            <w:pPr>
              <w:spacing w:after="20"/>
            </w:pPr>
            <w:r>
              <w:rPr>
                <w:color w:val="1C3A36"/>
                <w:sz w:val="15"/>
              </w:rPr>
              <w:t>erp_term</w:t>
            </w:r>
          </w:p>
        </w:tc>
        <w:tc>
          <w:tcPr>
            <w:tcW w:type="dxa" w:w="1440"/>
          </w:tcPr>
          <w:p>
            <w:pPr>
              <w:spacing w:after="20"/>
            </w:pPr>
            <w:r>
              <w:rPr>
                <w:color w:val="1C3A36"/>
                <w:sz w:val="15"/>
              </w:rPr>
              <w:t>0.07</w:t>
            </w:r>
          </w:p>
        </w:tc>
        <w:tc>
          <w:tcPr>
            <w:tcW w:type="dxa" w:w="1037"/>
          </w:tcPr>
          <w:p>
            <w:pPr>
              <w:spacing w:after="20"/>
            </w:pPr>
            <w:r>
              <w:rPr>
                <w:color w:val="1C3A36"/>
                <w:sz w:val="15"/>
              </w:rPr>
              <w:t>2026-08-06</w:t>
            </w:r>
          </w:p>
        </w:tc>
        <w:tc>
          <w:tcPr>
            <w:tcW w:type="dxa" w:w="5832"/>
          </w:tcPr>
          <w:p>
            <w:pPr>
              <w:spacing w:after="20"/>
            </w:pPr>
            <w:r>
              <w:rPr>
                <w:color w:val="1C3A36"/>
                <w:sz w:val="15"/>
              </w:rPr>
              <w:t>Terminal equity risk premium, normalised below the currently elevated crisis-era level toward the rating-class norm; never held flat into perpetuity</w:t>
            </w:r>
          </w:p>
        </w:tc>
      </w:tr>
      <w:tr>
        <w:tc>
          <w:tcPr>
            <w:tcW w:type="dxa" w:w="1872"/>
          </w:tcPr>
          <w:p>
            <w:pPr>
              <w:spacing w:after="20"/>
            </w:pPr>
            <w:r>
              <w:rPr>
                <w:color w:val="1C3A36"/>
                <w:sz w:val="15"/>
              </w:rPr>
              <w:t>wd_term</w:t>
            </w:r>
          </w:p>
        </w:tc>
        <w:tc>
          <w:tcPr>
            <w:tcW w:type="dxa" w:w="1440"/>
          </w:tcPr>
          <w:p>
            <w:pPr>
              <w:spacing w:after="20"/>
            </w:pPr>
            <w:r>
              <w:rPr>
                <w:color w:val="1C3A36"/>
                <w:sz w:val="15"/>
              </w:rPr>
              <w:t>0.1</w:t>
            </w:r>
          </w:p>
        </w:tc>
        <w:tc>
          <w:tcPr>
            <w:tcW w:type="dxa" w:w="1037"/>
          </w:tcPr>
          <w:p>
            <w:pPr>
              <w:spacing w:after="20"/>
            </w:pPr>
            <w:r>
              <w:rPr>
                <w:color w:val="1C3A36"/>
                <w:sz w:val="15"/>
              </w:rPr>
              <w:t>2026-08-06</w:t>
            </w:r>
          </w:p>
        </w:tc>
        <w:tc>
          <w:tcPr>
            <w:tcW w:type="dxa" w:w="5832"/>
          </w:tcPr>
          <w:p>
            <w:pPr>
              <w:spacing w:after="20"/>
            </w:pPr>
            <w:r>
              <w:rPr>
                <w:color w:val="1C3A36"/>
                <w:sz w:val="15"/>
              </w:rPr>
              <w:t>Terminal debt weight, normalised. The company is net cash today and has been for years; a terminal structure carrying a tenth of capital in debt is already generous to the valuation and avoids capitalising the current zero-leverage position into perpetuity</w:t>
            </w:r>
          </w:p>
        </w:tc>
      </w:tr>
      <w:tr>
        <w:tc>
          <w:tcPr>
            <w:tcW w:type="dxa" w:w="1872"/>
          </w:tcPr>
          <w:p>
            <w:pPr>
              <w:spacing w:after="20"/>
            </w:pPr>
            <w:r>
              <w:rPr>
                <w:color w:val="1C3A36"/>
                <w:sz w:val="15"/>
              </w:rPr>
              <w:t>g_term</w:t>
            </w:r>
          </w:p>
        </w:tc>
        <w:tc>
          <w:tcPr>
            <w:tcW w:type="dxa" w:w="1440"/>
          </w:tcPr>
          <w:p>
            <w:pPr>
              <w:spacing w:after="20"/>
            </w:pPr>
            <w:r>
              <w:rPr>
                <w:color w:val="1C3A36"/>
                <w:sz w:val="15"/>
              </w:rPr>
              <w:t>0.05</w:t>
            </w:r>
          </w:p>
        </w:tc>
        <w:tc>
          <w:tcPr>
            <w:tcW w:type="dxa" w:w="1037"/>
          </w:tcPr>
          <w:p>
            <w:pPr>
              <w:spacing w:after="20"/>
            </w:pPr>
            <w:r>
              <w:rPr>
                <w:color w:val="1C3A36"/>
                <w:sz w:val="15"/>
              </w:rPr>
              <w:t>2026-08-06</w:t>
            </w:r>
          </w:p>
        </w:tc>
        <w:tc>
          <w:tcPr>
            <w:tcW w:type="dxa" w:w="5832"/>
          </w:tcPr>
          <w:p>
            <w:pPr>
              <w:spacing w:after="20"/>
            </w:pPr>
            <w:r>
              <w:rPr>
                <w:color w:val="1C3A36"/>
                <w:sz w:val="15"/>
              </w:rPr>
              <w:t>Terminal growth, 5% — the standing centre for established names in this market once currency turbulence has passed, sensitised 3-7%. An EGP-nominal rate struck against an EGP-nominal terminal risk-free rate</w:t>
            </w:r>
          </w:p>
        </w:tc>
      </w:tr>
      <w:tr>
        <w:tc>
          <w:tcPr>
            <w:tcW w:type="dxa" w:w="1872"/>
          </w:tcPr>
          <w:p>
            <w:pPr>
              <w:spacing w:after="20"/>
            </w:pPr>
            <w:r>
              <w:rPr>
                <w:color w:val="1C3A36"/>
                <w:sz w:val="15"/>
              </w:rPr>
              <w:t>ev_ebitda_just</w:t>
            </w:r>
          </w:p>
        </w:tc>
        <w:tc>
          <w:tcPr>
            <w:tcW w:type="dxa" w:w="1440"/>
          </w:tcPr>
          <w:p>
            <w:pPr>
              <w:spacing w:after="20"/>
            </w:pPr>
            <w:r>
              <w:rPr>
                <w:color w:val="1C3A36"/>
                <w:sz w:val="15"/>
              </w:rPr>
              <w:t>4.5</w:t>
            </w:r>
          </w:p>
        </w:tc>
        <w:tc>
          <w:tcPr>
            <w:tcW w:type="dxa" w:w="1037"/>
          </w:tcPr>
          <w:p>
            <w:pPr>
              <w:spacing w:after="20"/>
            </w:pPr>
            <w:r>
              <w:rPr>
                <w:color w:val="1C3A36"/>
                <w:sz w:val="15"/>
              </w:rPr>
              <w:t>2026-08-06</w:t>
            </w:r>
          </w:p>
        </w:tc>
        <w:tc>
          <w:tcPr>
            <w:tcW w:type="dxa" w:w="5832"/>
          </w:tcPr>
          <w:p>
            <w:pPr>
              <w:spacing w:after="20"/>
            </w:pPr>
            <w:r>
              <w:rPr>
                <w:color w:val="1C3A36"/>
                <w:sz w:val="15"/>
              </w:rPr>
              <w:t>Justified enterprise-value-to-EBITDA multiple on mid-cycle 2028E EBITDA. The company's own trailing multiple is around 4.6x on the constructed 2025 base. Group I base-oil refiners and independent lube processors trade 4-6x; 4.5x holds the name at its own trailing level rather than assuming a re-rating. Bear 3.5x / bull 6.0x</w:t>
            </w:r>
          </w:p>
        </w:tc>
      </w:tr>
      <w:tr>
        <w:tc>
          <w:tcPr>
            <w:tcW w:type="dxa" w:w="1872"/>
          </w:tcPr>
          <w:p>
            <w:pPr>
              <w:spacing w:after="20"/>
            </w:pPr>
            <w:r>
              <w:rPr>
                <w:color w:val="1C3A36"/>
                <w:sz w:val="15"/>
              </w:rPr>
              <w:t>pe_just</w:t>
            </w:r>
          </w:p>
        </w:tc>
        <w:tc>
          <w:tcPr>
            <w:tcW w:type="dxa" w:w="1440"/>
          </w:tcPr>
          <w:p>
            <w:pPr>
              <w:spacing w:after="20"/>
            </w:pPr>
            <w:r>
              <w:rPr>
                <w:color w:val="1C3A36"/>
                <w:sz w:val="15"/>
              </w:rPr>
              <w:t>7.5</w:t>
            </w:r>
          </w:p>
        </w:tc>
        <w:tc>
          <w:tcPr>
            <w:tcW w:type="dxa" w:w="1037"/>
          </w:tcPr>
          <w:p>
            <w:pPr>
              <w:spacing w:after="20"/>
            </w:pPr>
            <w:r>
              <w:rPr>
                <w:color w:val="1C3A36"/>
                <w:sz w:val="15"/>
              </w:rPr>
              <w:t>2026-08-06</w:t>
            </w:r>
          </w:p>
        </w:tc>
        <w:tc>
          <w:tcPr>
            <w:tcW w:type="dxa" w:w="5832"/>
          </w:tcPr>
          <w:p>
            <w:pPr>
              <w:spacing w:after="20"/>
            </w:pPr>
            <w:r>
              <w:rPr>
                <w:color w:val="1C3A36"/>
                <w:sz w:val="15"/>
              </w:rPr>
              <w:t>Justified through-cycle price-to-earnings multiple on normalised earnings. Trailing is about 7.5x on the constructed 2025 base. A single-asset processor with a 20% state shareholder, an administered feedstock relationship and an Egyptian cost of equity near 28% does not earn a premium multiple. Bear 5.5x / bull 9.5x</w:t>
            </w:r>
          </w:p>
        </w:tc>
      </w:tr>
      <w:tr>
        <w:tc>
          <w:tcPr>
            <w:tcW w:type="dxa" w:w="1872"/>
          </w:tcPr>
          <w:p>
            <w:pPr>
              <w:spacing w:after="20"/>
            </w:pPr>
            <w:r>
              <w:rPr>
                <w:color w:val="1C3A36"/>
                <w:sz w:val="15"/>
              </w:rPr>
              <w:t>roe_sust</w:t>
            </w:r>
          </w:p>
        </w:tc>
        <w:tc>
          <w:tcPr>
            <w:tcW w:type="dxa" w:w="1440"/>
          </w:tcPr>
          <w:p>
            <w:pPr>
              <w:spacing w:after="20"/>
            </w:pPr>
            <w:r>
              <w:rPr>
                <w:color w:val="1C3A36"/>
                <w:sz w:val="15"/>
              </w:rPr>
              <w:t>0.28</w:t>
            </w:r>
          </w:p>
        </w:tc>
        <w:tc>
          <w:tcPr>
            <w:tcW w:type="dxa" w:w="1037"/>
          </w:tcPr>
          <w:p>
            <w:pPr>
              <w:spacing w:after="20"/>
            </w:pPr>
            <w:r>
              <w:rPr>
                <w:color w:val="1C3A36"/>
                <w:sz w:val="15"/>
              </w:rPr>
              <w:t>2026-08-06</w:t>
            </w:r>
          </w:p>
        </w:tc>
        <w:tc>
          <w:tcPr>
            <w:tcW w:type="dxa" w:w="5832"/>
          </w:tcPr>
          <w:p>
            <w:pPr>
              <w:spacing w:after="20"/>
            </w:pPr>
            <w:r>
              <w:rPr>
                <w:color w:val="1C3A36"/>
                <w:sz w:val="15"/>
              </w:rPr>
              <w:t>Sustainable return on equity for the book lens. Trailing return on average parent equity is about 33%; the sustainable rate is struck below it because the reported figure is flattered by a heavily written-down asset base that will have to be renewed</w:t>
            </w:r>
          </w:p>
        </w:tc>
      </w:tr>
      <w:tr>
        <w:tc>
          <w:tcPr>
            <w:tcW w:type="dxa" w:w="1872"/>
          </w:tcPr>
          <w:p>
            <w:pPr>
              <w:spacing w:after="20"/>
            </w:pPr>
            <w:r>
              <w:rPr>
                <w:color w:val="1C3A36"/>
                <w:sz w:val="15"/>
              </w:rPr>
              <w:t>lens_weights</w:t>
            </w:r>
          </w:p>
        </w:tc>
        <w:tc>
          <w:tcPr>
            <w:tcW w:type="dxa" w:w="1440"/>
          </w:tcPr>
          <w:p>
            <w:pPr>
              <w:spacing w:after="20"/>
            </w:pPr>
            <w:r>
              <w:rPr>
                <w:color w:val="1C3A36"/>
                <w:sz w:val="15"/>
              </w:rPr>
              <w:t>dcf: 0.45; relative: 0.2; normalized: 0.2; book: 0.15</w:t>
            </w:r>
          </w:p>
        </w:tc>
        <w:tc>
          <w:tcPr>
            <w:tcW w:type="dxa" w:w="1037"/>
          </w:tcPr>
          <w:p>
            <w:pPr>
              <w:spacing w:after="20"/>
            </w:pPr>
            <w:r>
              <w:rPr>
                <w:color w:val="1C3A36"/>
                <w:sz w:val="15"/>
              </w:rPr>
              <w:t>2026-08-06</w:t>
            </w:r>
          </w:p>
        </w:tc>
        <w:tc>
          <w:tcPr>
            <w:tcW w:type="dxa" w:w="5832"/>
          </w:tcPr>
          <w:p>
            <w:pPr>
              <w:spacing w:after="20"/>
            </w:pPr>
            <w:r>
              <w:rPr>
                <w:color w:val="1C3A36"/>
                <w:sz w:val="15"/>
              </w:rPr>
              <w:t>Discounted cash flow primary for a single-asset operating processor with a visible volume ramp; the relative and normalised-earnings lenses carry equal secondary weight; the book lens least, because a substantially depreciated plant makes book value a poor proxy for replacement cost</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Recorded rather than filled in. Each of these is a place where a reader with better access can improve the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3024"/>
        <w:gridCol w:w="4176"/>
      </w:tblGrid>
      <w:tr>
        <w:tc>
          <w:tcPr>
            <w:tcW w:type="dxa" w:w="2808"/>
            <w:shd w:val="clear" w:color="auto" w:fill="EAF0EE"/>
          </w:tcPr>
          <w:p>
            <w:pPr>
              <w:spacing w:after="20"/>
            </w:pPr>
            <w:r>
              <w:rPr>
                <w:b/>
                <w:color w:val="1C3A36"/>
                <w:sz w:val="15"/>
              </w:rPr>
              <w:t>What was sought</w:t>
            </w:r>
          </w:p>
        </w:tc>
        <w:tc>
          <w:tcPr>
            <w:tcW w:type="dxa" w:w="3024"/>
            <w:shd w:val="clear" w:color="auto" w:fill="EAF0EE"/>
          </w:tcPr>
          <w:p>
            <w:pPr>
              <w:spacing w:after="20"/>
            </w:pPr>
            <w:r>
              <w:rPr>
                <w:b/>
                <w:color w:val="1C3A36"/>
                <w:sz w:val="15"/>
              </w:rPr>
              <w:t>Why it matters</w:t>
            </w:r>
          </w:p>
        </w:tc>
        <w:tc>
          <w:tcPr>
            <w:tcW w:type="dxa" w:w="4176"/>
            <w:shd w:val="clear" w:color="auto" w:fill="EAF0EE"/>
          </w:tcPr>
          <w:p>
            <w:pPr>
              <w:spacing w:after="20"/>
            </w:pPr>
            <w:r>
              <w:rPr>
                <w:b/>
                <w:color w:val="1C3A36"/>
                <w:sz w:val="15"/>
              </w:rPr>
              <w:t>Outcome</w:t>
            </w:r>
          </w:p>
        </w:tc>
      </w:tr>
      <w:tr>
        <w:tc>
          <w:tcPr>
            <w:tcW w:type="dxa" w:w="2808"/>
          </w:tcPr>
          <w:p>
            <w:pPr>
              <w:spacing w:after="20"/>
            </w:pPr>
            <w:r>
              <w:rPr>
                <w:color w:val="1C3A36"/>
                <w:sz w:val="15"/>
              </w:rPr>
              <w:t>The audited consolidated financial statements for the year to 30 June 2025 and the transition period to 31 December 2025</w:t>
            </w:r>
          </w:p>
        </w:tc>
        <w:tc>
          <w:tcPr>
            <w:tcW w:type="dxa" w:w="3024"/>
          </w:tcPr>
          <w:p>
            <w:pPr>
              <w:spacing w:after="20"/>
            </w:pPr>
            <w:r>
              <w:rPr>
                <w:color w:val="1C3A36"/>
                <w:sz w:val="15"/>
              </w:rPr>
              <w:t>Would replace the entire reconstructed balance sheet and the closed income statement with disclosed lines</w:t>
            </w:r>
          </w:p>
        </w:tc>
        <w:tc>
          <w:tcPr>
            <w:tcW w:type="dxa" w:w="4176"/>
          </w:tcPr>
          <w:p>
            <w:pPr>
              <w:spacing w:after="20"/>
            </w:pPr>
            <w:r>
              <w:rPr>
                <w:color w:val="1C3A36"/>
                <w:sz w:val="15"/>
              </w:rPr>
              <w:t>NOT REACHED. The company's investor-relations site and its published statement PDFs refused connection under the network policy in force</w:t>
            </w:r>
          </w:p>
        </w:tc>
      </w:tr>
      <w:tr>
        <w:tc>
          <w:tcPr>
            <w:tcW w:type="dxa" w:w="2808"/>
          </w:tcPr>
          <w:p>
            <w:pPr>
              <w:spacing w:after="20"/>
            </w:pPr>
            <w:r>
              <w:rPr>
                <w:color w:val="1C3A36"/>
                <w:sz w:val="15"/>
              </w:rPr>
              <w:t>The exchange's own disclosure pages for the company</w:t>
            </w:r>
          </w:p>
        </w:tc>
        <w:tc>
          <w:tcPr>
            <w:tcW w:type="dxa" w:w="3024"/>
          </w:tcPr>
          <w:p>
            <w:pPr>
              <w:spacing w:after="20"/>
            </w:pPr>
            <w:r>
              <w:rPr>
                <w:color w:val="1C3A36"/>
                <w:sz w:val="15"/>
              </w:rPr>
              <w:t>Would confirm the transition-period filing and the year-end change directly rather than through reporting of them</w:t>
            </w:r>
          </w:p>
        </w:tc>
        <w:tc>
          <w:tcPr>
            <w:tcW w:type="dxa" w:w="4176"/>
          </w:tcPr>
          <w:p>
            <w:pPr>
              <w:spacing w:after="20"/>
            </w:pPr>
            <w:r>
              <w:rPr>
                <w:color w:val="1C3A36"/>
                <w:sz w:val="15"/>
              </w:rPr>
              <w:t>NOT REACHED. Same cause</w:t>
            </w:r>
          </w:p>
        </w:tc>
      </w:tr>
      <w:tr>
        <w:tc>
          <w:tcPr>
            <w:tcW w:type="dxa" w:w="2808"/>
          </w:tcPr>
          <w:p>
            <w:pPr>
              <w:spacing w:after="20"/>
            </w:pPr>
            <w:r>
              <w:rPr>
                <w:color w:val="1C3A36"/>
                <w:sz w:val="15"/>
              </w:rPr>
              <w:t>An AUDITED segmental or product-line revenue note</w:t>
            </w:r>
          </w:p>
        </w:tc>
        <w:tc>
          <w:tcPr>
            <w:tcW w:type="dxa" w:w="3024"/>
          </w:tcPr>
          <w:p>
            <w:pPr>
              <w:spacing w:after="20"/>
            </w:pPr>
            <w:r>
              <w:rPr>
                <w:color w:val="1C3A36"/>
                <w:sz w:val="15"/>
              </w:rPr>
              <w:t>The three-line build used here rests on a reported product table — tonnes and value for base oils, paraffin wax and the total — rather than on an audited segment note</w:t>
            </w:r>
          </w:p>
        </w:tc>
        <w:tc>
          <w:tcPr>
            <w:tcW w:type="dxa" w:w="4176"/>
          </w:tcPr>
          <w:p>
            <w:pPr>
              <w:spacing w:after="20"/>
            </w:pPr>
            <w:r>
              <w:rPr>
                <w:color w:val="1C3A36"/>
                <w:sz w:val="15"/>
              </w:rPr>
              <w:t>PARTIALLY REACHED. The product table was obtained in reported form, not from the filing itself, and is flagged as such at its input. It was validated three ways before adoption: the two disclosed shares are internally coherent (12.35% of tonnes against 20.60% of value); the implied dollar realisations of USD 1,100, 1,007 and 578 a tonne are the right levels and the right ORDER for SN-grade base oil, fully refined paraffin and a gas-oil blend; and rolling the three lines forward reproduces the independently built calendar-2025 revenue to within 12.0% once the implied crude equivalent is carried across. No price in the model is calibrated, none is a residual, and the crack multiples the table implies — base oil near 1.9x crude parity, wax near 1.7x, the fuel slate at parity — are the textbook shape for this configuration</w:t>
            </w:r>
          </w:p>
        </w:tc>
      </w:tr>
      <w:tr>
        <w:tc>
          <w:tcPr>
            <w:tcW w:type="dxa" w:w="2808"/>
          </w:tcPr>
          <w:p>
            <w:pPr>
              <w:spacing w:after="20"/>
            </w:pPr>
            <w:r>
              <w:rPr>
                <w:color w:val="1C3A36"/>
                <w:sz w:val="15"/>
              </w:rPr>
              <w:t>A disclosed non-controlling-interest balance or profit share</w:t>
            </w:r>
          </w:p>
        </w:tc>
        <w:tc>
          <w:tcPr>
            <w:tcW w:type="dxa" w:w="3024"/>
          </w:tcPr>
          <w:p>
            <w:pPr>
              <w:spacing w:after="20"/>
            </w:pPr>
            <w:r>
              <w:rPr>
                <w:color w:val="1C3A36"/>
                <w:sz w:val="15"/>
              </w:rPr>
              <w:t>The minority deduction in the bridge is inferred from the gap between consolidated and standalone profit</w:t>
            </w:r>
          </w:p>
        </w:tc>
        <w:tc>
          <w:tcPr>
            <w:tcW w:type="dxa" w:w="4176"/>
          </w:tcPr>
          <w:p>
            <w:pPr>
              <w:spacing w:after="20"/>
            </w:pPr>
            <w:r>
              <w:rPr>
                <w:color w:val="1C3A36"/>
                <w:sz w:val="15"/>
              </w:rPr>
              <w:t>NOT FOUND. Held at 3.0% and sensitised to 6%, which moves the answer by -2.5%</w:t>
            </w:r>
          </w:p>
        </w:tc>
      </w:tr>
      <w:tr>
        <w:tc>
          <w:tcPr>
            <w:tcW w:type="dxa" w:w="2808"/>
          </w:tcPr>
          <w:p>
            <w:pPr>
              <w:spacing w:after="20"/>
            </w:pPr>
            <w:r>
              <w:rPr>
                <w:color w:val="1C3A36"/>
                <w:sz w:val="15"/>
              </w:rPr>
              <w:t>A disclosed depreciation charge, capital-expenditure actual, or property, plant and equipment balance</w:t>
            </w:r>
          </w:p>
        </w:tc>
        <w:tc>
          <w:tcPr>
            <w:tcW w:type="dxa" w:w="3024"/>
          </w:tcPr>
          <w:p>
            <w:pPr>
              <w:spacing w:after="20"/>
            </w:pPr>
            <w:r>
              <w:rPr>
                <w:color w:val="1C3A36"/>
                <w:sz w:val="15"/>
              </w:rPr>
              <w:t>All three are drivers of the free-cash-flow waterfall</w:t>
            </w:r>
          </w:p>
        </w:tc>
        <w:tc>
          <w:tcPr>
            <w:tcW w:type="dxa" w:w="4176"/>
          </w:tcPr>
          <w:p>
            <w:pPr>
              <w:spacing w:after="20"/>
            </w:pPr>
            <w:r>
              <w:rPr>
                <w:color w:val="1C3A36"/>
                <w:sz w:val="15"/>
              </w:rPr>
              <w:t>NOT FOUND as disclosed lines. The capital budget of EGP 580.19mn is disclosed and is used as the anchor; depreciation is set as a share of revenue and property, plant and equipment is the residual against disclosed total assets</w:t>
            </w:r>
          </w:p>
        </w:tc>
      </w:tr>
      <w:tr>
        <w:tc>
          <w:tcPr>
            <w:tcW w:type="dxa" w:w="2808"/>
          </w:tcPr>
          <w:p>
            <w:pPr>
              <w:spacing w:after="20"/>
            </w:pPr>
            <w:r>
              <w:rPr>
                <w:color w:val="1C3A36"/>
                <w:sz w:val="15"/>
              </w:rPr>
              <w:t>A traded credit-default-swap quote for Egypt as at August 2026</w:t>
            </w:r>
          </w:p>
        </w:tc>
        <w:tc>
          <w:tcPr>
            <w:tcW w:type="dxa" w:w="3024"/>
          </w:tcPr>
          <w:p>
            <w:pPr>
              <w:spacing w:after="20"/>
            </w:pPr>
            <w:r>
              <w:rPr>
                <w:color w:val="1C3A36"/>
                <w:sz w:val="15"/>
              </w:rPr>
              <w:t>The sovereign spread netted out of the risk-free rate</w:t>
            </w:r>
          </w:p>
        </w:tc>
        <w:tc>
          <w:tcPr>
            <w:tcW w:type="dxa" w:w="4176"/>
          </w:tcPr>
          <w:p>
            <w:pPr>
              <w:spacing w:after="20"/>
            </w:pPr>
            <w:r>
              <w:rPr>
                <w:color w:val="1C3A36"/>
                <w:sz w:val="15"/>
              </w:rPr>
              <w:t>NOT REACHED live. The January-2026 published country-premium file is used, and the rating-basis alternative is computed and published as a value</w:t>
            </w:r>
          </w:p>
        </w:tc>
      </w:tr>
      <w:tr>
        <w:tc>
          <w:tcPr>
            <w:tcW w:type="dxa" w:w="2808"/>
          </w:tcPr>
          <w:p>
            <w:pPr>
              <w:spacing w:after="20"/>
            </w:pPr>
            <w:r>
              <w:rPr>
                <w:color w:val="1C3A36"/>
                <w:sz w:val="15"/>
              </w:rPr>
              <w:t>Listed peer multiples for Egyptian or regional lubricant base-oil processors</w:t>
            </w:r>
          </w:p>
        </w:tc>
        <w:tc>
          <w:tcPr>
            <w:tcW w:type="dxa" w:w="3024"/>
          </w:tcPr>
          <w:p>
            <w:pPr>
              <w:spacing w:after="20"/>
            </w:pPr>
            <w:r>
              <w:rPr>
                <w:color w:val="1C3A36"/>
                <w:sz w:val="15"/>
              </w:rPr>
              <w:t>The relative lens</w:t>
            </w:r>
          </w:p>
        </w:tc>
        <w:tc>
          <w:tcPr>
            <w:tcW w:type="dxa" w:w="4176"/>
          </w:tcPr>
          <w:p>
            <w:pPr>
              <w:spacing w:after="20"/>
            </w:pPr>
            <w:r>
              <w:rPr>
                <w:color w:val="1C3A36"/>
                <w:sz w:val="15"/>
              </w:rPr>
              <w:t>NO DIRECT LISTED COMPARATOR EXISTS — the company is the only listed refinery on the exchange. The multiple range used is taken from the international Group I base-oil and independent-processor band and is disclosed as such rather than presented as a peer set</w:t>
            </w:r>
          </w:p>
        </w:tc>
      </w:tr>
    </w:tbl>
    <w:p>
      <w:pPr>
        <w:spacing w:after="40"/>
      </w:pPr>
    </w:p>
    <w:p>
      <w:pPr>
        <w:spacing w:after="80" w:before="240"/>
      </w:pPr>
      <w:r>
        <w:rPr>
          <w:b/>
          <w:i w:val="0"/>
          <w:color w:val="1C3A36"/>
          <w:sz w:val="26"/>
        </w:rPr>
        <w:t>Method note</w:t>
      </w:r>
    </w:p>
    <w:p>
      <w:pPr>
        <w:spacing w:after="100" w:before="0"/>
      </w:pPr>
      <w:r>
        <w:rPr>
          <w:b w:val="0"/>
          <w:i w:val="0"/>
          <w:color w:val="1C3A36"/>
          <w:sz w:val="20"/>
        </w:rPr>
        <w:t>All financial arithmetic in the study originates in an executed, asserting compute script. Every hardcoded figure enters through the four-field register reproduced above; the script refuses to emit its results unless the enterprise-to-equity bridge closes exactly, terminal value as a percentage of enterprise value is computed and printed, the implied fair value sits inside a stated plausibility band, and net debt and minority interests carry the correct signs into the bridge.</w:t>
      </w:r>
    </w:p>
    <w:p>
      <w:pPr>
        <w:spacing w:after="100" w:before="0"/>
      </w:pPr>
      <w:r>
        <w:rPr>
          <w:b w:val="0"/>
          <w:i w:val="0"/>
          <w:color w:val="1C3A36"/>
          <w:sz w:val="20"/>
        </w:rPr>
        <w:t>The companion workbook was verified on the DELIVERED file rather than on the script that wrote it: every formula cell was independently re-evaluated and required to reproduce the model's own value with none unresolvable and none unchecked, and every input was perturbed in place with the whole workbook re-evaluated to confirm it moves the headline in the asserted direction.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