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90" w:type="dxa"/>
          <w:left w:w="160" w:type="dxa"/>
          <w:bottom w:w="90" w:type="dxa"/>
          <w:right w:w="160" w:type="dxa"/>
        </w:tblCellMar>
      </w:tblPr>
      <w:tblGrid>
        <w:gridCol w:w="10080"/>
      </w:tblGrid>
      <w:tr>
        <w:tc>
          <w:tcPr>
            <w:tcW w:type="dxa" w:w="10080"/>
            <w:shd w:val="clear" w:color="auto" w:fill="1C3A36"/>
          </w:tcPr>
          <w:p>
            <w:r>
              <w:rPr>
                <w:b/>
                <w:color w:val="FFFFFF"/>
                <w:sz w:val="22"/>
              </w:rPr>
              <w:t>Testahil · Independent Valuation Study — Educational Analysis</w:t>
            </w:r>
            <w:r>
              <w:rPr>
                <w:color w:val="9FB0AC"/>
                <w:sz w:val="19"/>
              </w:rPr>
              <w:t xml:space="preserve">   Not investment advice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b/>
          <w:i w:val="0"/>
          <w:color w:val="1C3A36"/>
          <w:sz w:val="40"/>
        </w:rPr>
        <w:t>Modon Holding PSC — bibliography and input register</w:t>
      </w:r>
    </w:p>
    <w:p>
      <w:pPr>
        <w:spacing w:after="200" w:before="0"/>
      </w:pPr>
      <w:r>
        <w:rPr>
          <w:b w:val="0"/>
          <w:i w:val="0"/>
          <w:color w:val="6E7B77"/>
          <w:sz w:val="21"/>
        </w:rPr>
        <w:t>Companion to the 9 August 2026 valuation study · ADX: MODON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1 · Primary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4176"/>
        <w:gridCol w:w="1512"/>
        <w:gridCol w:w="2304"/>
        <w:gridCol w:w="2016"/>
      </w:tblGrid>
      <w:tr>
        <w:tc>
          <w:tcPr>
            <w:tcW w:type="dxa" w:w="417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Document</w:t>
            </w:r>
          </w:p>
        </w:tc>
        <w:tc>
          <w:tcPr>
            <w:tcW w:type="dxa" w:w="151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Period</w:t>
            </w:r>
          </w:p>
        </w:tc>
        <w:tc>
          <w:tcPr>
            <w:tcW w:type="dxa" w:w="23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Retrieved from</w:t>
            </w:r>
          </w:p>
        </w:tc>
        <w:tc>
          <w:tcPr>
            <w:tcW w:type="dxa" w:w="20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Used for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Modon Holding PSC (signed 18 Feb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+ FY2024 comparatives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 (fy-2025-adx.pdf)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all FY2025/FY2024 statement lines, notes 1–36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Modon Holding PSC (scanned original)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FY2024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cross-check only (no text layer; figures from the FY2025 comparatives)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Audited consolidated financial statements, Q Holding PSC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 + FY2022 comparatives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FY2023/FY2022 statement lines (predecessor perimeter)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Interim condensed consolidated financial statements (reviewed)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H1-2026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study-year actuals; 31-Dec-2025 comparative cross-checks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Annual Report 2025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investor relations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segment KPIs, masterplan disclosures, sales/units, backlog composition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FY2025 results announcement (18 Feb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media centre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backlog AED 46.0bn, adjusted EBITDA, net-cash definition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ADX disclosure portal copies of the above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various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apigateway.adx.ae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availability confirmed; not needed as the company site served everything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UAE MoF/CBUAE dirham treasury auction results (July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wam.ae (state news agency reporting the official auction)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AED sovereign yield 4.48% (Jan-2031 tranche)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Damodaran country risk dataset (ctryprem), January 2026 update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Jan-2026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pages.stern.nyu.edu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UAE Aa2 row: default spread 0.42%, ERP 4.87%; Egypt row for the stress case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ADREC Abu Dhabi Real Estate Market Report 2025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adrec.gov.ae / mediaoffice.abudhabi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market size, growth, off-plan share, foreign-buyer share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Aldar Q4-FY25 results release · Emaar FY2025 release · Emaar Development FY2025 release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aldar.com / emaar.com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peer fundamentals (cross-check only)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Turner &amp; Townsend UAE Market Intelligence 2025; MEED/Currie &amp; Brown 2026 outlooks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2025-26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public summaries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construction-cost escalator (~3-4.5%/yr)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CBUAE EIBOR fixings (31 Mar 2026 set)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secondary mirrors (CBUAE page returned HTTP 403 at this session's network; logged)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6M EIBOR 3.71%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H1-2026 results announcement (29 Jul 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H1-2026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modon.com media centre (verified via official-release syndication)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backlog 65.4bn/95% dev; H1 sales 26bn; net debt 912; unrestricted cash 8.6bn; adj. EBITDA 3.0bn; 3,613 keys/16 hotels — the revision-2 restrike anchors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Damodaran emerging-markets industry betas (betaemerg.xls, saved 07-Jan-2026)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Jan-2026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pages.stern.nyu.edu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industry-beta cross-check (RE Development unlevered 0.45; rejected as primary, receipt in the study)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Uploaded ADX daily price history for MODON (1,577 sessions, Dec-2017 – Aug-2026)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to 7 Aug 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user-supplied export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price anchor, volatility model, technical read, beta regression (against the official index below)</w:t>
            </w:r>
          </w:p>
        </w:tc>
      </w:tr>
      <w:tr>
        <w:tc>
          <w:tcPr>
            <w:tcW w:type="dxa" w:w="417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FTSE ADX General Index daily history (3,884 sessions, Jan-2011 – Jul-2026)</w:t>
            </w:r>
          </w:p>
        </w:tc>
        <w:tc>
          <w:tcPr>
            <w:tcW w:type="dxa" w:w="151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to 24 Jul 2026</w:t>
            </w:r>
          </w:p>
        </w:tc>
        <w:tc>
          <w:tcPr>
            <w:tcW w:type="dxa" w:w="23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user-supplied export</w:t>
            </w:r>
          </w:p>
        </w:tc>
        <w:tc>
          <w:tcPr>
            <w:tcW w:type="dxa" w:w="201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beta regressor — the stock's own local index; screened for data quality (249.7 sessions a year on ADX's calendar, no impossible moves, no repairs needed)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2 · Negative results — searched, not found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2736"/>
        <w:gridCol w:w="3384"/>
        <w:gridCol w:w="3888"/>
      </w:tblGrid>
      <w:tr>
        <w:tc>
          <w:tcPr>
            <w:tcW w:type="dxa" w:w="27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sought</w:t>
            </w:r>
          </w:p>
        </w:tc>
        <w:tc>
          <w:tcPr>
            <w:tcW w:type="dxa" w:w="338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Where</w:t>
            </w:r>
          </w:p>
        </w:tc>
        <w:tc>
          <w:tcPr>
            <w:tcW w:type="dxa" w:w="388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Outcome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FTSE ADX General Index daily history (beta regressor)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stooq (^adx, ^adi, adsmi — JS challenge); Yahoo Finance FADGI.FGI / FADX15.FGI / ^ADI / ^ADSMI (v8 and v2, rate-limited); investing.com page + API; TradingEconomics chart API; WSJ/MarketWatch charting API; FMP; adx.ae + apigateway.adx.ae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CLOSED at revision 3 — ten sources failed over two sessions and the series was supplied directly by the requester on 10-Aug-2026 (3,884 sessions, 02-Jan-2011 to 24-Jul-2026). Beta is now the tier-1 own-stock regression against the official index; the proxy composite is retired. The failure was not cosmetic: the proxy under-read beta at every window (5y 1.118 vs 1.278 official), because the official index is 1.30x less volatile than the composite at a similar correlation. Logged here because a negative result that is later closed is evidence about how much the substitute cost.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UAE sovereign CDS spread (for a CDS-basis equity premium)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Damodaran ctryprem, January 2026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Published as NA for the UAE — no CDS-basis cost of capital can be built; the rating basis stands alone.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Quantified remaining-performance-obligation (backlog) table inside the audited statements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financial statements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 at that level in the notes; the AED 46.0bn backlog and its 93% development share come from the results announcement and annual report.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Per-project volumes and prices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annual report, results releases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Disclosed only as totals (units and value by geography); the revenue build therefore stops at segment level with unit-level anchors, and says so.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 dividend policy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results release, annual report, statements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None paid to owners in FY2024–25, none proposed — the zero in the model is sourced.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Real-estate/events technology substitution risk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sector press 2025-26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material found.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Sanctions or supply-chain exposure relevant to the model</w:t>
            </w:r>
          </w:p>
        </w:tc>
        <w:tc>
          <w:tcPr>
            <w:tcW w:type="dxa" w:w="338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sector press 2025-26</w:t>
            </w:r>
          </w:p>
        </w:tc>
        <w:tc>
          <w:tcPr>
            <w:tcW w:type="dxa" w:w="388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material found.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3 · Judgements — and what would overturn each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2880"/>
        <w:gridCol w:w="3528"/>
        <w:gridCol w:w="3600"/>
      </w:tblGrid>
      <w:tr>
        <w:tc>
          <w:tcPr>
            <w:tcW w:type="dxa" w:w="28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Judgement</w:t>
            </w:r>
          </w:p>
        </w:tc>
        <w:tc>
          <w:tcPr>
            <w:tcW w:type="dxa" w:w="35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Basis</w:t>
            </w:r>
          </w:p>
        </w:tc>
        <w:tc>
          <w:tcPr>
            <w:tcW w:type="dxa" w:w="36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would overturn it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Base sales path: post-H1 new sales AED 12bn (H2-26), then 30bn fading to 21bn/yr — every year below the 52bn annualised H1 pace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H1-2026 ACTUAL sales of 26bn; ADREC structural demand; Modon share of Abu Dhabi residential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two consecutive halves of new sales below AED 8bn, or an Abu Dhabi residential downturn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Development margin glide 41% → 38%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43.7% and H1-2026 41.3% actuals; construction escalator vs price escalation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arms-length land sales clearing below 20% gross margin; tender inflation &gt;6%/yr sustained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Working capital: component build absorbs through FY2028, releases only late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receivable days 440 at both audited anchors; advances cover 1.86x and declining; land-bank draw vs new-WIP add — calibrated at 31-Dec-25 and 30-Jun-26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FY2026 statements showing receivable days rising above ~470, or advances cover falling faster than assumed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Tax at 15.5% (DMTT floor + foreign uplift)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note 11 (DMTT charged from 2025); H1-2026 effective 15.4%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DMTT carve-out, or foreign profits growing beyond ~1/4 of the mix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Beta 1.746 — own-stock weekly regression vs the exchange's published index (FTSE ADX General), thin-trading corrected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253 weekly observations over 4.9 years to 17-Jul-2026: SE 0.397, R² 0.128, 90% range 1.09-2.40, usability gate PASS. The thin-trading correction is worth +0.35 of beta (uncorrected 1.394 on the same weeks) and is warranted by a float with 84.75% in one holder. Long-run-adjusted cross-check 1.497; industry route rejected as primary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wide interval resolving low — at the bottom of the 90% range the cash-flow lens is worth materially more; equally, a longer index history or a less thinly traded float could move it either way. This is the study's largest single exposure to one input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Terminal ROIC 8.5% — between the FY2025 clean 6.1% and the model's own forward path (~15%)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at-cost land bank converting to recognised profit; deliberate mean-reversion below the path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land monetisation stalling: at the clean achieved return the terminal value falls ~16% and the DCF ~11% (computed, not estimated)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No conflict premium in the cost of equity (mid-2026 regional practice was +1pt)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July-2026 AED sovereign auction at ~4bp over US Treasuries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regional escalation reflected in the sovereign curve — re-add the point (strip shown)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Lens weights 40/20/20/20</w:t>
            </w:r>
          </w:p>
        </w:tc>
        <w:tc>
          <w:tcPr>
            <w:tcW w:type="dxa" w:w="352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contracted backlog justifies a DCF anchor; tight float keeps market lenses honest</w:t>
            </w:r>
          </w:p>
        </w:tc>
        <w:tc>
          <w:tcPr>
            <w:tcW w:type="dxa" w:w="360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float event or dividend policy would raise the market lenses' weight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3b · Corrections adopted at revisions 2 and 3 (external audits, re-audit, official index)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944"/>
        <w:gridCol w:w="2520"/>
        <w:gridCol w:w="2808"/>
        <w:gridCol w:w="2880"/>
      </w:tblGrid>
      <w:tr>
        <w:tc>
          <w:tcPr>
            <w:tcW w:type="dxa" w:w="19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Item</w:t>
            </w:r>
          </w:p>
        </w:tc>
        <w:tc>
          <w:tcPr>
            <w:tcW w:type="dxa" w:w="252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First edition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Revision 2</w:t>
            </w:r>
          </w:p>
        </w:tc>
        <w:tc>
          <w:tcPr>
            <w:tcW w:type="dxa" w:w="28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Why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Development backlog driver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42,600 (31-Dec-25)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62,130 (30-Jun-26, 65.4bn × 95%)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H1-2026 release superseded the anchor 11 days before publication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FY2026 new development sales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26,000 assumed for the full year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AED 26bn H1 ACTUAL + 12bn H2 assumption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the assumption was already achieved in six months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Bridge cash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gross 12,642 incl. ~4.0bn escrow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available 8,600 (disclosed)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escrow funds completion of the backlog being valued — double-count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Bridge date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31-Dec-2025 rolled 219 days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30-Jun-2026 rolled 38 days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the balance sheet moved against the roll across that window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debt weight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assumed 15%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derived from the model's own FY2030E (~8%)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internal coherence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Working capital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assumed release schedule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component build (days/cover/land-bank), absorbing through FY2028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H1 actuals show absorption while growth runs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D&amp;A driver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4.2% of revenue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3.4% on the average asset base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asset-base charge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Beta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1.0 assumed (tier-3)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1.03 regressed vs panel proxy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evidence obtained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Beta (revision 3)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1.03 vs a self-built composite of covered names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1.746 vs the exchange's published index, thin-trading corrected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the official index was obtained; a composite of covered names is a coverage artefact, not a market. Two separate corrections, both upward: the benchmark swap (+0.36, the index is less volatile than the composite) and the thin-trading correction (+0.35, 84.75% of the float is held by one entity)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Peer table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mixed bases/vintages; multiples irreconcilable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one attributable basis, every multiple = printed numerator/denominator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Aldar backlog was the 9M-2025 vintage; Emaar Dev backlog was the parent's figure; Emaar NP was disclosed, not n/d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Relative lens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silent average of two legs 43% apart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P/E leg only; EV/EBITDA a labelled unanchored cross-check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method disagreement was hidden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NCI in the bridge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book 847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capitalised max(book, 2% of equity value)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consolidated premium implies NCI premium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Expert 3 multiple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6.5x called the "centre"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6.2x = the stated mean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the statistic now matches its label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Expert 1 land mark-up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35% called "half of 67%"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33.7% = exactly half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wording-number mismatch (self-found)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Sensitivity grid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centre cell ≠ base case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rebuilt; centre = base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convention mismatch between grid and base</w:t>
            </w:r>
          </w:p>
        </w:tc>
      </w:tr>
      <w:tr>
        <w:tc>
          <w:tcPr>
            <w:tcW w:type="dxa" w:w="19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Prose corrections</w:t>
            </w:r>
          </w:p>
        </w:tc>
        <w:tc>
          <w:tcPr>
            <w:tcW w:type="dxa" w:w="252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"worth about AED 1/sh" (WC); "roughly halves" (terminal); "just below the resistance"; MACD at 2dp; conversion-direction caption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each restated with the computed number</w:t>
            </w:r>
          </w:p>
        </w:tc>
        <w:tc>
          <w:tcPr>
            <w:tcW w:type="dxa" w:w="2880"/>
          </w:tcPr>
          <w:p>
            <w:pPr>
              <w:spacing w:after="20"/>
              <w:jc w:val="right"/>
            </w:pPr>
            <w:r>
              <w:rPr>
                <w:color w:val="1C3A36"/>
                <w:sz w:val="15"/>
              </w:rPr>
              <w:t>audit findings, all verified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4 · Aggregator-discrepancy notes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72"/>
        <w:gridCol w:w="3096"/>
        <w:gridCol w:w="2808"/>
        <w:gridCol w:w="2232"/>
      </w:tblGrid>
      <w:tr>
        <w:tc>
          <w:tcPr>
            <w:tcW w:type="dxa" w:w="18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Item</w:t>
            </w:r>
          </w:p>
        </w:tc>
        <w:tc>
          <w:tcPr>
            <w:tcW w:type="dxa" w:w="309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Primary figure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Aggregator figure</w:t>
            </w:r>
          </w:p>
        </w:tc>
        <w:tc>
          <w:tcPr>
            <w:tcW w:type="dxa" w:w="223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Resolution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MODON trailing P/E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computed 11.78x (46,262/3,926, group profit basis)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stockanalysis.com shows 11.33x (attributable basis)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both stated; the study quotes its own computed basis and labels it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FY2024 net profit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AED 9,389mn as reported (incl. AED 9,192mn bargain gain)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some feeds show ~AED 197mn ("adjusted")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both framings carried throughout (dual-framed)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Shares outstanding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16,347,080 thousand (note 23)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16.35bn (rounded)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note 23 figure used everywhere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EIBOR</w:t>
            </w:r>
          </w:p>
        </w:tc>
        <w:tc>
          <w:tcPr>
            <w:tcW w:type="dxa" w:w="3096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CBUAE official page unreachable (403) this session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mirrors quote 3M 3.66% / 6M 3.71% (31-Mar-2026 set)</w:t>
            </w:r>
          </w:p>
        </w:tc>
        <w:tc>
          <w:tcPr>
            <w:tcW w:type="dxa" w:w="223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mirror figures used, dated, and flagged as secondary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5 · The full input register</w:t>
      </w:r>
    </w:p>
    <w:p>
      <w:pPr>
        <w:spacing w:after="120" w:before="0"/>
      </w:pPr>
      <w:r>
        <w:rPr>
          <w:b w:val="0"/>
          <w:i w:val="0"/>
          <w:color w:val="1C3A36"/>
          <w:sz w:val="19"/>
        </w:rPr>
        <w:t>Every input the model consumes — 208 entries — with value, source and date, grouped by research layer. Values are AED million unless the label says otherwise.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Market layer — 1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spot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2.83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Uploaded ADX daily price history, last close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Company layer — 148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shares_mn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16,347.08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capital note 23: 16,347,080 thousand shares of AED 1 each,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994.293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 (revenue from contracts 473.338 + rental 409.058 + dividends 111.897),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6,511.182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13,828.869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Consolidated statement of profit or loss,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2,316.507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5,025.259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fin_inc_fy25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262.923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 note 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fin_cost_fy25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390.389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costs note 10,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fin_inc_fy24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126.776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fin_cost_fy24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283.443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costs,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263.592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profit from associates and joint ventures note 17,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115.114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profit from associates and JVs,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4,421.195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 0.182,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9,488.267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ebt_fy23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653.455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 incl. discontinued 4.051,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495.49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 note 11 (incl. DMTT 350.356),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98.815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79.504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3,925.705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9,389.452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573.951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year after tax,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4,020.102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 of the Parent,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9,423.191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npa_fy23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461.269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 of the Parent,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bargain_fy24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9,192.243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Bargain purchase gain on acquisition of subsidiaries, note 4.2,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610.483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on PP&amp;E 468.264 + amortisation 76.645 + right-of-use depreciation 65.574, cash flow statement adjustments,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265.122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Same three lines,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27.719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and amortisation lines, cash flow statement,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1,547.476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General and administrative expenses note 7,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sm_fy25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266.211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Selling and marketing expenses,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invinc_fy25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338.26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and other income note 8,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fv_ip_fy25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343.426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Fair value gain on revaluation of investment properties note 16,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fv_fvtpl_fy25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221.952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Change in fair value of investments at FVTPL note 18,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disp_assoc_fy25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169.677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Gain on disposal of an associate note 17(ii),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fin_net_fy23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8.518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Finance income (costs), net, note 10,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-0.697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loss from associates and JVs,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impair_fy24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1,024.726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Impairment of PP&amp;E 539.922 + development WIP 406.663 + goodwill 78.141,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ppe_fy25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8,812.397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Property, plant and equipment,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9,461.777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intang_fy25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952.423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Intangible assets and goodwill,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rou_fy25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530.349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Right-of-use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assoc_bv_fy25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3,723.897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associates and JVs,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finass_fy25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394.305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financial assets, non-current 339.620 + current 54.685,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27,297.588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Inventories (land plots 26,610.771 + properties 635.198 + spares 51.619),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dwip_fy25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6,111.794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work-in-progress,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recv_fy25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8,703.594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receivables,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duefr_fy25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7,931.529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from related parties, NC + C (incl. Department of Finance 5,998.151),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12,641.987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 (incl. escrow 3,311.941 + restricted 735.174),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dta_fy25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469.345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Deferred tax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87,030.985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53,902.504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 of the Parent,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847.48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5,136.373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NC 2,943.416 + C 2,192.957, note 29,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rploan_fy25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1,652.713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note 30,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lease_fy25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623.766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Lease liabilities,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pay_fy25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21,407.874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payables,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dueto_fy25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1,693.721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to related parties, NC + C,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taxpay_fy25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468.089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payable,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dtl_fy25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1,131.012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Deferred tax liabilities,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eosb_fy25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167.453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Employees' end of service benefits,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liab_fy25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32,281.001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liabilities,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ppe_fy24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7,593.191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PP&amp;E,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9,336.725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29,586.274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dwip_fy24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2,461.672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WIP,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recv_fy24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3,529.025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receivables,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duefr_fy24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9,314.779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from related parties,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7,009.67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75,925.281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49,676.408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1,186.183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3,711.397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FY2024, note 29,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rploan_fy24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1,652.713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lease_fy24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511.977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Lease liabilities,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pay_fy24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8,248.542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payables,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dueto_fy24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9,781.37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to related parties,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assoc_bv_fy24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2,242.891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associates and JVs, FY2024,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assets_fy23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21,311.081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assets,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eqp_fy23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13,769.094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1,149.566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loans_fy23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1,976.135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borrowings, NC + C,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2,259.902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ip_fy23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7,536.858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properties,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inv_fy23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2,246.917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Inventory properties,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netcash_company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1,800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AED 1.8bn on the company definition (available cash incl. qualifying escrow less total debt incl. the related-party loan), Modon FY2025 results announcement, modon.com media centre, 18-Feb-2026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ocf_fy25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3,860.373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generated from operating activities,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ocf_fy24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3,231.447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from operating activities,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capex_fy25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1,260.566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Purchases of PP&amp;E 1,072.497 + intangibles 25.513 + investment properties 162.556, cash flow statement,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capex_fy24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1,247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Same three lines, FY2024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h1_26_rev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9,188.304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h1_26_gp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3,201.275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profit,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h1_26_pbt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2,601.227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before tax, continuing,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h1_26_pat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2,202.138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for the period,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h1_26_npa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2,162.966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Profit attributable to owners,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h1_26_tax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401.202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Income tax expense,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h1_26_ga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685.124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General and administrative expenses,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h1_26_ocf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-3,921.027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cash used in operating activities (receivables and related-party balances built up AED 5.4bn),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h1_26_loans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8,541.685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Loans and borrowings NC 3,821.289 + C 4,720.396,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h1_26_rploan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Loan from a related party, current,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h1_26_cash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12,303.24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Cash and bank balances,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h1_26_eqp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56,396.629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Equity attributable to owners,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seg_red_rev25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7,403.313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seg_aim_rev25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654.658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seg_hosp_rev25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791.771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seg_ect_rev25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5,008.749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seg_oth_rev25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-29.622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segment (corporate, eliminations),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seg_red_gp25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3,232.891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seg_aim_gp25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421.083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seg_hosp_gp25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210.893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seg_ect_gp25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1,325.029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gross profit,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seg_oth_gp25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-164.637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segment gross loss,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seg_pbt25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2,547.573; aim: 685.082; hosp: -69.15; ect: 1,061.602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profit before tax,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seg_assets25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55,738.581; aim: 11,095.849; hosp: 4,601.757; ect: 14,118.268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assets, note 33,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seg_rev24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red: 2,869.294; aim: 578.358; hosp: 569.87; ect: 2,493.66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revenues FY2024, note 33 comparatives,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h1_seg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rev: red: 5,675.275; aim: 360.966; hosp: 388.398; ect: 2,775.402; gp: red: 2,342.842; aim: 258.38; hosp: 105.504; ect: 552.062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Segment table, note 28,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sales25_total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36,300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real estate sales AED 36.3bn across 6,358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6,358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Units sold across launches,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sales25_uae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29,800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UAE sales (incl. JV) AED 29.8bn across 4,243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units25_uae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4,243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UAE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sales25_intl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6,600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International sales (Egypt+Spain+JV) AED 6.6bn across 2,115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units25_intl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2,115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International units,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backlog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46,000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 backlog AED 46.0bn, 93% development sales, Modon FY2025 results announcement, modon.com media centre, 18-Feb-2026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dev_backlog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42,600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backlog (UAE + Egypt) AED 42.6bn, Modon Annual Report 2025,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h1_backlog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65,400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backlog AED 65.4bn, doubling y/y, +42% vs FY2025;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h1_dev_share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0.95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projects across the UAE and Egypt = 95% of the total backlog;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h1_sales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H1-2026 real estate sales AED 26bn (2.6x H1-2025), incl. AED 23bn Abu Dhabi; Hudayriyat Golf Estates AED 13bn within days;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h1_netdebt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912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debt AED 912mn (0.02x equity) at 30-Jun-2026, company definition;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h1_avail_cash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8,600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AED 8.6bn of unrestricted cash plus AED 1.5bn undrawn committed facilities;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h1_adj_ebitda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2,995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H1-2026 Group Adjusted EBITDA AED 3.0bn, margin 32.6% (32.6% x 9,188 = 2,995);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h1_keys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3,613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 portfolio 3,613 keys across 16 owned, operated and JV hotels (narrower perimeter than the FY2025 report's 7,137 keys across 27 hotels incl. managed);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h1_recurring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3,500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Recurring revenues +22% y/y to AED 3.5bn = 38% of Group revenues; Modon H1-2026 results announcement, modon.com media centre, 29-Jul-2026 (verified via Zawya/WAM syndication of the official release)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h1_lease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644.799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Lease liabilities NC + C,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h1_assoc_bv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2,826.454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associates and JVs,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h1_finass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392.972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in financial assets, NC + C,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h1_nci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922.342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Non-controlling interests,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h1_recv_total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22,155.68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receivables (NC+C) + amounts due from related parties (NC+C), 30-Jun-2026,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h1_inv_dwip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34,087.289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Inventories + development work-in-progress, 30-Jun-2026,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h1_pay_total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22,289.32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and other payables (NC+C, incl. customer advances/contract liabilities) + amounts due to related parties, 30-Jun-2026,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asset_base_30jun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19,736.134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Depreciable base at 30-Jun-2026: PP&amp;E 8,702.928 + investment properties 9,496.084 + right-of-use 529.636 + intangibles 1,007.486,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1.746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TIER 1 — own-stock weekly regression against the PUBLISHED INDEX OF THE EXCHANGE THE STOCK IS LISTED ON (FTSE ADX General, raw_indices/AE/FADGI.csv, as of 2026-07-24), produced by the house regression module and passed through the beta-provenance gate, not by a study-local script. Dimson lead-lag corrected, which matters here: 84.75% of the shares sit with a single holder, and non-synchronous trading biases a naive beta DOWNWARD — the correction is worth +0.352 of beta (1.394 naive on the same weeks). Diagnostics: SE 0.397, R2 0.128, n 253, 90% CI [1.092, 2.399], usability gate PASS. Blume cross-check 1.497. THE CONFIDENCE INTERVAL IS WIDE — this beta is quoted with its interval everywhere it supports a conclusion, never as a precise point. SUPERSEDES both earlier regressors: revision 2 used an equal-weight composite of the house UAE library (1.03 adopted) and an intermediate revision-3 pass used a study-local naive regression on the official series (1.278). A constituent composite is not a substitute and not a tier. The Damodaran EM industry route (business-weighted unlevered 0.50 -&gt; relevered 0.56-0.59) stays REJECTED as a primary: the 786-firm Real-Estate-Development row is dominated by highly-levered Chinese developers (D/E 1.97) unrepresentative of a UAE state platform; it is retained as a lower-bound cross-check. Sensitised in steps of one standard error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beta_record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beta: 1.7458; se: 0.3972; r2: 0.1285; n: 253; ci90: 1.0924 · 2.3991; usable: 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Full beta provenance record as returned by the house regression module and accepted by the beta-provenance gate: regressor, as-of date, diagnostics, confidence interval and conformance flag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beta_naive_same_weeks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beta: 1.3943; se: 0.2383; r2: 0.1192; n: 255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The same regression WITHOUT the Dimson thin-trading correction, on the same weeks, so the correction is visible rather than buried in a default argument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lease_int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Annual interest on lease liabilities (H1-2026 actual ~18 per half), now an explicit input rather than an embedded numeral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fgn_share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0.1708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Revenue OUTSIDE the UAE, FY2025 audited geographic split, note 5 (11,466.934 within / 2,361.935 outside) — recognised REVENUE, not contracted sales; one external audit asserted this split is unpublished; it is note 5 of the audited statements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recurring_base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6,455.178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Recurring/operating legs base = FY2025 AIM + Hospitality + ECT segment revenue (6,455.178), grown 15% to mid-cycle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land_bv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26,610.771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Land plots at cost, note 19, Audited consolidated financial statements FY2025, Modon Holding PSC, signed 18-Feb-2026,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dwip_bv_h1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6,487.697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Development WIP at 30-Jun-2026,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rp_book_h1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10,755.509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Amounts due from related parties NC + C, 30-Jun-2026, Interim condensed consolidated financial statements, 30-Jun-2026 (reviewed, unaudited),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2026-08-07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Company/House layer — 2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gp_fy23_house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599.559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proxy: revenue less contract costs 394.734 (P&amp;L by nature carries no gross-profit line), Audited consolidated financial statements FY2023, Q Holding PSC, modon.com investor relations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2024-02-15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kd_margin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0.0165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Blended forward margin over 6M EIBOR from the note-29 tranche table (+0.60% newest large AED tranche to +2.5% construction; SONIA +0.95-2.05% GBP)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2026-02-18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Country layer — 7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0.0448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AED sovereign anchor: Jan-2031 dirham T-Bond, 4.48% YTM, July-2026 auction, ~4bp over UST (UAE MoF via WAM) — the longest liquid AED government tranche; the tenor choice (4.4y vs a perpetual stream) is stated as a limitation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2026-07-30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sov_spread_rating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0.0042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adjusted default spread, UAE (Aa2), rating basis, January-2026 ctryprem (the July-2026 refresh carries the same UAE parameters per independent verification; vintage stated)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erp_rating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0.0487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total ERP, UAE row, rating basis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erp_cds_na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NA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 UAE sovereign CDS row is published — the CDS-basis WACC cannot be built; rating basis stands alone, stated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eibor6m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EIBOR 6M 3.71% (31-Mar-2026 published set; the CBUAE page again refused this session — fixing retained WITH ITS DATE; a 25bp EIBOR move is ~3bp of WACC)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2026-03-31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cash_yield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Yield on cash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2026-06-17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egy_crp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0.0971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CRP, Egypt (Caa1), 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Industry layer — 2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beta_industry_check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unlevered_weighted: 0.501; relevered_fy25: 0.563; relevered_h1: 0.588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January-2026 EM industry betas (betaemerg.xls, saved 07-Jan-2026): RE Development unlevered 0.452 (cash-corrected, 786 firms, D/E 1.97), RE Operations 0.590, Hotel/Gaming 0.580; gross-profit-weighted and relevered at Modon's structure. Cross-check only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2026-01-07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peers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ALDAR: name: Aldar Properties (ADX); spot: 7.78; shares_mn: 7,862.6; mcap: 61,171; np_attr: 7,548; eps: 0.96; EMAAR: name: Emaar Properties (DFM); spot: 11.5; shares_mn: 8,838; mcap: 101,650; np_attr: 17,599; eps: None; EMAARDEV: name: Emaar Development (DFM); spot: 13.38; shares_mn: 4,000; mcap: 53,520; np_attr: 11,316; eps: None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Peer table REBUILT at revision 2 on one attributable-earnings basis from the peers' own audited filings/releases (figures per the external audits' primary-source checks, adopted after verification); market caps from prices at 07-Aug-2026. Cross-check only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House layer — 48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1800"/>
        <w:gridCol w:w="1656"/>
        <w:gridCol w:w="5616"/>
        <w:gridCol w:w="1080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56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conv_path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0.105 · 0.25 · 0.28 · 0.3 · 0.32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Backlog conversion on opening development backlog (H2-2026 is a half-year rate). Anchor: H1-2026 realised development revenue ex-land 4,237 = 9.9% of the 42,600 opening — a ~20-23% annualised pace on a growing base, stepping up as the record construction book mobilises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new_sales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12,000 · 30,000 · 26,000 · 23,000 · 21,000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New development sales, BASE path, POST-H1 (the AED 26bn H1-2026 actual is already inside the opening backlog): H2-2026 12bn (no assumed repeat of the 13bn Golf Estates launch), then fading 30-&gt;21bn/yr — still below the 52bn annualised H1 run-rate throughout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land_rev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700 · 1,400 · 1,300 · 1,200 · 1,100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Point-in-time land and plot sales: H1-2026 actual was 1,438; tapering path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red_margin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0.41 · 0.4 · 0.39 · 0.385 · 0.38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RED gross margin: FY2025 43.7%, H1-2026 actual 41.3%; glides to 38% as related-party land mix fades and the ~4% tender-price escalator runs ahead of ~2% realised-price escalation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aim_growth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None · 0.09 · 0.085 · 0.08 · 0.08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AIM revenue growth off the FY2026E base; H2-2026E set directly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aim_h2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AIM H2-2026E revenue: H1 actual 361 with contracted occupancy 96% and GLA additions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aim_margin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0.68 · 0.66 · 0.65 · 0.64 · 0.64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AIM gross margin: FY2025 64.3%, H1-2026 actual 71.6%; held near the blend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hosp_growth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None · 0.07 · 0.07 · 0.06 · 0.06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 growth off FY2026E; H2 set directly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hosp_h2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452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 H2-2026E: H1 actual 388 plus the winter-season weighting (H2-2025 was 52% of the year)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hosp_margin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0.29 · 0.28 · 0.29 · 0.3 · 0.3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Hospitality gross margin: H1-2026 actual 27.2%, recovering to 30%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ect_growth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None · 0.045 · 0.043 · 0.041 · 0.039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ECT growth off FY2026E; H2 set directly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ect_h2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ECT H2-2026E: H1 actual 2,775 plus the H2-weighted events season (ADNEC calendar; Arena full-period)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ect_margin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0.29 · 0.27 · 0.275 · 0.28 · 0.28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ECT gross margin: H1-2026 actual 19.9% (temporary-infrastructure mix), recovering toward the FY2025 26.5% as the events season carries H2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oth_rev_f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-30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/ eliminations, full-year rate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oth_gp_f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-120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Others gross loss, full-year rate (H1-2026 actual -57.5)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ga_pct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0.083 · 0.088 · 0.087 · 0.086 · 0.085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G&amp;A / revenue. Anchors stated: FY2025 11.19%; H1-2026 headline 7.46% flattered by a -77.9 ECL reversal — ex-reversal 8.30%. The path glides 8.3% -&gt; 8.5-8.8%, i.e. BELOW FY2025 on realised operating leverage but ABOVE the flattered H1 print. The first edition's conservatism claim is withdrawn: this is a generous assumption relative to FY2025 and is now labelled as such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sm_pct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0.017 · 0.018 · 0.017 · 0.017 · 0.016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S&amp;M / revenue: FY2025 1.93%, H1-2026 1.64%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invinc_f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80 · 165 · 170 · 175 · 180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and other income, recurring component (H1-2026 actual 71 incl. one-offs)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assoc_f_path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95 · 210 · 227 · 245 · 264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Associate/JV income: H1-2026 actual 88.3 post the Q2 JV disposal; ~8%/yr thereafter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dna_rate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Depreciation &amp; amortisation as a rate on the AVERAGE depreciable asset base (PP&amp;E + investment properties + right-of-use + intangibles): FY2025 charge 610.5 on an average base of ~17,940 = 3.4%. Respecified off the asset base at revision 2 — the first edition drove D&amp;A off revenue, a mis-specified driver both external audits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capex_f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700 · 1,500 · 1,550 · 1,600 · 1,650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Capital expenditure (H2 stub then annual): H1-2026 actual 312.5 (PP&amp;E 206.9 + intangibles 63.5 + IP 42.0); rising with Olympia and venue pipeline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tax_f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0.155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Effective tax: DMTT 15% floor + foreign uplift; H1-2026 actual 15.4%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nci_pct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NCI share of profit: H1-2026 actual 1.8%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dso_path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440 · 430 · 410 · 390 · 370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Receivable days (trade + contract + related-party receivables over revenue): FY2025 439 days, 30-Jun-2026 440 days — held flat through 2026 then declining as Department-of-Finance balances collect. THE collection caveat in one driver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inv_addition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New-project WIP added per dirham of new development sales (mobilisation, infrastructure)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inv_consumption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RED direct costs drawn from the existing land bank / WIP (land content of cost of sales)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pay_cover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1.86 · 1.7 · 1.55 · 1.45 · 1.4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Trade payables + customer advances + related-party payables as a multiple of annual direct costs: FY2025 2.62x (advance-heavy), 30-Jun-2026 1.86x; declining as handovers recognise advances. This is the presale-funding mechanism: customers, not the balance sheet, fund construction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beta_retired_regressors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rev2_proxy_composite: 1.03; rev3_naive_on_official: 1.278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Retired regressors, kept so the swap can be priced: the revision-2 equal-weight composite of the house UAE library, and the intermediate study-local naive regression on the official series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beta_rev2_published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1.03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The beta PUBLISHED at revision 2 (proxy composite). Registered so the correction can be stated against what readers actually saw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g_term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growth 2.5%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roic_term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ROIC 8.5% — deliberately BELOW the model's own forecast path (which reaches ~15% by FY2030E as invested capital shrinks while NOPAT grows): a mean-reversion margin of safety on the block that carries ~70% of EV, and above the FY2025 clean achieved 6.1% because the at-cost land bank converts. Both anchors stated; the step-down is a choice, priced in sensitivity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debt_path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10,300 · 10,500 · 9,700 · 8,800 · 7,900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Gross debt path incl. related-party loan from the 30-Jun-2026 actual 9,542: construction peak then amortising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wd_term_derived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0.0802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debt weight DERIVED from the model's own FY2030E balance sheet: gross debt / (gross debt + book equity). Assumed-15% retired at revision 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anchor_days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38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Days from the 30-Jun-2026 valuation date (reviewed balance sheet) to the 7-Aug-2026 price anchor — the first edition's 219-day accretion from 31-Dec-2025 is retired with the restrike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new_sales_runoff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8,000 · 15,000 · 11,000 · 9,000 · 8,000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RUN-OFF path, post-H1: launches halve from the realised pace and fade — now a stress reading, not a live alternative: the H1-2026 disclosure (26bn in six months) falsified the first edition's run-off premise as a central scenario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red_margin_runoff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 · 0.385 · 0.37 · 0.36 · 0.35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Run-off margins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new_sales_bull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15,000 · 34,000 · 34,000 · 34,000 · 34,000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GROWTH-HOLD path: sales hold near the realised H1-2026 annualised pace less the launch effect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red_margin_bull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0.42 · 0.42 · 0.41 · 0.41 · 0.4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Growth-hold margins (published in full at revision 2 — the first edition left this vector undisclosed)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pe_just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7.5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Justified P/E on FY2026E attributable profit: peer attributable trailing set 4.7x / 5.8x / 8.1x (EmaarDev / Emaar / Aldar). 7.5x = parity-minus with the sector leader: the growth and recurring-income premium and the 15%-float/related-party discount are treated as offsetting, stated as a judgement. (The first edition's 8.0x was described as a premium to Aldar off a broken peer table)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ev_ebitda_just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EV/EBITDA 7.0x — HOUSE JUDGEMENT WITHOUT A PEER ANCHOR (no peer EV/EBITDA is computable from reachable disclosures: peer net debt not held). Shown as a cross-check only; EXCLUDED from the lens average at revision 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norm_sales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20,000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development sales raised 18bn -&gt; 20bn: the realised H1-2026 26bn lifts the cycle evidence; still far below the 38bn FY2026E in-year pace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norm_margin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0.115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net margin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norm_pe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8.5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Through-cycle P/E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roe_sust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Sustainable ROE 7.5%. Receipts, one cleaning only: mechanical FY2025 clean ROE (ex the 735.1 of fair-value/disposal gains, tax-effected) = 6.6%; the model's own forward attributable ROE path runs 7.8% -&gt; 9.8%. 7.5% sits between the two, below the forward path — a forward-sustainable judgement, not a historical cleaning (the first edition conflated the two)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lens_weights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dcf: 0.4; relative: 0.2; normalized: 0.2; book: 0.2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Weights unchanged: DCF primary on backlog visibility; three market lenses carry 60% jointly — that structure, not an additional holdco discount, is how float/governance friction is priced (a 30% haircut on top would double-count it; the reading is still shown in section 4)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e1_land_uplift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0.337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1 land mark-up = exactly HALF the realised 67.4% related-party land-sale gross margin (1 - 818.033/2,512.837), as the arms-length haircut — the first edition said "half" but used 35%; aligned at revision 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e2_rp_haircut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0.25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2 haircut on the related-party receivable book (30-Jun-2026: 10,756 gross due-from)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e3_pe</w:t>
            </w:r>
          </w:p>
        </w:tc>
        <w:tc>
          <w:tcPr>
            <w:tcW w:type="dxa" w:w="165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6.2</w:t>
            </w:r>
          </w:p>
        </w:tc>
        <w:tc>
          <w:tcPr>
            <w:tcW w:type="dxa" w:w="56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Expert 3 multiple = the arithmetic MEAN of the rebuilt attributable peer set (4.73 + 5.78 + 8.10)/3 = 6.20x — the first edition claimed "centre of the set" but used 6.5x; the statistic is now the one named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2026-08-09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Disclosure</w:t>
      </w:r>
    </w:p>
    <w:p>
      <w:pPr>
        <w:spacing w:after="120" w:before="0"/>
      </w:pPr>
      <w:r>
        <w:rPr>
          <w:b w:val="0"/>
          <w:i w:val="0"/>
          <w:color w:val="1C3A36"/>
          <w:sz w:val="18"/>
        </w:rPr>
        <w:t>Companion to the Modon Holding valuation study of 9 August 2026. Educational analysis; not investment advice. © Testahil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1C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