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101</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128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53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This house forecasts profit at about twice what companies report, and its valuations still come out below the market. Those two facts locate the pessimism away from the forecasts;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This house forecasts profit at about twice what companies report, and its valuations still come out below the market. Those two facts locate the pessimism away from the forecasts.</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The projected-versus-actual record says the forecasts lean OPTIMISTIC. So a fair value that lands below the market despite an optimistic profit line is not a cautious forecast — it is a valuation construction consuming the optimism and more. Look at the machinery, not the drivers.</w:t>
      </w:r>
    </w:p>
    <w:p>
      <w:pPr>
        <w:spacing w:after="60"/>
        <w:ind w:left="283"/>
      </w:pPr>
      <w:r>
        <w:rPr>
          <w:b w:val="0"/>
          <w:i w:val="0"/>
          <w:color w:val="5B6570"/>
          <w:sz w:val="19"/>
        </w:rPr>
        <w:t>How we know.  On 867 committed projected-versus-actual cells, PROFIT pools at +0.8084 in log terms — x2.24 of actual — too high in 89% of cells, on both names (PHDC +1.107, 60 of 62; TMGH +0.264, 25 of 34). It is FLAT across horizons (+0.859 at one year, +0.719 at five), so a level error rather than a rate error, and it does NOT change sign between eras. Gross profit is the same shape at +0.2303. Eight of the ten lines measured DO change sign across eras and are reported rather than corrected for; these two do not.</w:t>
      </w:r>
    </w:p>
    <w:p>
      <w:pPr>
        <w:spacing w:after="160"/>
        <w:ind w:left="283"/>
      </w:pPr>
      <w:r>
        <w:rPr>
          <w:b w:val="0"/>
          <w:i w:val="0"/>
          <w:color w:val="5B6570"/>
          <w:sz w:val="19"/>
        </w:rPr>
        <w:t>What would overturn it.  A third and fourth name committing cells whose profit bias is near zero or negative, which would make this a two-name developer finding rather than a house one. Both names carrying cells are Egyptian real-estate developers.</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