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 Associates &amp; JVs (43.06% DIIC/TAWAL, carrying)</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 Telefónica 9.97% (market mark)</w:t>
            </w:r>
          </w:p>
        </w:tc>
        <w:tc>
          <w:tcPr>
            <w:tcW w:type="dxa" w:w="2304"/>
          </w:tcPr>
          <w:p>
            <w:pPr>
              <w:spacing w:after="20"/>
              <w:jc w:val="right"/>
            </w:pPr>
            <w:r>
              <w:rPr>
                <w:color w:val="1C3A36"/>
                <w:sz w:val="18"/>
              </w:rPr>
              <w:t>8,513</w:t>
            </w:r>
          </w:p>
        </w:tc>
      </w:tr>
      <w:tr>
        <w:tc>
          <w:tcPr>
            <w:tcW w:type="dxa" w:w="5760"/>
          </w:tcPr>
          <w:p>
            <w:pPr>
              <w:spacing w:after="20"/>
            </w:pPr>
            <w:r>
              <w:rPr>
                <w:b/>
                <w:color w:val="1C3A36"/>
                <w:sz w:val="18"/>
              </w:rPr>
              <w:t>less: Net debt (IR basis, Q1-26) · NCI</w:t>
            </w:r>
          </w:p>
        </w:tc>
        <w:tc>
          <w:tcPr>
            <w:tcW w:type="dxa" w:w="2304"/>
          </w:tcPr>
          <w:p>
            <w:pPr>
              <w:spacing w:after="20"/>
              <w:jc w:val="right"/>
            </w:pPr>
            <w:r>
              <w:rPr>
                <w:color w:val="1C3A36"/>
                <w:sz w:val="18"/>
              </w:rPr>
              <w:t>(8,375) · (3,928)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DCF fair value per share</w:t>
            </w:r>
          </w:p>
        </w:tc>
        <w:tc>
          <w:tcPr>
            <w:tcW w:type="dxa" w:w="2304"/>
          </w:tcPr>
          <w:p>
            <w:pPr>
              <w:spacing w:after="20"/>
              <w:jc w:val="right"/>
            </w:pPr>
            <w:r>
              <w:rPr>
                <w:color w:val="1C3A36"/>
                <w:sz w:val="18"/>
              </w:rPr>
              <w:t>SAR 38.14</w:t>
            </w:r>
          </w:p>
        </w:tc>
      </w:tr>
    </w:tbl>
    <w:p>
      <w:pPr>
        <w:spacing w:after="40"/>
      </w:pPr>
    </w:p>
    <w:p>
      <w:pPr>
        <w:spacing w:after="120" w:before="0"/>
      </w:pPr>
      <w:r>
        <w:rPr>
          <w:b w:val="0"/>
          <w:i w:val="0"/>
          <w:color w:val="1C3A36"/>
          <w:sz w:val="21"/>
        </w:rPr>
        <w:t>Two honesty notes. First, 71% of the enterprise value sits in the terminal — at a 5.1-point WACC−g spread this is a duration bet dressed as a five-year model, which is why §1.9 sensitizes the WACC × g grid and the beta separately rather than hiding either. Second, the model FCFF (SAR 10.3 bn FY26E) runs ~SAR 2–3 bn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We weight the DCF most heavily because it is the only lens that prices the full capex-and-recovery arc; the DDM carries the pre-committed cash; the relative lens anchors to what the market pays for GCC telecom cash flows today; normalized earnings is the ballast.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(primary)</w:t>
            </w:r>
          </w:p>
        </w:tc>
        <w:tc>
          <w:tcPr>
            <w:tcW w:type="dxa" w:w="1296"/>
          </w:tcPr>
          <w:p>
            <w:pPr>
              <w:spacing w:after="20"/>
              <w:jc w:val="right"/>
            </w:pPr>
            <w:r>
              <w:rPr>
                <w:color w:val="1C3A36"/>
                <w:sz w:val="18"/>
              </w:rPr>
              <w:t>35%</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38.1</w:t>
            </w:r>
          </w:p>
        </w:tc>
        <w:tc>
          <w:tcPr>
            <w:tcW w:type="dxa" w:w="1584"/>
          </w:tcPr>
          <w:p>
            <w:pPr>
              <w:spacing w:after="20"/>
              <w:jc w:val="right"/>
            </w:pPr>
            <w:r>
              <w:rPr>
                <w:color w:val="1C3A36"/>
                <w:sz w:val="18"/>
              </w:rPr>
              <w:t>39</w:t>
            </w:r>
          </w:p>
        </w:tc>
      </w:tr>
      <w:tr>
        <w:tc>
          <w:tcPr>
            <w:tcW w:type="dxa" w:w="3456"/>
          </w:tcPr>
          <w:p>
            <w:pPr>
              <w:spacing w:after="20"/>
            </w:pPr>
            <w:r>
              <w:rPr>
                <w:b/>
                <w:color w:val="1C3A36"/>
                <w:sz w:val="18"/>
              </w:rPr>
              <w:t>Dividend discount (policy)</w:t>
            </w:r>
          </w:p>
        </w:tc>
        <w:tc>
          <w:tcPr>
            <w:tcW w:type="dxa" w:w="1296"/>
          </w:tcPr>
          <w:p>
            <w:pPr>
              <w:spacing w:after="20"/>
              <w:jc w:val="right"/>
            </w:pPr>
            <w:r>
              <w:rPr>
                <w:color w:val="1C3A36"/>
                <w:sz w:val="18"/>
              </w:rPr>
              <w:t>25%</w:t>
            </w:r>
          </w:p>
        </w:tc>
        <w:tc>
          <w:tcPr>
            <w:tcW w:type="dxa" w:w="1584"/>
          </w:tcPr>
          <w:p>
            <w:pPr>
              <w:spacing w:after="20"/>
              <w:jc w:val="right"/>
            </w:pPr>
            <w:r>
              <w:rPr>
                <w:color w:val="1C3A36"/>
                <w:sz w:val="18"/>
              </w:rPr>
              <w:t>29</w:t>
            </w:r>
          </w:p>
        </w:tc>
        <w:tc>
          <w:tcPr>
            <w:tcW w:type="dxa" w:w="1584"/>
          </w:tcPr>
          <w:p>
            <w:pPr>
              <w:spacing w:after="20"/>
              <w:jc w:val="right"/>
            </w:pPr>
            <w:r>
              <w:rPr>
                <w:color w:val="1C3A36"/>
                <w:sz w:val="18"/>
              </w:rPr>
              <w:t>35.4</w:t>
            </w:r>
          </w:p>
        </w:tc>
        <w:tc>
          <w:tcPr>
            <w:tcW w:type="dxa" w:w="1584"/>
          </w:tcPr>
          <w:p>
            <w:pPr>
              <w:spacing w:after="20"/>
              <w:jc w:val="right"/>
            </w:pPr>
            <w:r>
              <w:rPr>
                <w:color w:val="1C3A36"/>
                <w:sz w:val="18"/>
              </w:rPr>
              <w:t>50</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46</w:t>
            </w:r>
          </w:p>
        </w:tc>
        <w:tc>
          <w:tcPr>
            <w:tcW w:type="dxa" w:w="1584"/>
          </w:tcPr>
          <w:p>
            <w:pPr>
              <w:spacing w:after="20"/>
              <w:jc w:val="right"/>
            </w:pPr>
            <w:r>
              <w:rPr>
                <w:color w:val="1C3A36"/>
                <w:sz w:val="18"/>
              </w:rPr>
              <w:t>48.0</w:t>
            </w:r>
          </w:p>
        </w:tc>
        <w:tc>
          <w:tcPr>
            <w:tcW w:type="dxa" w:w="1584"/>
          </w:tcPr>
          <w:p>
            <w:pPr>
              <w:spacing w:after="20"/>
              <w:jc w:val="right"/>
            </w:pPr>
            <w:r>
              <w:rPr>
                <w:color w:val="1C3A36"/>
                <w:sz w:val="18"/>
              </w:rPr>
              <w:t>50</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37</w:t>
            </w:r>
          </w:p>
        </w:tc>
        <w:tc>
          <w:tcPr>
            <w:tcW w:type="dxa" w:w="1584"/>
          </w:tcPr>
          <w:p>
            <w:pPr>
              <w:spacing w:after="20"/>
              <w:jc w:val="right"/>
            </w:pPr>
            <w:r>
              <w:rPr>
                <w:color w:val="1C3A36"/>
                <w:sz w:val="18"/>
              </w:rPr>
              <w:t>39.8</w:t>
            </w:r>
          </w:p>
        </w:tc>
        <w:tc>
          <w:tcPr>
            <w:tcW w:type="dxa" w:w="1584"/>
          </w:tcPr>
          <w:p>
            <w:pPr>
              <w:spacing w:after="20"/>
              <w:jc w:val="right"/>
            </w:pPr>
            <w:r>
              <w:rPr>
                <w:color w:val="1C3A36"/>
                <w:sz w:val="18"/>
              </w:rPr>
              <w:t>50</w:t>
            </w:r>
          </w:p>
        </w:tc>
      </w:tr>
      <w:tr>
        <w:tc>
          <w:tcPr>
            <w:tcW w:type="dxa" w:w="3456"/>
            <w:shd w:val="clear" w:color="auto" w:fill="F6F1E6"/>
          </w:tcPr>
          <w:p>
            <w:pPr>
              <w:spacing w:after="20"/>
            </w:pPr>
            <w:r>
              <w:rPr>
                <w:b/>
                <w:color w:val="1C3A36"/>
                <w:sz w:val="18"/>
              </w:rPr>
              <w:t>THE CENTRAL — the class primary</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37.4</w:t>
            </w:r>
          </w:p>
        </w:tc>
        <w:tc>
          <w:tcPr>
            <w:tcW w:type="dxa" w:w="1584"/>
            <w:shd w:val="clear" w:color="auto" w:fill="F6F1E6"/>
          </w:tcPr>
          <w:p>
            <w:pPr>
              <w:spacing w:after="20"/>
              <w:jc w:val="right"/>
            </w:pPr>
            <w:r>
              <w:rPr>
                <w:b/>
                <w:color w:val="1C3A36"/>
                <w:sz w:val="18"/>
              </w:rPr>
              <w:t>38.1</w:t>
            </w:r>
          </w:p>
        </w:tc>
        <w:tc>
          <w:tcPr>
            <w:tcW w:type="dxa" w:w="1584"/>
            <w:shd w:val="clear" w:color="auto" w:fill="F6F1E6"/>
          </w:tcPr>
          <w:p>
            <w:pPr>
              <w:spacing w:after="20"/>
              <w:jc w:val="right"/>
            </w:pPr>
            <w:r>
              <w:rPr>
                <w:b/>
                <w:color w:val="1C3A36"/>
                <w:sz w:val="18"/>
              </w:rPr>
              <w:t>39.0</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had the regression failed its usability gate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0.54 — read straight off the grid in §1.9, between its 0.50 and 0.71 rows, so a reader can check it against what is printed there rather than taking it on trust. This stock's own 4.9-year weekly regression against its exchange's published index gives 0.7078 with a standard error of 0.1029, so the market is paying for a beta roughly 1.6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39.46, still 10%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36" w:type="dxa"/>
      </w:tblPr>
      <w:tblGrid>
        <w:gridCol w:w="2951"/>
        <w:gridCol w:w="885"/>
        <w:gridCol w:w="885"/>
        <w:gridCol w:w="885"/>
        <w:gridCol w:w="885"/>
        <w:gridCol w:w="885"/>
        <w:gridCol w:w="885"/>
        <w:gridCol w:w="885"/>
        <w:gridCol w:w="885"/>
      </w:tblGrid>
      <w:tr>
        <w:tc>
          <w:tcPr>
            <w:tcW w:type="dxa" w:w="2952"/>
            <w:shd w:val="clear" w:color="auto" w:fill="EAF0EE"/>
          </w:tcPr>
          <w:p>
            <w:pPr>
              <w:spacing w:after="20"/>
            </w:pPr>
            <w:r>
              <w:rPr>
                <w:b/>
                <w:color w:val="1C3A36"/>
                <w:sz w:val="16"/>
              </w:rPr>
              <w:t>Line</w:t>
            </w:r>
          </w:p>
        </w:tc>
        <w:tc>
          <w:tcPr>
            <w:tcW w:type="dxa" w:w="886"/>
            <w:shd w:val="clear" w:color="auto" w:fill="EAF0EE"/>
          </w:tcPr>
          <w:p>
            <w:pPr>
              <w:spacing w:after="20"/>
            </w:pPr>
            <w:r>
              <w:rPr>
                <w:b/>
                <w:color w:val="1C3A36"/>
                <w:sz w:val="16"/>
              </w:rPr>
              <w:t>FY23</w:t>
            </w:r>
          </w:p>
        </w:tc>
        <w:tc>
          <w:tcPr>
            <w:tcW w:type="dxa" w:w="886"/>
            <w:shd w:val="clear" w:color="auto" w:fill="EAF0EE"/>
          </w:tcPr>
          <w:p>
            <w:pPr>
              <w:spacing w:after="20"/>
            </w:pPr>
            <w:r>
              <w:rPr>
                <w:b/>
                <w:color w:val="1C3A36"/>
                <w:sz w:val="16"/>
              </w:rPr>
              <w:t>FY24</w:t>
            </w:r>
          </w:p>
        </w:tc>
        <w:tc>
          <w:tcPr>
            <w:tcW w:type="dxa" w:w="886"/>
            <w:shd w:val="clear" w:color="auto" w:fill="EAF0EE"/>
          </w:tcPr>
          <w:p>
            <w:pPr>
              <w:spacing w:after="20"/>
            </w:pPr>
            <w:r>
              <w:rPr>
                <w:b/>
                <w:color w:val="1C3A36"/>
                <w:sz w:val="16"/>
              </w:rPr>
              <w:t>FY25</w:t>
            </w:r>
          </w:p>
        </w:tc>
        <w:tc>
          <w:tcPr>
            <w:tcW w:type="dxa" w:w="886"/>
            <w:shd w:val="clear" w:color="auto" w:fill="EAF0EE"/>
          </w:tcPr>
          <w:p>
            <w:pPr>
              <w:spacing w:after="20"/>
            </w:pPr>
            <w:r>
              <w:rPr>
                <w:b/>
                <w:color w:val="1C3A36"/>
                <w:sz w:val="16"/>
              </w:rPr>
              <w:t>FY26E</w:t>
            </w:r>
          </w:p>
        </w:tc>
        <w:tc>
          <w:tcPr>
            <w:tcW w:type="dxa" w:w="886"/>
            <w:shd w:val="clear" w:color="auto" w:fill="EAF0EE"/>
          </w:tcPr>
          <w:p>
            <w:pPr>
              <w:spacing w:after="20"/>
            </w:pPr>
            <w:r>
              <w:rPr>
                <w:b/>
                <w:color w:val="1C3A36"/>
                <w:sz w:val="16"/>
              </w:rPr>
              <w:t>FY27E</w:t>
            </w:r>
          </w:p>
        </w:tc>
        <w:tc>
          <w:tcPr>
            <w:tcW w:type="dxa" w:w="886"/>
            <w:shd w:val="clear" w:color="auto" w:fill="EAF0EE"/>
          </w:tcPr>
          <w:p>
            <w:pPr>
              <w:spacing w:after="20"/>
            </w:pPr>
            <w:r>
              <w:rPr>
                <w:b/>
                <w:color w:val="1C3A36"/>
                <w:sz w:val="16"/>
              </w:rPr>
              <w:t>FY28E</w:t>
            </w:r>
          </w:p>
        </w:tc>
        <w:tc>
          <w:tcPr>
            <w:tcW w:type="dxa" w:w="886"/>
            <w:shd w:val="clear" w:color="auto" w:fill="EAF0EE"/>
          </w:tcPr>
          <w:p>
            <w:pPr>
              <w:spacing w:after="20"/>
            </w:pPr>
            <w:r>
              <w:rPr>
                <w:b/>
                <w:color w:val="1C3A36"/>
                <w:sz w:val="16"/>
              </w:rPr>
              <w:t>FY29E</w:t>
            </w:r>
          </w:p>
        </w:tc>
        <w:tc>
          <w:tcPr>
            <w:tcW w:type="dxa" w:w="886"/>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886"/>
          </w:tcPr>
          <w:p>
            <w:pPr>
              <w:spacing w:after="20"/>
              <w:jc w:val="right"/>
            </w:pPr>
            <w:r>
              <w:rPr>
                <w:color w:val="1C3A36"/>
                <w:sz w:val="16"/>
              </w:rPr>
              <w:t>71,777</w:t>
            </w:r>
          </w:p>
        </w:tc>
        <w:tc>
          <w:tcPr>
            <w:tcW w:type="dxa" w:w="886"/>
          </w:tcPr>
          <w:p>
            <w:pPr>
              <w:spacing w:after="20"/>
              <w:jc w:val="right"/>
            </w:pPr>
            <w:r>
              <w:rPr>
                <w:color w:val="1C3A36"/>
                <w:sz w:val="16"/>
              </w:rPr>
              <w:t>75,893</w:t>
            </w:r>
          </w:p>
        </w:tc>
        <w:tc>
          <w:tcPr>
            <w:tcW w:type="dxa" w:w="886"/>
          </w:tcPr>
          <w:p>
            <w:pPr>
              <w:spacing w:after="20"/>
              <w:jc w:val="right"/>
            </w:pPr>
            <w:r>
              <w:rPr>
                <w:color w:val="1C3A36"/>
                <w:sz w:val="16"/>
              </w:rPr>
              <w:t>77,819</w:t>
            </w:r>
          </w:p>
        </w:tc>
        <w:tc>
          <w:tcPr>
            <w:tcW w:type="dxa" w:w="886"/>
          </w:tcPr>
          <w:p>
            <w:pPr>
              <w:spacing w:after="20"/>
              <w:jc w:val="right"/>
            </w:pPr>
            <w:r>
              <w:rPr>
                <w:color w:val="1C3A36"/>
                <w:sz w:val="16"/>
              </w:rPr>
              <w:t>80,737</w:t>
            </w:r>
          </w:p>
        </w:tc>
        <w:tc>
          <w:tcPr>
            <w:tcW w:type="dxa" w:w="886"/>
          </w:tcPr>
          <w:p>
            <w:pPr>
              <w:spacing w:after="20"/>
              <w:jc w:val="right"/>
            </w:pPr>
            <w:r>
              <w:rPr>
                <w:color w:val="1C3A36"/>
                <w:sz w:val="16"/>
              </w:rPr>
              <w:t>82,985</w:t>
            </w:r>
          </w:p>
        </w:tc>
        <w:tc>
          <w:tcPr>
            <w:tcW w:type="dxa" w:w="886"/>
          </w:tcPr>
          <w:p>
            <w:pPr>
              <w:spacing w:after="20"/>
              <w:jc w:val="right"/>
            </w:pPr>
            <w:r>
              <w:rPr>
                <w:color w:val="1C3A36"/>
                <w:sz w:val="16"/>
              </w:rPr>
              <w:t>85,056</w:t>
            </w:r>
          </w:p>
        </w:tc>
        <w:tc>
          <w:tcPr>
            <w:tcW w:type="dxa" w:w="886"/>
          </w:tcPr>
          <w:p>
            <w:pPr>
              <w:spacing w:after="20"/>
              <w:jc w:val="right"/>
            </w:pPr>
            <w:r>
              <w:rPr>
                <w:color w:val="1C3A36"/>
                <w:sz w:val="16"/>
              </w:rPr>
              <w:t>86,982</w:t>
            </w:r>
          </w:p>
        </w:tc>
        <w:tc>
          <w:tcPr>
            <w:tcW w:type="dxa" w:w="886"/>
          </w:tcPr>
          <w:p>
            <w:pPr>
              <w:spacing w:after="20"/>
              <w:jc w:val="right"/>
            </w:pPr>
            <w:r>
              <w:rPr>
                <w:color w:val="1C3A36"/>
                <w:sz w:val="16"/>
              </w:rPr>
              <w:t>88,722</w:t>
            </w:r>
          </w:p>
        </w:tc>
      </w:tr>
      <w:tr>
        <w:tc>
          <w:tcPr>
            <w:tcW w:type="dxa" w:w="2952"/>
          </w:tcPr>
          <w:p>
            <w:pPr>
              <w:spacing w:after="20"/>
            </w:pPr>
            <w:r>
              <w:rPr>
                <w:b/>
                <w:color w:val="1C3A36"/>
                <w:sz w:val="16"/>
              </w:rPr>
              <w:t>Gross profit</w:t>
            </w:r>
          </w:p>
        </w:tc>
        <w:tc>
          <w:tcPr>
            <w:tcW w:type="dxa" w:w="886"/>
          </w:tcPr>
          <w:p>
            <w:pPr>
              <w:spacing w:after="20"/>
              <w:jc w:val="right"/>
            </w:pPr>
            <w:r>
              <w:rPr>
                <w:color w:val="1C3A36"/>
                <w:sz w:val="16"/>
              </w:rPr>
              <w:t>34,740</w:t>
            </w:r>
          </w:p>
        </w:tc>
        <w:tc>
          <w:tcPr>
            <w:tcW w:type="dxa" w:w="886"/>
          </w:tcPr>
          <w:p>
            <w:pPr>
              <w:spacing w:after="20"/>
              <w:jc w:val="right"/>
            </w:pPr>
            <w:r>
              <w:rPr>
                <w:color w:val="1C3A36"/>
                <w:sz w:val="16"/>
              </w:rPr>
              <w:t>37,326</w:t>
            </w:r>
          </w:p>
        </w:tc>
        <w:tc>
          <w:tcPr>
            <w:tcW w:type="dxa" w:w="886"/>
          </w:tcPr>
          <w:p>
            <w:pPr>
              <w:spacing w:after="20"/>
              <w:jc w:val="right"/>
            </w:pPr>
            <w:r>
              <w:rPr>
                <w:color w:val="1C3A36"/>
                <w:sz w:val="16"/>
              </w:rPr>
              <w:t>37,700</w:t>
            </w:r>
          </w:p>
        </w:tc>
        <w:tc>
          <w:tcPr>
            <w:tcW w:type="dxa" w:w="886"/>
          </w:tcPr>
          <w:p>
            <w:pPr>
              <w:spacing w:after="20"/>
              <w:jc w:val="right"/>
            </w:pPr>
            <w:r>
              <w:rPr>
                <w:color w:val="1C3A36"/>
                <w:sz w:val="16"/>
              </w:rPr>
              <w:t>39,678</w:t>
            </w:r>
          </w:p>
        </w:tc>
        <w:tc>
          <w:tcPr>
            <w:tcW w:type="dxa" w:w="886"/>
          </w:tcPr>
          <w:p>
            <w:pPr>
              <w:spacing w:after="20"/>
              <w:jc w:val="right"/>
            </w:pPr>
            <w:r>
              <w:rPr>
                <w:color w:val="1C3A36"/>
                <w:sz w:val="16"/>
              </w:rPr>
              <w:t>40,716</w:t>
            </w:r>
          </w:p>
        </w:tc>
        <w:tc>
          <w:tcPr>
            <w:tcW w:type="dxa" w:w="886"/>
          </w:tcPr>
          <w:p>
            <w:pPr>
              <w:spacing w:after="20"/>
              <w:jc w:val="right"/>
            </w:pPr>
            <w:r>
              <w:rPr>
                <w:color w:val="1C3A36"/>
                <w:sz w:val="16"/>
              </w:rPr>
              <w:t>41,685</w:t>
            </w:r>
          </w:p>
        </w:tc>
        <w:tc>
          <w:tcPr>
            <w:tcW w:type="dxa" w:w="886"/>
          </w:tcPr>
          <w:p>
            <w:pPr>
              <w:spacing w:after="20"/>
              <w:jc w:val="right"/>
            </w:pPr>
            <w:r>
              <w:rPr>
                <w:color w:val="1C3A36"/>
                <w:sz w:val="16"/>
              </w:rPr>
              <w:t>42,605</w:t>
            </w:r>
          </w:p>
        </w:tc>
        <w:tc>
          <w:tcPr>
            <w:tcW w:type="dxa" w:w="886"/>
          </w:tcPr>
          <w:p>
            <w:pPr>
              <w:spacing w:after="20"/>
              <w:jc w:val="right"/>
            </w:pPr>
            <w:r>
              <w:rPr>
                <w:color w:val="1C3A36"/>
                <w:sz w:val="16"/>
              </w:rPr>
              <w:t>43,457</w:t>
            </w:r>
          </w:p>
        </w:tc>
      </w:tr>
      <w:tr>
        <w:tc>
          <w:tcPr>
            <w:tcW w:type="dxa" w:w="2952"/>
          </w:tcPr>
          <w:p>
            <w:pPr>
              <w:spacing w:after="20"/>
            </w:pPr>
            <w:r>
              <w:rPr>
                <w:b/>
                <w:color w:val="1C3A36"/>
                <w:sz w:val="16"/>
              </w:rPr>
              <w:t>EBITDA</w:t>
            </w:r>
          </w:p>
        </w:tc>
        <w:tc>
          <w:tcPr>
            <w:tcW w:type="dxa" w:w="886"/>
          </w:tcPr>
          <w:p>
            <w:pPr>
              <w:spacing w:after="20"/>
              <w:jc w:val="right"/>
            </w:pPr>
            <w:r>
              <w:rPr>
                <w:color w:val="1C3A36"/>
                <w:sz w:val="16"/>
              </w:rPr>
              <w:t>22,445</w:t>
            </w:r>
          </w:p>
        </w:tc>
        <w:tc>
          <w:tcPr>
            <w:tcW w:type="dxa" w:w="886"/>
          </w:tcPr>
          <w:p>
            <w:pPr>
              <w:spacing w:after="20"/>
              <w:jc w:val="right"/>
            </w:pPr>
            <w:r>
              <w:rPr>
                <w:color w:val="1C3A36"/>
                <w:sz w:val="16"/>
              </w:rPr>
              <w:t>23,951</w:t>
            </w:r>
          </w:p>
        </w:tc>
        <w:tc>
          <w:tcPr>
            <w:tcW w:type="dxa" w:w="886"/>
          </w:tcPr>
          <w:p>
            <w:pPr>
              <w:spacing w:after="20"/>
              <w:jc w:val="right"/>
            </w:pPr>
            <w:r>
              <w:rPr>
                <w:color w:val="1C3A36"/>
                <w:sz w:val="16"/>
              </w:rPr>
              <w:t>24,469</w:t>
            </w:r>
          </w:p>
        </w:tc>
        <w:tc>
          <w:tcPr>
            <w:tcW w:type="dxa" w:w="886"/>
          </w:tcPr>
          <w:p>
            <w:pPr>
              <w:spacing w:after="20"/>
              <w:jc w:val="right"/>
            </w:pPr>
            <w:r>
              <w:rPr>
                <w:color w:val="1C3A36"/>
                <w:sz w:val="16"/>
              </w:rPr>
              <w:t>25,823</w:t>
            </w:r>
          </w:p>
        </w:tc>
        <w:tc>
          <w:tcPr>
            <w:tcW w:type="dxa" w:w="886"/>
          </w:tcPr>
          <w:p>
            <w:pPr>
              <w:spacing w:after="20"/>
              <w:jc w:val="right"/>
            </w:pPr>
            <w:r>
              <w:rPr>
                <w:color w:val="1C3A36"/>
                <w:sz w:val="16"/>
              </w:rPr>
              <w:t>26,475</w:t>
            </w:r>
          </w:p>
        </w:tc>
        <w:tc>
          <w:tcPr>
            <w:tcW w:type="dxa" w:w="886"/>
          </w:tcPr>
          <w:p>
            <w:pPr>
              <w:spacing w:after="20"/>
              <w:jc w:val="right"/>
            </w:pPr>
            <w:r>
              <w:rPr>
                <w:color w:val="1C3A36"/>
                <w:sz w:val="16"/>
              </w:rPr>
              <w:t>27,089</w:t>
            </w:r>
          </w:p>
        </w:tc>
        <w:tc>
          <w:tcPr>
            <w:tcW w:type="dxa" w:w="886"/>
          </w:tcPr>
          <w:p>
            <w:pPr>
              <w:spacing w:after="20"/>
              <w:jc w:val="right"/>
            </w:pPr>
            <w:r>
              <w:rPr>
                <w:color w:val="1C3A36"/>
                <w:sz w:val="16"/>
              </w:rPr>
              <w:t>27,678</w:t>
            </w:r>
          </w:p>
        </w:tc>
        <w:tc>
          <w:tcPr>
            <w:tcW w:type="dxa" w:w="886"/>
          </w:tcPr>
          <w:p>
            <w:pPr>
              <w:spacing w:after="20"/>
              <w:jc w:val="right"/>
            </w:pPr>
            <w:r>
              <w:rPr>
                <w:color w:val="1C3A36"/>
                <w:sz w:val="16"/>
              </w:rPr>
              <w:t>28,232</w:t>
            </w:r>
          </w:p>
        </w:tc>
      </w:tr>
      <w:tr>
        <w:tc>
          <w:tcPr>
            <w:tcW w:type="dxa" w:w="2952"/>
          </w:tcPr>
          <w:p>
            <w:pPr>
              <w:spacing w:after="20"/>
            </w:pPr>
            <w:r>
              <w:rPr>
                <w:b/>
                <w:color w:val="1C3A36"/>
                <w:sz w:val="16"/>
              </w:rPr>
              <w:t>Depreciation, amortisation and impairment</w:t>
            </w:r>
          </w:p>
        </w:tc>
        <w:tc>
          <w:tcPr>
            <w:tcW w:type="dxa" w:w="886"/>
          </w:tcPr>
          <w:p>
            <w:pPr>
              <w:spacing w:after="20"/>
              <w:jc w:val="right"/>
            </w:pPr>
            <w:r>
              <w:rPr>
                <w:color w:val="1C3A36"/>
                <w:sz w:val="16"/>
              </w:rPr>
              <w:t>(9,284)</w:t>
            </w:r>
          </w:p>
        </w:tc>
        <w:tc>
          <w:tcPr>
            <w:tcW w:type="dxa" w:w="886"/>
          </w:tcPr>
          <w:p>
            <w:pPr>
              <w:spacing w:after="20"/>
              <w:jc w:val="right"/>
            </w:pPr>
            <w:r>
              <w:rPr>
                <w:color w:val="1C3A36"/>
                <w:sz w:val="16"/>
              </w:rPr>
              <w:t>(9,525)</w:t>
            </w:r>
          </w:p>
        </w:tc>
        <w:tc>
          <w:tcPr>
            <w:tcW w:type="dxa" w:w="886"/>
          </w:tcPr>
          <w:p>
            <w:pPr>
              <w:spacing w:after="20"/>
              <w:jc w:val="right"/>
            </w:pPr>
            <w:r>
              <w:rPr>
                <w:color w:val="1C3A36"/>
                <w:sz w:val="16"/>
              </w:rPr>
              <w:t>(10,031)</w:t>
            </w:r>
          </w:p>
        </w:tc>
        <w:tc>
          <w:tcPr>
            <w:tcW w:type="dxa" w:w="886"/>
          </w:tcPr>
          <w:p>
            <w:pPr>
              <w:spacing w:after="20"/>
              <w:jc w:val="right"/>
            </w:pPr>
            <w:r>
              <w:rPr>
                <w:color w:val="1C3A36"/>
                <w:sz w:val="16"/>
              </w:rPr>
              <w:t>(10,407)</w:t>
            </w:r>
          </w:p>
        </w:tc>
        <w:tc>
          <w:tcPr>
            <w:tcW w:type="dxa" w:w="886"/>
          </w:tcPr>
          <w:p>
            <w:pPr>
              <w:spacing w:after="20"/>
              <w:jc w:val="right"/>
            </w:pPr>
            <w:r>
              <w:rPr>
                <w:color w:val="1C3A36"/>
                <w:sz w:val="16"/>
              </w:rPr>
              <w:t>(10,697)</w:t>
            </w:r>
          </w:p>
        </w:tc>
        <w:tc>
          <w:tcPr>
            <w:tcW w:type="dxa" w:w="886"/>
          </w:tcPr>
          <w:p>
            <w:pPr>
              <w:spacing w:after="20"/>
              <w:jc w:val="right"/>
            </w:pPr>
            <w:r>
              <w:rPr>
                <w:color w:val="1C3A36"/>
                <w:sz w:val="16"/>
              </w:rPr>
              <w:t>(10,964)</w:t>
            </w:r>
          </w:p>
        </w:tc>
        <w:tc>
          <w:tcPr>
            <w:tcW w:type="dxa" w:w="886"/>
          </w:tcPr>
          <w:p>
            <w:pPr>
              <w:spacing w:after="20"/>
              <w:jc w:val="right"/>
            </w:pPr>
            <w:r>
              <w:rPr>
                <w:color w:val="1C3A36"/>
                <w:sz w:val="16"/>
              </w:rPr>
              <w:t>(11,212)</w:t>
            </w:r>
          </w:p>
        </w:tc>
        <w:tc>
          <w:tcPr>
            <w:tcW w:type="dxa" w:w="886"/>
          </w:tcPr>
          <w:p>
            <w:pPr>
              <w:spacing w:after="20"/>
              <w:jc w:val="right"/>
            </w:pPr>
            <w:r>
              <w:rPr>
                <w:color w:val="1C3A36"/>
                <w:sz w:val="16"/>
              </w:rPr>
              <w:t>(11,437)</w:t>
            </w:r>
          </w:p>
        </w:tc>
      </w:tr>
      <w:tr>
        <w:tc>
          <w:tcPr>
            <w:tcW w:type="dxa" w:w="2952"/>
          </w:tcPr>
          <w:p>
            <w:pPr>
              <w:spacing w:after="20"/>
            </w:pPr>
            <w:r>
              <w:rPr>
                <w:b/>
                <w:color w:val="1C3A36"/>
                <w:sz w:val="16"/>
              </w:rPr>
              <w:t>Operating profit (EBIT)</w:t>
            </w:r>
          </w:p>
        </w:tc>
        <w:tc>
          <w:tcPr>
            <w:tcW w:type="dxa" w:w="886"/>
          </w:tcPr>
          <w:p>
            <w:pPr>
              <w:spacing w:after="20"/>
              <w:jc w:val="right"/>
            </w:pPr>
            <w:r>
              <w:rPr>
                <w:color w:val="1C3A36"/>
                <w:sz w:val="16"/>
              </w:rPr>
              <w:t>13,161</w:t>
            </w:r>
          </w:p>
        </w:tc>
        <w:tc>
          <w:tcPr>
            <w:tcW w:type="dxa" w:w="886"/>
          </w:tcPr>
          <w:p>
            <w:pPr>
              <w:spacing w:after="20"/>
              <w:jc w:val="right"/>
            </w:pPr>
            <w:r>
              <w:rPr>
                <w:color w:val="1C3A36"/>
                <w:sz w:val="16"/>
              </w:rPr>
              <w:t>14,426</w:t>
            </w:r>
          </w:p>
        </w:tc>
        <w:tc>
          <w:tcPr>
            <w:tcW w:type="dxa" w:w="886"/>
          </w:tcPr>
          <w:p>
            <w:pPr>
              <w:spacing w:after="20"/>
              <w:jc w:val="right"/>
            </w:pPr>
            <w:r>
              <w:rPr>
                <w:color w:val="1C3A36"/>
                <w:sz w:val="16"/>
              </w:rPr>
              <w:t>14,438</w:t>
            </w:r>
          </w:p>
        </w:tc>
        <w:tc>
          <w:tcPr>
            <w:tcW w:type="dxa" w:w="886"/>
          </w:tcPr>
          <w:p>
            <w:pPr>
              <w:spacing w:after="20"/>
              <w:jc w:val="right"/>
            </w:pPr>
            <w:r>
              <w:rPr>
                <w:color w:val="1C3A36"/>
                <w:sz w:val="16"/>
              </w:rPr>
              <w:t>15,416</w:t>
            </w:r>
          </w:p>
        </w:tc>
        <w:tc>
          <w:tcPr>
            <w:tcW w:type="dxa" w:w="886"/>
          </w:tcPr>
          <w:p>
            <w:pPr>
              <w:spacing w:after="20"/>
              <w:jc w:val="right"/>
            </w:pPr>
            <w:r>
              <w:rPr>
                <w:color w:val="1C3A36"/>
                <w:sz w:val="16"/>
              </w:rPr>
              <w:t>15,778</w:t>
            </w:r>
          </w:p>
        </w:tc>
        <w:tc>
          <w:tcPr>
            <w:tcW w:type="dxa" w:w="886"/>
          </w:tcPr>
          <w:p>
            <w:pPr>
              <w:spacing w:after="20"/>
              <w:jc w:val="right"/>
            </w:pPr>
            <w:r>
              <w:rPr>
                <w:color w:val="1C3A36"/>
                <w:sz w:val="16"/>
              </w:rPr>
              <w:t>16,125</w:t>
            </w:r>
          </w:p>
        </w:tc>
        <w:tc>
          <w:tcPr>
            <w:tcW w:type="dxa" w:w="886"/>
          </w:tcPr>
          <w:p>
            <w:pPr>
              <w:spacing w:after="20"/>
              <w:jc w:val="right"/>
            </w:pPr>
            <w:r>
              <w:rPr>
                <w:color w:val="1C3A36"/>
                <w:sz w:val="16"/>
              </w:rPr>
              <w:t>16,466</w:t>
            </w:r>
          </w:p>
        </w:tc>
        <w:tc>
          <w:tcPr>
            <w:tcW w:type="dxa" w:w="886"/>
          </w:tcPr>
          <w:p>
            <w:pPr>
              <w:spacing w:after="20"/>
              <w:jc w:val="right"/>
            </w:pPr>
            <w:r>
              <w:rPr>
                <w:color w:val="1C3A36"/>
                <w:sz w:val="16"/>
              </w:rPr>
              <w:t>16,795</w:t>
            </w:r>
          </w:p>
        </w:tc>
      </w:tr>
      <w:tr>
        <w:tc>
          <w:tcPr>
            <w:tcW w:type="dxa" w:w="2952"/>
          </w:tcPr>
          <w:p>
            <w:pPr>
              <w:spacing w:after="20"/>
            </w:pPr>
            <w:r>
              <w:rPr>
                <w:b/>
                <w:color w:val="1C3A36"/>
                <w:sz w:val="16"/>
              </w:rPr>
              <w:t>Cost of the early retirement programme</w:t>
            </w:r>
          </w:p>
        </w:tc>
        <w:tc>
          <w:tcPr>
            <w:tcW w:type="dxa" w:w="886"/>
          </w:tcPr>
          <w:p>
            <w:pPr>
              <w:spacing w:after="20"/>
              <w:jc w:val="right"/>
            </w:pPr>
            <w:r>
              <w:rPr>
                <w:color w:val="1C3A36"/>
                <w:sz w:val="16"/>
              </w:rPr>
              <w:t>(863)</w:t>
            </w:r>
          </w:p>
        </w:tc>
        <w:tc>
          <w:tcPr>
            <w:tcW w:type="dxa" w:w="886"/>
          </w:tcPr>
          <w:p>
            <w:pPr>
              <w:spacing w:after="20"/>
              <w:jc w:val="right"/>
            </w:pPr>
            <w:r>
              <w:rPr>
                <w:color w:val="1C3A36"/>
                <w:sz w:val="16"/>
              </w:rPr>
              <w:t>(2,577)</w:t>
            </w:r>
          </w:p>
        </w:tc>
        <w:tc>
          <w:tcPr>
            <w:tcW w:type="dxa" w:w="886"/>
          </w:tcPr>
          <w:p>
            <w:pPr>
              <w:spacing w:after="20"/>
              <w:jc w:val="right"/>
            </w:pPr>
            <w:r>
              <w:rPr>
                <w:color w:val="1C3A36"/>
                <w:sz w:val="16"/>
              </w:rPr>
              <w:t>(824)</w:t>
            </w:r>
          </w:p>
        </w:tc>
        <w:tc>
          <w:tcPr>
            <w:tcW w:type="dxa" w:w="886"/>
          </w:tcPr>
          <w:p>
            <w:pPr>
              <w:spacing w:after="20"/>
              <w:jc w:val="right"/>
            </w:pPr>
            <w:r>
              <w:rPr>
                <w:color w:val="1C3A36"/>
                <w:sz w:val="16"/>
              </w:rPr>
              <w:t>(1,421)</w:t>
            </w:r>
          </w:p>
        </w:tc>
        <w:tc>
          <w:tcPr>
            <w:tcW w:type="dxa" w:w="886"/>
          </w:tcPr>
          <w:p>
            <w:pPr>
              <w:spacing w:after="20"/>
              <w:jc w:val="right"/>
            </w:pPr>
            <w:r>
              <w:rPr>
                <w:color w:val="1C3A36"/>
                <w:sz w:val="16"/>
              </w:rPr>
              <w:t>(1,451)</w:t>
            </w:r>
          </w:p>
        </w:tc>
        <w:tc>
          <w:tcPr>
            <w:tcW w:type="dxa" w:w="886"/>
          </w:tcPr>
          <w:p>
            <w:pPr>
              <w:spacing w:after="20"/>
              <w:jc w:val="right"/>
            </w:pPr>
            <w:r>
              <w:rPr>
                <w:color w:val="1C3A36"/>
                <w:sz w:val="16"/>
              </w:rPr>
              <w:t>(1,480)</w:t>
            </w:r>
          </w:p>
        </w:tc>
        <w:tc>
          <w:tcPr>
            <w:tcW w:type="dxa" w:w="886"/>
          </w:tcPr>
          <w:p>
            <w:pPr>
              <w:spacing w:after="20"/>
              <w:jc w:val="right"/>
            </w:pPr>
            <w:r>
              <w:rPr>
                <w:color w:val="1C3A36"/>
                <w:sz w:val="16"/>
              </w:rPr>
              <w:t>(1,510)</w:t>
            </w:r>
          </w:p>
        </w:tc>
        <w:tc>
          <w:tcPr>
            <w:tcW w:type="dxa" w:w="886"/>
          </w:tcPr>
          <w:p>
            <w:pPr>
              <w:spacing w:after="20"/>
              <w:jc w:val="right"/>
            </w:pPr>
            <w:r>
              <w:rPr>
                <w:color w:val="1C3A36"/>
                <w:sz w:val="16"/>
              </w:rPr>
              <w:t>(1,540)</w:t>
            </w:r>
          </w:p>
        </w:tc>
      </w:tr>
      <w:tr>
        <w:tc>
          <w:tcPr>
            <w:tcW w:type="dxa" w:w="2952"/>
          </w:tcPr>
          <w:p>
            <w:pPr>
              <w:spacing w:after="20"/>
            </w:pPr>
            <w:r>
              <w:rPr>
                <w:b/>
                <w:color w:val="1C3A36"/>
                <w:sz w:val="16"/>
              </w:rPr>
              <w:t>Finance income</w:t>
            </w:r>
          </w:p>
        </w:tc>
        <w:tc>
          <w:tcPr>
            <w:tcW w:type="dxa" w:w="886"/>
          </w:tcPr>
          <w:p>
            <w:pPr>
              <w:spacing w:after="20"/>
              <w:jc w:val="right"/>
            </w:pPr>
            <w:r>
              <w:rPr>
                <w:color w:val="1C3A36"/>
                <w:sz w:val="16"/>
              </w:rPr>
              <w:t>1,482</w:t>
            </w:r>
          </w:p>
        </w:tc>
        <w:tc>
          <w:tcPr>
            <w:tcW w:type="dxa" w:w="886"/>
          </w:tcPr>
          <w:p>
            <w:pPr>
              <w:spacing w:after="20"/>
              <w:jc w:val="right"/>
            </w:pPr>
            <w:r>
              <w:rPr>
                <w:color w:val="1C3A36"/>
                <w:sz w:val="16"/>
              </w:rPr>
              <w:t>1,718</w:t>
            </w:r>
          </w:p>
        </w:tc>
        <w:tc>
          <w:tcPr>
            <w:tcW w:type="dxa" w:w="886"/>
          </w:tcPr>
          <w:p>
            <w:pPr>
              <w:spacing w:after="20"/>
              <w:jc w:val="right"/>
            </w:pPr>
            <w:r>
              <w:rPr>
                <w:color w:val="1C3A36"/>
                <w:sz w:val="16"/>
              </w:rPr>
              <w:t>1,276</w:t>
            </w:r>
          </w:p>
        </w:tc>
        <w:tc>
          <w:tcPr>
            <w:tcW w:type="dxa" w:w="886"/>
          </w:tcPr>
          <w:p>
            <w:pPr>
              <w:spacing w:after="20"/>
              <w:jc w:val="right"/>
            </w:pPr>
            <w:r>
              <w:rPr>
                <w:color w:val="1C3A36"/>
                <w:sz w:val="16"/>
              </w:rPr>
              <w:t>952</w:t>
            </w:r>
          </w:p>
        </w:tc>
        <w:tc>
          <w:tcPr>
            <w:tcW w:type="dxa" w:w="886"/>
          </w:tcPr>
          <w:p>
            <w:pPr>
              <w:spacing w:after="20"/>
              <w:jc w:val="right"/>
            </w:pPr>
            <w:r>
              <w:rPr>
                <w:color w:val="1C3A36"/>
                <w:sz w:val="16"/>
              </w:rPr>
              <w:t>972</w:t>
            </w:r>
          </w:p>
        </w:tc>
        <w:tc>
          <w:tcPr>
            <w:tcW w:type="dxa" w:w="886"/>
          </w:tcPr>
          <w:p>
            <w:pPr>
              <w:spacing w:after="20"/>
              <w:jc w:val="right"/>
            </w:pPr>
            <w:r>
              <w:rPr>
                <w:color w:val="1C3A36"/>
                <w:sz w:val="16"/>
              </w:rPr>
              <w:t>991</w:t>
            </w:r>
          </w:p>
        </w:tc>
        <w:tc>
          <w:tcPr>
            <w:tcW w:type="dxa" w:w="886"/>
          </w:tcPr>
          <w:p>
            <w:pPr>
              <w:spacing w:after="20"/>
              <w:jc w:val="right"/>
            </w:pPr>
            <w:r>
              <w:rPr>
                <w:color w:val="1C3A36"/>
                <w:sz w:val="16"/>
              </w:rPr>
              <w:t>1,011</w:t>
            </w:r>
          </w:p>
        </w:tc>
        <w:tc>
          <w:tcPr>
            <w:tcW w:type="dxa" w:w="886"/>
          </w:tcPr>
          <w:p>
            <w:pPr>
              <w:spacing w:after="20"/>
              <w:jc w:val="right"/>
            </w:pPr>
            <w:r>
              <w:rPr>
                <w:color w:val="1C3A36"/>
                <w:sz w:val="16"/>
              </w:rPr>
              <w:t>1,031</w:t>
            </w:r>
          </w:p>
        </w:tc>
      </w:tr>
      <w:tr>
        <w:tc>
          <w:tcPr>
            <w:tcW w:type="dxa" w:w="2952"/>
          </w:tcPr>
          <w:p>
            <w:pPr>
              <w:spacing w:after="20"/>
            </w:pPr>
            <w:r>
              <w:rPr>
                <w:b/>
                <w:color w:val="1C3A36"/>
                <w:sz w:val="16"/>
              </w:rPr>
              <w:t>Finance cost</w:t>
            </w:r>
          </w:p>
        </w:tc>
        <w:tc>
          <w:tcPr>
            <w:tcW w:type="dxa" w:w="886"/>
          </w:tcPr>
          <w:p>
            <w:pPr>
              <w:spacing w:after="20"/>
              <w:jc w:val="right"/>
            </w:pPr>
            <w:r>
              <w:rPr>
                <w:color w:val="1C3A36"/>
                <w:sz w:val="16"/>
              </w:rPr>
              <w:t>(1,068)</w:t>
            </w:r>
          </w:p>
        </w:tc>
        <w:tc>
          <w:tcPr>
            <w:tcW w:type="dxa" w:w="886"/>
          </w:tcPr>
          <w:p>
            <w:pPr>
              <w:spacing w:after="20"/>
              <w:jc w:val="right"/>
            </w:pPr>
            <w:r>
              <w:rPr>
                <w:color w:val="1C3A36"/>
                <w:sz w:val="16"/>
              </w:rPr>
              <w:t>(1,234)</w:t>
            </w:r>
          </w:p>
        </w:tc>
        <w:tc>
          <w:tcPr>
            <w:tcW w:type="dxa" w:w="886"/>
          </w:tcPr>
          <w:p>
            <w:pPr>
              <w:spacing w:after="20"/>
              <w:jc w:val="right"/>
            </w:pPr>
            <w:r>
              <w:rPr>
                <w:color w:val="1C3A36"/>
                <w:sz w:val="16"/>
              </w:rPr>
              <w:t>(1,125)</w:t>
            </w:r>
          </w:p>
        </w:tc>
        <w:tc>
          <w:tcPr>
            <w:tcW w:type="dxa" w:w="886"/>
          </w:tcPr>
          <w:p>
            <w:pPr>
              <w:spacing w:after="20"/>
              <w:jc w:val="right"/>
            </w:pPr>
            <w:r>
              <w:rPr>
                <w:color w:val="1C3A36"/>
                <w:sz w:val="16"/>
              </w:rPr>
              <w:t>(1,444)</w:t>
            </w:r>
          </w:p>
        </w:tc>
        <w:tc>
          <w:tcPr>
            <w:tcW w:type="dxa" w:w="886"/>
          </w:tcPr>
          <w:p>
            <w:pPr>
              <w:spacing w:after="20"/>
              <w:jc w:val="right"/>
            </w:pPr>
            <w:r>
              <w:rPr>
                <w:color w:val="1C3A36"/>
                <w:sz w:val="16"/>
              </w:rPr>
              <w:t>(1,474)</w:t>
            </w:r>
          </w:p>
        </w:tc>
        <w:tc>
          <w:tcPr>
            <w:tcW w:type="dxa" w:w="886"/>
          </w:tcPr>
          <w:p>
            <w:pPr>
              <w:spacing w:after="20"/>
              <w:jc w:val="right"/>
            </w:pPr>
            <w:r>
              <w:rPr>
                <w:color w:val="1C3A36"/>
                <w:sz w:val="16"/>
              </w:rPr>
              <w:t>(1,503)</w:t>
            </w:r>
          </w:p>
        </w:tc>
        <w:tc>
          <w:tcPr>
            <w:tcW w:type="dxa" w:w="886"/>
          </w:tcPr>
          <w:p>
            <w:pPr>
              <w:spacing w:after="20"/>
              <w:jc w:val="right"/>
            </w:pPr>
            <w:r>
              <w:rPr>
                <w:color w:val="1C3A36"/>
                <w:sz w:val="16"/>
              </w:rPr>
              <w:t>(1,533)</w:t>
            </w:r>
          </w:p>
        </w:tc>
        <w:tc>
          <w:tcPr>
            <w:tcW w:type="dxa" w:w="886"/>
          </w:tcPr>
          <w:p>
            <w:pPr>
              <w:spacing w:after="20"/>
              <w:jc w:val="right"/>
            </w:pPr>
            <w:r>
              <w:rPr>
                <w:color w:val="1C3A36"/>
                <w:sz w:val="16"/>
              </w:rPr>
              <w:t>(1,564)</w:t>
            </w:r>
          </w:p>
        </w:tc>
      </w:tr>
      <w:tr>
        <w:tc>
          <w:tcPr>
            <w:tcW w:type="dxa" w:w="2952"/>
          </w:tcPr>
          <w:p>
            <w:pPr>
              <w:spacing w:after="20"/>
            </w:pPr>
            <w:r>
              <w:rPr>
                <w:b/>
                <w:color w:val="1C3A36"/>
                <w:sz w:val="16"/>
              </w:rPr>
              <w:t>Other income, associates and other gains</w:t>
            </w:r>
          </w:p>
        </w:tc>
        <w:tc>
          <w:tcPr>
            <w:tcW w:type="dxa" w:w="886"/>
          </w:tcPr>
          <w:p>
            <w:pPr>
              <w:spacing w:after="20"/>
              <w:jc w:val="right"/>
            </w:pPr>
            <w:r>
              <w:rPr>
                <w:color w:val="1C3A36"/>
                <w:sz w:val="16"/>
              </w:rPr>
              <w:t>1,275</w:t>
            </w:r>
          </w:p>
        </w:tc>
        <w:tc>
          <w:tcPr>
            <w:tcW w:type="dxa" w:w="886"/>
          </w:tcPr>
          <w:p>
            <w:pPr>
              <w:spacing w:after="20"/>
              <w:jc w:val="right"/>
            </w:pPr>
            <w:r>
              <w:rPr>
                <w:color w:val="1C3A36"/>
                <w:sz w:val="16"/>
              </w:rPr>
              <w:t>-198</w:t>
            </w:r>
          </w:p>
        </w:tc>
        <w:tc>
          <w:tcPr>
            <w:tcW w:type="dxa" w:w="886"/>
          </w:tcPr>
          <w:p>
            <w:pPr>
              <w:spacing w:after="20"/>
              <w:jc w:val="right"/>
            </w:pPr>
            <w:r>
              <w:rPr>
                <w:color w:val="1C3A36"/>
                <w:sz w:val="16"/>
              </w:rPr>
              <w:t>957</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c>
          <w:tcPr>
            <w:tcW w:type="dxa" w:w="886"/>
          </w:tcPr>
          <w:p>
            <w:pPr>
              <w:spacing w:after="20"/>
              <w:jc w:val="right"/>
            </w:pPr>
            <w:r>
              <w:rPr>
                <w:color w:val="1C3A36"/>
                <w:sz w:val="16"/>
              </w:rPr>
              <w:t>not forecast</w:t>
            </w:r>
          </w:p>
        </w:tc>
      </w:tr>
      <w:tr>
        <w:tc>
          <w:tcPr>
            <w:tcW w:type="dxa" w:w="2952"/>
          </w:tcPr>
          <w:p>
            <w:pPr>
              <w:spacing w:after="20"/>
            </w:pPr>
            <w:r>
              <w:rPr>
                <w:b/>
                <w:color w:val="1C3A36"/>
                <w:sz w:val="16"/>
              </w:rPr>
              <w:t>Profit before zakat and income tax</w:t>
            </w:r>
          </w:p>
        </w:tc>
        <w:tc>
          <w:tcPr>
            <w:tcW w:type="dxa" w:w="886"/>
          </w:tcPr>
          <w:p>
            <w:pPr>
              <w:spacing w:after="20"/>
              <w:jc w:val="right"/>
            </w:pPr>
            <w:r>
              <w:rPr>
                <w:color w:val="1C3A36"/>
                <w:sz w:val="16"/>
              </w:rPr>
              <w:t>13,987</w:t>
            </w:r>
          </w:p>
        </w:tc>
        <w:tc>
          <w:tcPr>
            <w:tcW w:type="dxa" w:w="886"/>
          </w:tcPr>
          <w:p>
            <w:pPr>
              <w:spacing w:after="20"/>
              <w:jc w:val="right"/>
            </w:pPr>
            <w:r>
              <w:rPr>
                <w:color w:val="1C3A36"/>
                <w:sz w:val="16"/>
              </w:rPr>
              <w:t>12,134</w:t>
            </w:r>
          </w:p>
        </w:tc>
        <w:tc>
          <w:tcPr>
            <w:tcW w:type="dxa" w:w="886"/>
          </w:tcPr>
          <w:p>
            <w:pPr>
              <w:spacing w:after="20"/>
              <w:jc w:val="right"/>
            </w:pPr>
            <w:r>
              <w:rPr>
                <w:color w:val="1C3A36"/>
                <w:sz w:val="16"/>
              </w:rPr>
              <w:t>14,723</w:t>
            </w:r>
          </w:p>
        </w:tc>
        <w:tc>
          <w:tcPr>
            <w:tcW w:type="dxa" w:w="886"/>
          </w:tcPr>
          <w:p>
            <w:pPr>
              <w:spacing w:after="20"/>
              <w:jc w:val="right"/>
            </w:pPr>
            <w:r>
              <w:rPr>
                <w:color w:val="1C3A36"/>
                <w:sz w:val="16"/>
              </w:rPr>
              <w:t>13,503</w:t>
            </w:r>
          </w:p>
        </w:tc>
        <w:tc>
          <w:tcPr>
            <w:tcW w:type="dxa" w:w="886"/>
          </w:tcPr>
          <w:p>
            <w:pPr>
              <w:spacing w:after="20"/>
              <w:jc w:val="right"/>
            </w:pPr>
            <w:r>
              <w:rPr>
                <w:color w:val="1C3A36"/>
                <w:sz w:val="16"/>
              </w:rPr>
              <w:t>13,825</w:t>
            </w:r>
          </w:p>
        </w:tc>
        <w:tc>
          <w:tcPr>
            <w:tcW w:type="dxa" w:w="886"/>
          </w:tcPr>
          <w:p>
            <w:pPr>
              <w:spacing w:after="20"/>
              <w:jc w:val="right"/>
            </w:pPr>
            <w:r>
              <w:rPr>
                <w:color w:val="1C3A36"/>
                <w:sz w:val="16"/>
              </w:rPr>
              <w:t>14,132</w:t>
            </w:r>
          </w:p>
        </w:tc>
        <w:tc>
          <w:tcPr>
            <w:tcW w:type="dxa" w:w="886"/>
          </w:tcPr>
          <w:p>
            <w:pPr>
              <w:spacing w:after="20"/>
              <w:jc w:val="right"/>
            </w:pPr>
            <w:r>
              <w:rPr>
                <w:color w:val="1C3A36"/>
                <w:sz w:val="16"/>
              </w:rPr>
              <w:t>14,433</w:t>
            </w:r>
          </w:p>
        </w:tc>
        <w:tc>
          <w:tcPr>
            <w:tcW w:type="dxa" w:w="886"/>
          </w:tcPr>
          <w:p>
            <w:pPr>
              <w:spacing w:after="20"/>
              <w:jc w:val="right"/>
            </w:pPr>
            <w:r>
              <w:rPr>
                <w:color w:val="1C3A36"/>
                <w:sz w:val="16"/>
              </w:rPr>
              <w:t>14,722</w:t>
            </w:r>
          </w:p>
        </w:tc>
      </w:tr>
      <w:tr>
        <w:tc>
          <w:tcPr>
            <w:tcW w:type="dxa" w:w="2952"/>
          </w:tcPr>
          <w:p>
            <w:pPr>
              <w:spacing w:after="20"/>
            </w:pPr>
            <w:r>
              <w:rPr>
                <w:b/>
                <w:color w:val="1C3A36"/>
                <w:sz w:val="16"/>
              </w:rPr>
              <w:t>Zakat and income tax</w:t>
            </w:r>
          </w:p>
        </w:tc>
        <w:tc>
          <w:tcPr>
            <w:tcW w:type="dxa" w:w="886"/>
          </w:tcPr>
          <w:p>
            <w:pPr>
              <w:spacing w:after="20"/>
              <w:jc w:val="right"/>
            </w:pPr>
            <w:r>
              <w:rPr>
                <w:color w:val="1C3A36"/>
                <w:sz w:val="16"/>
              </w:rPr>
              <w:t>(1,327)</w:t>
            </w:r>
          </w:p>
        </w:tc>
        <w:tc>
          <w:tcPr>
            <w:tcW w:type="dxa" w:w="886"/>
          </w:tcPr>
          <w:p>
            <w:pPr>
              <w:spacing w:after="20"/>
              <w:jc w:val="right"/>
            </w:pPr>
            <w:r>
              <w:rPr>
                <w:color w:val="1C3A36"/>
                <w:sz w:val="16"/>
              </w:rPr>
              <w:t>(1,192)</w:t>
            </w:r>
          </w:p>
        </w:tc>
        <w:tc>
          <w:tcPr>
            <w:tcW w:type="dxa" w:w="886"/>
          </w:tcPr>
          <w:p>
            <w:pPr>
              <w:spacing w:after="20"/>
              <w:jc w:val="right"/>
            </w:pPr>
            <w:r>
              <w:rPr>
                <w:color w:val="1C3A36"/>
                <w:sz w:val="16"/>
              </w:rPr>
              <w:t>466</w:t>
            </w:r>
          </w:p>
        </w:tc>
        <w:tc>
          <w:tcPr>
            <w:tcW w:type="dxa" w:w="886"/>
          </w:tcPr>
          <w:p>
            <w:pPr>
              <w:spacing w:after="20"/>
              <w:jc w:val="right"/>
            </w:pPr>
            <w:r>
              <w:rPr>
                <w:color w:val="1C3A36"/>
                <w:sz w:val="16"/>
              </w:rPr>
              <w:t>(1,116)</w:t>
            </w:r>
          </w:p>
        </w:tc>
        <w:tc>
          <w:tcPr>
            <w:tcW w:type="dxa" w:w="886"/>
          </w:tcPr>
          <w:p>
            <w:pPr>
              <w:spacing w:after="20"/>
              <w:jc w:val="right"/>
            </w:pPr>
            <w:r>
              <w:rPr>
                <w:color w:val="1C3A36"/>
                <w:sz w:val="16"/>
              </w:rPr>
              <w:t>(1,143)</w:t>
            </w:r>
          </w:p>
        </w:tc>
        <w:tc>
          <w:tcPr>
            <w:tcW w:type="dxa" w:w="886"/>
          </w:tcPr>
          <w:p>
            <w:pPr>
              <w:spacing w:after="20"/>
              <w:jc w:val="right"/>
            </w:pPr>
            <w:r>
              <w:rPr>
                <w:color w:val="1C3A36"/>
                <w:sz w:val="16"/>
              </w:rPr>
              <w:t>(1,168)</w:t>
            </w:r>
          </w:p>
        </w:tc>
        <w:tc>
          <w:tcPr>
            <w:tcW w:type="dxa" w:w="886"/>
          </w:tcPr>
          <w:p>
            <w:pPr>
              <w:spacing w:after="20"/>
              <w:jc w:val="right"/>
            </w:pPr>
            <w:r>
              <w:rPr>
                <w:color w:val="1C3A36"/>
                <w:sz w:val="16"/>
              </w:rPr>
              <w:t>(1,193)</w:t>
            </w:r>
          </w:p>
        </w:tc>
        <w:tc>
          <w:tcPr>
            <w:tcW w:type="dxa" w:w="886"/>
          </w:tcPr>
          <w:p>
            <w:pPr>
              <w:spacing w:after="20"/>
              <w:jc w:val="right"/>
            </w:pPr>
            <w:r>
              <w:rPr>
                <w:color w:val="1C3A36"/>
                <w:sz w:val="16"/>
              </w:rPr>
              <w:t>(1,217)</w:t>
            </w:r>
          </w:p>
        </w:tc>
      </w:tr>
      <w:tr>
        <w:tc>
          <w:tcPr>
            <w:tcW w:type="dxa" w:w="2952"/>
          </w:tcPr>
          <w:p>
            <w:pPr>
              <w:spacing w:after="20"/>
            </w:pPr>
            <w:r>
              <w:rPr>
                <w:b/>
                <w:color w:val="1C3A36"/>
                <w:sz w:val="16"/>
              </w:rPr>
              <w:t>Profit from continuing operations</w:t>
            </w:r>
          </w:p>
        </w:tc>
        <w:tc>
          <w:tcPr>
            <w:tcW w:type="dxa" w:w="886"/>
          </w:tcPr>
          <w:p>
            <w:pPr>
              <w:spacing w:after="20"/>
              <w:jc w:val="right"/>
            </w:pPr>
            <w:r>
              <w:rPr>
                <w:color w:val="1C3A36"/>
                <w:sz w:val="16"/>
              </w:rPr>
              <w:t>12,660</w:t>
            </w:r>
          </w:p>
        </w:tc>
        <w:tc>
          <w:tcPr>
            <w:tcW w:type="dxa" w:w="886"/>
          </w:tcPr>
          <w:p>
            <w:pPr>
              <w:spacing w:after="20"/>
              <w:jc w:val="right"/>
            </w:pPr>
            <w:r>
              <w:rPr>
                <w:color w:val="1C3A36"/>
                <w:sz w:val="16"/>
              </w:rPr>
              <w:t>10,943</w:t>
            </w:r>
          </w:p>
        </w:tc>
        <w:tc>
          <w:tcPr>
            <w:tcW w:type="dxa" w:w="886"/>
          </w:tcPr>
          <w:p>
            <w:pPr>
              <w:spacing w:after="20"/>
              <w:jc w:val="right"/>
            </w:pPr>
            <w:r>
              <w:rPr>
                <w:color w:val="1C3A36"/>
                <w:sz w:val="16"/>
              </w:rPr>
              <w:t>15,189</w:t>
            </w:r>
          </w:p>
        </w:tc>
        <w:tc>
          <w:tcPr>
            <w:tcW w:type="dxa" w:w="886"/>
          </w:tcPr>
          <w:p>
            <w:pPr>
              <w:spacing w:after="20"/>
              <w:jc w:val="right"/>
            </w:pPr>
            <w:r>
              <w:rPr>
                <w:color w:val="1C3A36"/>
                <w:sz w:val="16"/>
              </w:rPr>
              <w:t>12,387</w:t>
            </w:r>
          </w:p>
        </w:tc>
        <w:tc>
          <w:tcPr>
            <w:tcW w:type="dxa" w:w="886"/>
          </w:tcPr>
          <w:p>
            <w:pPr>
              <w:spacing w:after="20"/>
              <w:jc w:val="right"/>
            </w:pPr>
            <w:r>
              <w:rPr>
                <w:color w:val="1C3A36"/>
                <w:sz w:val="16"/>
              </w:rPr>
              <w:t>12,682</w:t>
            </w:r>
          </w:p>
        </w:tc>
        <w:tc>
          <w:tcPr>
            <w:tcW w:type="dxa" w:w="886"/>
          </w:tcPr>
          <w:p>
            <w:pPr>
              <w:spacing w:after="20"/>
              <w:jc w:val="right"/>
            </w:pPr>
            <w:r>
              <w:rPr>
                <w:color w:val="1C3A36"/>
                <w:sz w:val="16"/>
              </w:rPr>
              <w:t>12,964</w:t>
            </w:r>
          </w:p>
        </w:tc>
        <w:tc>
          <w:tcPr>
            <w:tcW w:type="dxa" w:w="886"/>
          </w:tcPr>
          <w:p>
            <w:pPr>
              <w:spacing w:after="20"/>
              <w:jc w:val="right"/>
            </w:pPr>
            <w:r>
              <w:rPr>
                <w:color w:val="1C3A36"/>
                <w:sz w:val="16"/>
              </w:rPr>
              <w:t>13,240</w:t>
            </w:r>
          </w:p>
        </w:tc>
        <w:tc>
          <w:tcPr>
            <w:tcW w:type="dxa" w:w="886"/>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in four rings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Ring</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ring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ring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ring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ring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company-ring finding into this row.</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Probability-weighted fair value</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