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5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4.04 a share if the capital programme is carried through and EGP 8.04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4.04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THE TWO LENSES THAT DO ASK SPLIT ON THE ANSWER, and the split is the study: carrying the programme through gives EGP 4.04 and stopping it gives EGP 8.04 — a difference of EGP 4.00 a share that is what the capital costs its owners. Both sit below the traded price, and so does normalised earnings at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18.3%, terminal growth 7.0%</w:t>
            </w:r>
          </w:p>
        </w:tc>
        <w:tc>
          <w:tcPr>
            <w:tcW w:type="dxa" w:w="1512"/>
          </w:tcPr>
          <w:p>
            <w:pPr>
              <w:spacing w:after="20"/>
              <w:jc w:val="right"/>
            </w:pPr>
            <w:r>
              <w:rPr>
                <w:color w:val="1C3A36"/>
                <w:sz w:val="15"/>
              </w:rPr>
              <w:t>0.91 to 4.17</w:t>
            </w:r>
          </w:p>
        </w:tc>
        <w:tc>
          <w:tcPr>
            <w:tcW w:type="dxa" w:w="1008"/>
          </w:tcPr>
          <w:p>
            <w:pPr>
              <w:spacing w:after="20"/>
              <w:jc w:val="right"/>
            </w:pPr>
            <w:r>
              <w:rPr>
                <w:color w:val="1C3A36"/>
                <w:sz w:val="15"/>
              </w:rPr>
              <w:t>4.04</w:t>
            </w:r>
          </w:p>
        </w:tc>
        <w:tc>
          <w:tcPr>
            <w:tcW w:type="dxa" w:w="936"/>
          </w:tcPr>
          <w:p>
            <w:pPr>
              <w:spacing w:after="20"/>
              <w:jc w:val="right"/>
            </w:pPr>
            <w:r>
              <w:rPr>
                <w:color w:val="1C3A36"/>
                <w:sz w:val="15"/>
              </w:rPr>
              <w:t>-72%</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5.33 to 8.11</w:t>
            </w:r>
          </w:p>
        </w:tc>
        <w:tc>
          <w:tcPr>
            <w:tcW w:type="dxa" w:w="1008"/>
          </w:tcPr>
          <w:p>
            <w:pPr>
              <w:spacing w:after="20"/>
              <w:jc w:val="right"/>
            </w:pPr>
            <w:r>
              <w:rPr>
                <w:color w:val="1C3A36"/>
                <w:sz w:val="15"/>
              </w:rPr>
              <w:t>8.04</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4.04 with the capital programme carried through — the company's own stated plan — and EGP 8.04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4.04 to 15.99</w:t>
            </w:r>
          </w:p>
        </w:tc>
        <w:tc>
          <w:tcPr>
            <w:tcW w:type="dxa" w:w="1008"/>
            <w:shd w:val="clear" w:color="auto" w:fill="F6F1E6"/>
          </w:tcPr>
          <w:p>
            <w:pPr>
              <w:spacing w:after="20"/>
              <w:jc w:val="right"/>
            </w:pPr>
            <w:r>
              <w:rPr>
                <w:b/>
                <w:color w:val="1C3A36"/>
                <w:sz w:val="15"/>
              </w:rPr>
              <w:t>4.04</w:t>
            </w:r>
          </w:p>
        </w:tc>
        <w:tc>
          <w:tcPr>
            <w:tcW w:type="dxa" w:w="936"/>
            <w:shd w:val="clear" w:color="auto" w:fill="F6F1E6"/>
          </w:tcPr>
          <w:p>
            <w:pPr>
              <w:spacing w:after="20"/>
              <w:jc w:val="right"/>
            </w:pPr>
            <w:r>
              <w:rPr>
                <w:b/>
                <w:color w:val="1C3A36"/>
                <w:sz w:val="15"/>
              </w:rPr>
              <w:t>-72%</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2.51</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1.44</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2.45</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2.89</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5.78</w:t>
            </w:r>
          </w:p>
        </w:tc>
        <w:tc>
          <w:tcPr>
            <w:tcW w:type="dxa" w:w="936"/>
          </w:tcPr>
          <w:p>
            <w:pPr>
              <w:spacing w:after="20"/>
              <w:jc w:val="right"/>
            </w:pPr>
            <w:r>
              <w:rPr>
                <w:color w:val="1C3A36"/>
                <w:sz w:val="15"/>
              </w:rPr>
              <w:t>-60%</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1.33</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4.47</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3.13</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1.82</w:t>
            </w:r>
          </w:p>
        </w:tc>
        <w:tc>
          <w:tcPr>
            <w:tcW w:type="dxa" w:w="936"/>
          </w:tcPr>
          <w:p>
            <w:pPr>
              <w:spacing w:after="20"/>
              <w:jc w:val="right"/>
            </w:pPr>
            <w:r>
              <w:rPr>
                <w:color w:val="1C3A36"/>
                <w:sz w:val="15"/>
              </w:rPr>
              <w:t>-87%</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4.88</w:t>
            </w:r>
          </w:p>
        </w:tc>
        <w:tc>
          <w:tcPr>
            <w:tcW w:type="dxa" w:w="936"/>
          </w:tcPr>
          <w:p>
            <w:pPr>
              <w:spacing w:after="20"/>
              <w:jc w:val="right"/>
            </w:pPr>
            <w:r>
              <w:rPr>
                <w:color w:val="1C3A36"/>
                <w:sz w:val="15"/>
              </w:rPr>
              <w:t>-66%</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3.83</w:t>
            </w:r>
          </w:p>
        </w:tc>
        <w:tc>
          <w:tcPr>
            <w:tcW w:type="dxa" w:w="936"/>
          </w:tcPr>
          <w:p>
            <w:pPr>
              <w:spacing w:after="20"/>
              <w:jc w:val="right"/>
            </w:pPr>
            <w:r>
              <w:rPr>
                <w:color w:val="1C3A36"/>
                <w:sz w:val="15"/>
              </w:rPr>
              <w:t>-73%</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73.5%</w:t>
            </w:r>
          </w:p>
        </w:tc>
        <w:tc>
          <w:tcPr>
            <w:tcW w:type="dxa" w:w="2736"/>
          </w:tcPr>
          <w:p>
            <w:pPr>
              <w:spacing w:after="20"/>
              <w:jc w:val="right"/>
            </w:pPr>
            <w:r>
              <w:rPr>
                <w:color w:val="1C3A36"/>
                <w:sz w:val="17"/>
              </w:rPr>
              <w:t>51.0%</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3,843 million on the carried-through case, so the terminal block carries 73.5%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2.71 a share. The narrowest is terminal growth, worth EGP 1.59.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23.82%</w:t>
            </w:r>
          </w:p>
        </w:tc>
        <w:tc>
          <w:tcPr>
            <w:tcW w:type="dxa" w:w="1426"/>
          </w:tcPr>
          <w:p>
            <w:pPr>
              <w:spacing w:after="20"/>
              <w:jc w:val="right"/>
            </w:pPr>
            <w:r>
              <w:rPr>
                <w:color w:val="1C3A36"/>
                <w:sz w:val="16"/>
              </w:rPr>
              <w:t>22.24%</w:t>
            </w:r>
          </w:p>
        </w:tc>
        <w:tc>
          <w:tcPr>
            <w:tcW w:type="dxa" w:w="1426"/>
          </w:tcPr>
          <w:p>
            <w:pPr>
              <w:spacing w:after="20"/>
              <w:jc w:val="right"/>
            </w:pPr>
            <w:r>
              <w:rPr>
                <w:color w:val="1C3A36"/>
                <w:sz w:val="16"/>
              </w:rPr>
              <w:t>21.02%</w:t>
            </w:r>
          </w:p>
        </w:tc>
        <w:tc>
          <w:tcPr>
            <w:tcW w:type="dxa" w:w="1426"/>
          </w:tcPr>
          <w:p>
            <w:pPr>
              <w:spacing w:after="20"/>
              <w:jc w:val="right"/>
            </w:pPr>
            <w:r>
              <w:rPr>
                <w:color w:val="1C3A36"/>
                <w:sz w:val="16"/>
              </w:rPr>
              <w:t>20.01%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0.6422</w:t>
            </w:r>
          </w:p>
        </w:tc>
        <w:tc>
          <w:tcPr>
            <w:tcW w:type="dxa" w:w="1426"/>
          </w:tcPr>
          <w:p>
            <w:pPr>
              <w:spacing w:after="20"/>
              <w:jc w:val="right"/>
            </w:pPr>
            <w:r>
              <w:rPr>
                <w:color w:val="1C3A36"/>
                <w:sz w:val="16"/>
              </w:rPr>
              <w:t>0.5253</w:t>
            </w:r>
          </w:p>
        </w:tc>
        <w:tc>
          <w:tcPr>
            <w:tcW w:type="dxa" w:w="1426"/>
          </w:tcPr>
          <w:p>
            <w:pPr>
              <w:spacing w:after="20"/>
              <w:jc w:val="right"/>
            </w:pPr>
            <w:r>
              <w:rPr>
                <w:color w:val="1C3A36"/>
                <w:sz w:val="16"/>
              </w:rPr>
              <w:t>0.4341</w:t>
            </w:r>
          </w:p>
        </w:tc>
        <w:tc>
          <w:tcPr>
            <w:tcW w:type="dxa" w:w="1426"/>
          </w:tcPr>
          <w:p>
            <w:pPr>
              <w:spacing w:after="20"/>
              <w:jc w:val="right"/>
            </w:pPr>
            <w:r>
              <w:rPr>
                <w:color w:val="1C3A36"/>
                <w:sz w:val="16"/>
              </w:rPr>
              <w:t>0.3617</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522</w:t>
            </w:r>
          </w:p>
        </w:tc>
        <w:tc>
          <w:tcPr>
            <w:tcW w:type="dxa" w:w="1426"/>
            <w:shd w:val="clear" w:color="auto" w:fill="F6F1E6"/>
          </w:tcPr>
          <w:p>
            <w:pPr>
              <w:spacing w:after="20"/>
              <w:jc w:val="right"/>
            </w:pPr>
            <w:r>
              <w:rPr>
                <w:b/>
                <w:color w:val="1C3A36"/>
                <w:sz w:val="16"/>
              </w:rPr>
              <w:t>768</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3,843</w:t>
            </w:r>
          </w:p>
        </w:tc>
        <w:tc>
          <w:tcPr>
            <w:tcW w:type="dxa" w:w="2808"/>
          </w:tcPr>
          <w:p>
            <w:pPr>
              <w:spacing w:after="20"/>
              <w:jc w:val="right"/>
            </w:pPr>
            <w:r>
              <w:rPr>
                <w:color w:val="1C3A36"/>
                <w:sz w:val="17"/>
              </w:rPr>
              <w:t>11,013</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10,677</w:t>
            </w:r>
          </w:p>
        </w:tc>
        <w:tc>
          <w:tcPr>
            <w:tcW w:type="dxa" w:w="2808"/>
          </w:tcPr>
          <w:p>
            <w:pPr>
              <w:spacing w:after="20"/>
              <w:jc w:val="right"/>
            </w:pPr>
            <w:r>
              <w:rPr>
                <w:color w:val="1C3A36"/>
                <w:sz w:val="17"/>
              </w:rPr>
              <w:t>11,451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14,519</w:t>
            </w:r>
          </w:p>
        </w:tc>
        <w:tc>
          <w:tcPr>
            <w:tcW w:type="dxa" w:w="2808"/>
            <w:shd w:val="clear" w:color="auto" w:fill="F6F1E6"/>
          </w:tcPr>
          <w:p>
            <w:pPr>
              <w:spacing w:after="20"/>
              <w:jc w:val="right"/>
            </w:pPr>
            <w:r>
              <w:rPr>
                <w:b/>
                <w:color w:val="1C3A36"/>
                <w:sz w:val="17"/>
              </w:rPr>
              <w:t>22,464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73.5%</w:t>
            </w:r>
          </w:p>
        </w:tc>
        <w:tc>
          <w:tcPr>
            <w:tcW w:type="dxa" w:w="2808"/>
            <w:shd w:val="clear" w:color="auto" w:fill="F6F1E6"/>
          </w:tcPr>
          <w:p>
            <w:pPr>
              <w:spacing w:after="20"/>
              <w:jc w:val="right"/>
            </w:pPr>
            <w:r>
              <w:rPr>
                <w:b/>
                <w:color w:val="1C3A36"/>
                <w:sz w:val="17"/>
              </w:rPr>
              <w:t>51.0%</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8,025</w:t>
            </w:r>
          </w:p>
        </w:tc>
        <w:tc>
          <w:tcPr>
            <w:tcW w:type="dxa" w:w="2808"/>
            <w:shd w:val="clear" w:color="auto" w:fill="F6F1E6"/>
          </w:tcPr>
          <w:p>
            <w:pPr>
              <w:spacing w:after="20"/>
              <w:jc w:val="right"/>
            </w:pPr>
            <w:r>
              <w:rPr>
                <w:b/>
                <w:color w:val="1C3A36"/>
                <w:sz w:val="17"/>
              </w:rPr>
              <w:t>15,970</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4.04</w:t>
            </w:r>
          </w:p>
        </w:tc>
        <w:tc>
          <w:tcPr>
            <w:tcW w:type="dxa" w:w="2808"/>
            <w:shd w:val="clear" w:color="auto" w:fill="F6F1E6"/>
          </w:tcPr>
          <w:p>
            <w:pPr>
              <w:spacing w:after="20"/>
              <w:jc w:val="right"/>
            </w:pPr>
            <w:r>
              <w:rPr>
                <w:b/>
                <w:color w:val="1C3A36"/>
                <w:sz w:val="17"/>
              </w:rPr>
              <w:t>8.04</w:t>
            </w:r>
          </w:p>
        </w:tc>
      </w:tr>
    </w:tbl>
    <w:p>
      <w:pPr>
        <w:spacing w:after="40"/>
      </w:pPr>
    </w:p>
    <w:p>
      <w:pPr>
        <w:spacing w:after="200" w:before="0"/>
      </w:pPr>
      <w:r>
        <w:rPr>
          <w:b w:val="0"/>
          <w:i/>
          <w:color w:val="6E7B77"/>
          <w:sz w:val="17"/>
        </w:rPr>
        <w:t>Table 5.  Net debt of EGP 10,032 million stands against an enterprise value of EGP 14,519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7.31</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4.04</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7.31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14,519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13.0%, which is 10.0%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3.0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Less 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w:t>
            </w:r>
          </w:p>
        </w:tc>
        <w:tc>
          <w:tcPr>
            <w:tcW w:type="dxa" w:w="3600"/>
            <w:shd w:val="clear" w:color="auto" w:fill="F6F1E6"/>
          </w:tcPr>
          <w:p>
            <w:pPr>
              <w:spacing w:after="20"/>
              <w:jc w:val="right"/>
            </w:pPr>
            <w:r>
              <w:rPr>
                <w:b/>
                <w:color w:val="1C3A36"/>
                <w:sz w:val="17"/>
              </w:rPr>
              <w:t>1,938</w:t>
            </w:r>
          </w:p>
        </w:tc>
      </w:tr>
      <w:tr>
        <w:trPr>
          <w:cantSplit/>
        </w:trPr>
        <w:tc>
          <w:tcPr>
            <w:tcW w:type="dxa" w:w="6336"/>
          </w:tcPr>
          <w:p>
            <w:pPr>
              <w:spacing w:after="20"/>
            </w:pPr>
            <w:r>
              <w:rPr>
                <w:color w:val="1C3A36"/>
                <w:sz w:val="17"/>
              </w:rPr>
              <w:t>Less tax at 22.5%</w:t>
            </w:r>
          </w:p>
        </w:tc>
        <w:tc>
          <w:tcPr>
            <w:tcW w:type="dxa" w:w="3600"/>
          </w:tcPr>
          <w:p>
            <w:pPr>
              <w:spacing w:after="20"/>
              <w:jc w:val="right"/>
            </w:pPr>
            <w:r>
              <w:rPr>
                <w:color w:val="1C3A36"/>
                <w:sz w:val="17"/>
              </w:rPr>
              <w:t>-436</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10.0 times — enterprise value</w:t>
            </w:r>
          </w:p>
        </w:tc>
        <w:tc>
          <w:tcPr>
            <w:tcW w:type="dxa" w:w="3600"/>
          </w:tcPr>
          <w:p>
            <w:pPr>
              <w:spacing w:after="20"/>
              <w:jc w:val="right"/>
            </w:pPr>
            <w:r>
              <w:rPr>
                <w:color w:val="1C3A36"/>
                <w:sz w:val="17"/>
              </w:rPr>
              <w:t>15,016</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-10,032</w:t>
            </w:r>
          </w:p>
        </w:tc>
      </w:tr>
      <w:tr>
        <w:trPr>
          <w:cantSplit/>
        </w:trPr>
        <w:tc>
          <w:tcPr>
            <w:tcW w:type="dxa" w:w="6336"/>
          </w:tcPr>
          <w:p>
            <w:pPr>
              <w:spacing w:after="20"/>
            </w:pPr>
            <w:r>
              <w:rPr>
                <w:color w:val="1C3A36"/>
                <w:sz w:val="17"/>
              </w:rPr>
              <w:t>Plus listed stakes at market and investment property</w:t>
            </w:r>
          </w:p>
        </w:tc>
        <w:tc>
          <w:tcPr>
            <w:tcW w:type="dxa" w:w="3600"/>
          </w:tcPr>
          <w:p>
            <w:pPr>
              <w:spacing w:after="20"/>
              <w:jc w:val="right"/>
            </w:pPr>
            <w:r>
              <w:rPr>
                <w:color w:val="1C3A36"/>
                <w:sz w:val="17"/>
              </w:rPr>
              <w:t>3,538</w:t>
            </w:r>
          </w:p>
        </w:tc>
      </w:tr>
      <w:tr>
        <w:trPr>
          <w:cantSplit/>
        </w:trPr>
        <w:tc>
          <w:tcPr>
            <w:tcW w:type="dxa" w:w="6336"/>
            <w:shd w:val="clear" w:color="auto" w:fill="F6F1E6"/>
          </w:tcPr>
          <w:p>
            <w:pPr>
              <w:spacing w:after="20"/>
            </w:pPr>
            <w:r>
              <w:rPr>
                <w:b/>
                <w:color w:val="1C3A36"/>
                <w:sz w:val="17"/>
              </w:rPr>
              <w:t>Equity value</w:t>
            </w:r>
          </w:p>
        </w:tc>
        <w:tc>
          <w:tcPr>
            <w:tcW w:type="dxa" w:w="3600"/>
            <w:shd w:val="clear" w:color="auto" w:fill="F6F1E6"/>
          </w:tcPr>
          <w:p>
            <w:pPr>
              <w:spacing w:after="20"/>
              <w:jc w:val="right"/>
            </w:pPr>
            <w:r>
              <w:rPr>
                <w:b/>
                <w:color w:val="1C3A36"/>
                <w:sz w:val="17"/>
              </w:rPr>
              <w:t>8,522</w:t>
            </w:r>
          </w:p>
        </w:tc>
      </w:tr>
      <w:tr>
        <w:trPr>
          <w:cantSplit/>
        </w:trPr>
        <w:tc>
          <w:tcPr>
            <w:tcW w:type="dxa" w:w="6336"/>
          </w:tcPr>
          <w:p>
            <w:pPr>
              <w:spacing w:after="20"/>
            </w:pPr>
            <w:r>
              <w:rPr>
                <w:color w:val="1C3A36"/>
                <w:sz w:val="17"/>
              </w:rPr>
              <w:t>Divided by shares in issue (1,986.6 million)</w:t>
            </w:r>
          </w:p>
        </w:tc>
        <w:tc>
          <w:tcPr>
            <w:tcW w:type="dxa" w:w="3600"/>
          </w:tcPr>
          <w:p>
            <w:pPr>
              <w:spacing w:after="20"/>
              <w:jc w:val="right"/>
            </w:pPr>
            <w:r>
              <w:rPr>
                <w:color w:val="1C3A36"/>
                <w:sz w:val="17"/>
              </w:rPr>
            </w:r>
          </w:p>
        </w:tc>
      </w:tr>
      <w:tr>
        <w:trPr>
          <w:cantSplit/>
        </w:trPr>
        <w:tc>
          <w:tcPr>
            <w:tcW w:type="dxa" w:w="6336"/>
            <w:shd w:val="clear" w:color="auto" w:fill="F6F1E6"/>
          </w:tcPr>
          <w:p>
            <w:pPr>
              <w:spacing w:after="20"/>
            </w:pPr>
            <w:r>
              <w:rPr>
                <w:b/>
                <w:color w:val="1C3A36"/>
                <w:sz w:val="17"/>
              </w:rPr>
              <w:t>Value per share at 10.0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8.0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12.0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 The column is printed in full: tax, net debt, the non-operating assets and the share count all appear, so a reader adding it up reaches the figure at the bottom.</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4.04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4.04 a share with the capital programme carried through, 72% below the traded price, and EGP 8.04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4.04 a share. Stopped, EGP 8.04. The difference, EGP 4.00 a share or EGP 7,945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18.3%</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2.89 a share on the carried-through cash-flow lens against EGP 4.04, a difference of EGP -1.15.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12.50%, and the terminal cost of capital is 18.33%.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Eleven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4.04</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2.51</w:t>
            </w:r>
          </w:p>
        </w:tc>
        <w:tc>
          <w:tcPr>
            <w:tcW w:type="dxa" w:w="950"/>
          </w:tcPr>
          <w:p>
            <w:pPr>
              <w:spacing w:after="20"/>
              <w:jc w:val="right"/>
            </w:pPr>
            <w:r>
              <w:rPr>
                <w:color w:val="1C3A36"/>
                <w:sz w:val="15"/>
              </w:rPr>
              <w:t>-1.53</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1.44</w:t>
            </w:r>
          </w:p>
        </w:tc>
        <w:tc>
          <w:tcPr>
            <w:tcW w:type="dxa" w:w="950"/>
          </w:tcPr>
          <w:p>
            <w:pPr>
              <w:spacing w:after="20"/>
              <w:jc w:val="right"/>
            </w:pPr>
            <w:r>
              <w:rPr>
                <w:color w:val="1C3A36"/>
                <w:sz w:val="15"/>
              </w:rPr>
              <w:t>-2.60</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2.45</w:t>
            </w:r>
          </w:p>
        </w:tc>
        <w:tc>
          <w:tcPr>
            <w:tcW w:type="dxa" w:w="950"/>
          </w:tcPr>
          <w:p>
            <w:pPr>
              <w:spacing w:after="20"/>
              <w:jc w:val="right"/>
            </w:pPr>
            <w:r>
              <w:rPr>
                <w:color w:val="1C3A36"/>
                <w:sz w:val="15"/>
              </w:rPr>
              <w:t>-1.59</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2.89</w:t>
            </w:r>
          </w:p>
        </w:tc>
        <w:tc>
          <w:tcPr>
            <w:tcW w:type="dxa" w:w="950"/>
          </w:tcPr>
          <w:p>
            <w:pPr>
              <w:spacing w:after="20"/>
              <w:jc w:val="right"/>
            </w:pPr>
            <w:r>
              <w:rPr>
                <w:color w:val="1C3A36"/>
                <w:sz w:val="15"/>
              </w:rPr>
              <w:t>-1.15</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5.78</w:t>
            </w:r>
          </w:p>
        </w:tc>
        <w:tc>
          <w:tcPr>
            <w:tcW w:type="dxa" w:w="950"/>
          </w:tcPr>
          <w:p>
            <w:pPr>
              <w:spacing w:after="20"/>
              <w:jc w:val="right"/>
            </w:pPr>
            <w:r>
              <w:rPr>
                <w:color w:val="1C3A36"/>
                <w:sz w:val="15"/>
              </w:rPr>
              <w:t>+1.74</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1.33</w:t>
            </w:r>
          </w:p>
        </w:tc>
        <w:tc>
          <w:tcPr>
            <w:tcW w:type="dxa" w:w="950"/>
          </w:tcPr>
          <w:p>
            <w:pPr>
              <w:spacing w:after="20"/>
              <w:jc w:val="right"/>
            </w:pPr>
            <w:r>
              <w:rPr>
                <w:color w:val="1C3A36"/>
                <w:sz w:val="15"/>
              </w:rPr>
              <w:t>-2.71</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4.47</w:t>
            </w:r>
          </w:p>
        </w:tc>
        <w:tc>
          <w:tcPr>
            <w:tcW w:type="dxa" w:w="950"/>
          </w:tcPr>
          <w:p>
            <w:pPr>
              <w:spacing w:after="20"/>
              <w:jc w:val="right"/>
            </w:pPr>
            <w:r>
              <w:rPr>
                <w:color w:val="1C3A36"/>
                <w:sz w:val="15"/>
              </w:rPr>
              <w:t>+0.43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3.13</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1.82</w:t>
            </w:r>
          </w:p>
        </w:tc>
        <w:tc>
          <w:tcPr>
            <w:tcW w:type="dxa" w:w="950"/>
          </w:tcPr>
          <w:p>
            <w:pPr>
              <w:spacing w:after="20"/>
              <w:jc w:val="right"/>
            </w:pPr>
            <w:r>
              <w:rPr>
                <w:color w:val="1C3A36"/>
                <w:sz w:val="15"/>
              </w:rPr>
              <w:t>-2.22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4.88</w:t>
            </w:r>
          </w:p>
        </w:tc>
        <w:tc>
          <w:tcPr>
            <w:tcW w:type="dxa" w:w="950"/>
          </w:tcPr>
          <w:p>
            <w:pPr>
              <w:spacing w:after="20"/>
              <w:jc w:val="right"/>
            </w:pPr>
            <w:r>
              <w:rPr>
                <w:color w:val="1C3A36"/>
                <w:sz w:val="15"/>
              </w:rPr>
              <w:t>+0.84</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3.83</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(-2.71) and glide (-2.60); none of the 11,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-0.41</w:t>
            </w:r>
          </w:p>
        </w:tc>
        <w:tc>
          <w:tcPr>
            <w:tcW w:type="dxa" w:w="1483"/>
          </w:tcPr>
          <w:p>
            <w:pPr>
              <w:spacing w:after="20"/>
              <w:jc w:val="right"/>
            </w:pPr>
            <w:r>
              <w:rPr>
                <w:color w:val="1C3A36"/>
                <w:sz w:val="17"/>
              </w:rPr>
              <w:t>1.81</w:t>
            </w:r>
          </w:p>
        </w:tc>
        <w:tc>
          <w:tcPr>
            <w:tcW w:type="dxa" w:w="1483"/>
          </w:tcPr>
          <w:p>
            <w:pPr>
              <w:spacing w:after="20"/>
              <w:jc w:val="right"/>
            </w:pPr>
            <w:r>
              <w:rPr>
                <w:color w:val="1C3A36"/>
                <w:sz w:val="17"/>
              </w:rPr>
              <w:t>4.04</w:t>
            </w:r>
          </w:p>
        </w:tc>
        <w:tc>
          <w:tcPr>
            <w:tcW w:type="dxa" w:w="1483"/>
          </w:tcPr>
          <w:p>
            <w:pPr>
              <w:spacing w:after="20"/>
              <w:jc w:val="right"/>
            </w:pPr>
            <w:r>
              <w:rPr>
                <w:color w:val="1C3A36"/>
                <w:sz w:val="17"/>
              </w:rPr>
              <w:t>6.26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1.33</w:t>
            </w:r>
          </w:p>
        </w:tc>
        <w:tc>
          <w:tcPr>
            <w:tcW w:type="dxa" w:w="1483"/>
          </w:tcPr>
          <w:p>
            <w:pPr>
              <w:spacing w:after="20"/>
              <w:jc w:val="right"/>
            </w:pPr>
            <w:r>
              <w:rPr>
                <w:color w:val="1C3A36"/>
                <w:sz w:val="17"/>
              </w:rPr>
              <w:t>3.38</w:t>
            </w:r>
          </w:p>
        </w:tc>
        <w:tc>
          <w:tcPr>
            <w:tcW w:type="dxa" w:w="1483"/>
          </w:tcPr>
          <w:p>
            <w:pPr>
              <w:spacing w:after="20"/>
              <w:jc w:val="right"/>
            </w:pPr>
            <w:r>
              <w:rPr>
                <w:color w:val="1C3A36"/>
                <w:sz w:val="17"/>
              </w:rPr>
              <w:t>5.42</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-2.87</w:t>
            </w:r>
          </w:p>
        </w:tc>
        <w:tc>
          <w:tcPr>
            <w:tcW w:type="dxa" w:w="1483"/>
          </w:tcPr>
          <w:p>
            <w:pPr>
              <w:spacing w:after="20"/>
              <w:jc w:val="right"/>
            </w:pPr>
            <w:r>
              <w:rPr>
                <w:color w:val="1C3A36"/>
                <w:sz w:val="17"/>
              </w:rPr>
              <w:t>-0.99</w:t>
            </w:r>
          </w:p>
        </w:tc>
        <w:tc>
          <w:tcPr>
            <w:tcW w:type="dxa" w:w="1483"/>
          </w:tcPr>
          <w:p>
            <w:pPr>
              <w:spacing w:after="20"/>
              <w:jc w:val="right"/>
            </w:pPr>
            <w:r>
              <w:rPr>
                <w:color w:val="1C3A36"/>
                <w:sz w:val="17"/>
              </w:rPr>
              <w:t>0.88</w:t>
            </w:r>
          </w:p>
        </w:tc>
        <w:tc>
          <w:tcPr>
            <w:tcW w:type="dxa" w:w="1483"/>
          </w:tcPr>
          <w:p>
            <w:pPr>
              <w:spacing w:after="20"/>
              <w:jc w:val="right"/>
            </w:pPr>
            <w:r>
              <w:rPr>
                <w:color w:val="1C3A36"/>
                <w:sz w:val="17"/>
              </w:rPr>
              <w:t>2.75</w:t>
            </w:r>
          </w:p>
        </w:tc>
        <w:tc>
          <w:tcPr>
            <w:tcW w:type="dxa" w:w="1483"/>
          </w:tcPr>
          <w:p>
            <w:pPr>
              <w:spacing w:after="20"/>
              <w:jc w:val="right"/>
            </w:pPr>
            <w:r>
              <w:rPr>
                <w:color w:val="1C3A36"/>
                <w:sz w:val="17"/>
              </w:rPr>
              <w:t>4.63</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-2.94</w:t>
            </w:r>
          </w:p>
        </w:tc>
        <w:tc>
          <w:tcPr>
            <w:tcW w:type="dxa" w:w="1483"/>
          </w:tcPr>
          <w:p>
            <w:pPr>
              <w:spacing w:after="20"/>
              <w:jc w:val="right"/>
            </w:pPr>
            <w:r>
              <w:rPr>
                <w:color w:val="1C3A36"/>
                <w:sz w:val="17"/>
              </w:rPr>
              <w:t>-1.18</w:t>
            </w:r>
          </w:p>
        </w:tc>
        <w:tc>
          <w:tcPr>
            <w:tcW w:type="dxa" w:w="1483"/>
          </w:tcPr>
          <w:p>
            <w:pPr>
              <w:spacing w:after="20"/>
              <w:jc w:val="right"/>
            </w:pPr>
            <w:r>
              <w:rPr>
                <w:color w:val="1C3A36"/>
                <w:sz w:val="17"/>
              </w:rPr>
              <w:t>0.59</w:t>
            </w:r>
          </w:p>
        </w:tc>
        <w:tc>
          <w:tcPr>
            <w:tcW w:type="dxa" w:w="1483"/>
          </w:tcPr>
          <w:p>
            <w:pPr>
              <w:spacing w:after="20"/>
              <w:jc w:val="right"/>
            </w:pPr>
            <w:r>
              <w:rPr>
                <w:color w:val="1C3A36"/>
                <w:sz w:val="17"/>
              </w:rPr>
              <w:t>2.35</w:t>
            </w:r>
          </w:p>
        </w:tc>
        <w:tc>
          <w:tcPr>
            <w:tcW w:type="dxa" w:w="1483"/>
          </w:tcPr>
          <w:p>
            <w:pPr>
              <w:spacing w:after="20"/>
              <w:jc w:val="right"/>
            </w:pPr>
            <w:r>
              <w:rPr>
                <w:color w:val="1C3A36"/>
                <w:sz w:val="17"/>
              </w:rPr>
              <w:t>4.12</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-1.36</w:t>
            </w:r>
          </w:p>
        </w:tc>
        <w:tc>
          <w:tcPr>
            <w:tcW w:type="dxa" w:w="1483"/>
          </w:tcPr>
          <w:p>
            <w:pPr>
              <w:spacing w:after="20"/>
              <w:jc w:val="right"/>
            </w:pPr>
            <w:r>
              <w:rPr>
                <w:color w:val="1C3A36"/>
                <w:sz w:val="17"/>
              </w:rPr>
              <w:t>0.30</w:t>
            </w:r>
          </w:p>
        </w:tc>
        <w:tc>
          <w:tcPr>
            <w:tcW w:type="dxa" w:w="1483"/>
          </w:tcPr>
          <w:p>
            <w:pPr>
              <w:spacing w:after="20"/>
              <w:jc w:val="right"/>
            </w:pPr>
            <w:r>
              <w:rPr>
                <w:color w:val="1C3A36"/>
                <w:sz w:val="17"/>
              </w:rPr>
              <w:t>1.96</w:t>
            </w:r>
          </w:p>
        </w:tc>
        <w:tc>
          <w:tcPr>
            <w:tcW w:type="dxa" w:w="1483"/>
          </w:tcPr>
          <w:p>
            <w:pPr>
              <w:spacing w:after="20"/>
              <w:jc w:val="right"/>
            </w:pPr>
            <w:r>
              <w:rPr>
                <w:color w:val="1C3A36"/>
                <w:sz w:val="17"/>
              </w:rPr>
              <w:t>3.61</w:t>
            </w:r>
          </w:p>
        </w:tc>
      </w:tr>
    </w:tbl>
    <w:p>
      <w:pPr>
        <w:spacing w:after="40"/>
      </w:pPr>
    </w:p>
    <w:p>
      <w:pPr>
        <w:spacing w:after="200" w:before="0"/>
      </w:pPr>
      <w:r>
        <w:rPr>
          <w:b w:val="0"/>
          <w:i/>
          <w:color w:val="6E7B77"/>
          <w:sz w:val="17"/>
        </w:rPr>
        <w:t>Table 19.  The highest cell in the grid is EGP 6.26,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-2.87 to 4.63</w:t>
            </w:r>
          </w:p>
        </w:tc>
        <w:tc>
          <w:tcPr>
            <w:tcW w:type="dxa" w:w="1152"/>
            <w:shd w:val="clear" w:color="auto" w:fill="F6F1E6"/>
          </w:tcPr>
          <w:p>
            <w:pPr>
              <w:spacing w:after="20"/>
              <w:jc w:val="right"/>
            </w:pPr>
            <w:r>
              <w:rPr>
                <w:b/>
                <w:color w:val="1C3A36"/>
                <w:sz w:val="16"/>
              </w:rPr>
              <w:t>7.50</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4.04 to 8.04</w:t>
            </w:r>
          </w:p>
        </w:tc>
        <w:tc>
          <w:tcPr>
            <w:tcW w:type="dxa" w:w="1152"/>
          </w:tcPr>
          <w:p>
            <w:pPr>
              <w:spacing w:after="20"/>
              <w:jc w:val="right"/>
            </w:pPr>
            <w:r>
              <w:rPr>
                <w:color w:val="1C3A36"/>
                <w:sz w:val="16"/>
              </w:rPr>
              <w:t>4.00</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1.33 to 4.04</w:t>
            </w:r>
          </w:p>
        </w:tc>
        <w:tc>
          <w:tcPr>
            <w:tcW w:type="dxa" w:w="1152"/>
          </w:tcPr>
          <w:p>
            <w:pPr>
              <w:spacing w:after="20"/>
              <w:jc w:val="right"/>
            </w:pPr>
            <w:r>
              <w:rPr>
                <w:color w:val="1C3A36"/>
                <w:sz w:val="16"/>
              </w:rPr>
              <w:t>2.71</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4.04 to 5.78</w:t>
            </w:r>
          </w:p>
        </w:tc>
        <w:tc>
          <w:tcPr>
            <w:tcW w:type="dxa" w:w="1152"/>
          </w:tcPr>
          <w:p>
            <w:pPr>
              <w:spacing w:after="20"/>
              <w:jc w:val="right"/>
            </w:pPr>
            <w:r>
              <w:rPr>
                <w:color w:val="1C3A36"/>
                <w:sz w:val="16"/>
              </w:rPr>
              <w:t>1.74</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2.45 to 4.04</w:t>
            </w:r>
          </w:p>
        </w:tc>
        <w:tc>
          <w:tcPr>
            <w:tcW w:type="dxa" w:w="1152"/>
          </w:tcPr>
          <w:p>
            <w:pPr>
              <w:spacing w:after="20"/>
              <w:jc w:val="right"/>
            </w:pPr>
            <w:r>
              <w:rPr>
                <w:color w:val="1C3A36"/>
                <w:sz w:val="16"/>
              </w:rPr>
              <w:t>1.59</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2.51 to 4.04</w:t>
            </w:r>
          </w:p>
        </w:tc>
        <w:tc>
          <w:tcPr>
            <w:tcW w:type="dxa" w:w="1152"/>
          </w:tcPr>
          <w:p>
            <w:pPr>
              <w:spacing w:after="20"/>
              <w:jc w:val="right"/>
            </w:pPr>
            <w:r>
              <w:rPr>
                <w:color w:val="1C3A36"/>
                <w:sz w:val="16"/>
              </w:rPr>
              <w:t>1.53</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0.30 to 1.81</w:t>
            </w:r>
          </w:p>
        </w:tc>
        <w:tc>
          <w:tcPr>
            <w:tcW w:type="dxa" w:w="1152"/>
          </w:tcPr>
          <w:p>
            <w:pPr>
              <w:spacing w:after="20"/>
              <w:jc w:val="right"/>
            </w:pPr>
            <w:r>
              <w:rPr>
                <w:color w:val="1C3A36"/>
                <w:sz w:val="16"/>
              </w:rPr>
              <w:t>1.51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2.89 to 4.04</w:t>
            </w:r>
          </w:p>
        </w:tc>
        <w:tc>
          <w:tcPr>
            <w:tcW w:type="dxa" w:w="1152"/>
          </w:tcPr>
          <w:p>
            <w:pPr>
              <w:spacing w:after="20"/>
              <w:jc w:val="right"/>
            </w:pPr>
            <w:r>
              <w:rPr>
                <w:color w:val="1C3A36"/>
                <w:sz w:val="16"/>
              </w:rPr>
              <w:t>1.15</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3.13 to 4.04</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4.04 to 4.47</w:t>
            </w:r>
          </w:p>
        </w:tc>
        <w:tc>
          <w:tcPr>
            <w:tcW w:type="dxa" w:w="1152"/>
          </w:tcPr>
          <w:p>
            <w:pPr>
              <w:spacing w:after="20"/>
              <w:jc w:val="right"/>
            </w:pPr>
            <w:r>
              <w:rPr>
                <w:color w:val="1C3A36"/>
                <w:sz w:val="16"/>
              </w:rPr>
              <w:t>0.43</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5.78 instead of EGP 4.04.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4.04</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8.04</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4.00</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29.3%,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2.71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2.22 a share — the third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73.5% of enterprise value on the carried-through case and 51.0% on the stopped case. The explicit years are a construction window: free cash flow to the firm is positive in 5 of the five years and negative in the other 0, and their present value is EGP 3,843 million against a terminal block of EGP 10,677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190</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302</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18,057</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13,181</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12,865</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13,598</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9,886</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4.98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5.13 a share.</w:t>
      </w:r>
    </w:p>
    <w:p>
      <w:pPr>
        <w:spacing w:after="120" w:before="0"/>
      </w:pPr>
      <w:r>
        <w:rPr>
          <w:b w:val="0"/>
          <w:i w:val="0"/>
          <w:color w:val="1C3A36"/>
          <w:sz w:val="19"/>
        </w:rPr>
        <w:t>On both sides of the contested judgement.  With the programme carried through the claim is worth EGP 4.98 a share (EGP 0.00 to 5.13 across the volatility range); with the programme stopped the enterprise value rises to EGP 26,002 million and the same claim is worth EGP 7.89 (EGP 7.81 to 8.01).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18,057m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3.84 a share, and at 60% over seven years EGP 5.78.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3.84</w:t>
            </w:r>
          </w:p>
        </w:tc>
        <w:tc>
          <w:tcPr>
            <w:tcW w:type="dxa" w:w="1541"/>
          </w:tcPr>
          <w:p>
            <w:pPr>
              <w:spacing w:after="20"/>
              <w:jc w:val="right"/>
            </w:pPr>
            <w:r>
              <w:rPr>
                <w:color w:val="1C3A36"/>
                <w:sz w:val="17"/>
              </w:rPr>
              <w:t>3.90</w:t>
            </w:r>
          </w:p>
        </w:tc>
        <w:tc>
          <w:tcPr>
            <w:tcW w:type="dxa" w:w="1541"/>
          </w:tcPr>
          <w:p>
            <w:pPr>
              <w:spacing w:after="20"/>
              <w:jc w:val="right"/>
            </w:pPr>
            <w:r>
              <w:rPr>
                <w:color w:val="1C3A36"/>
                <w:sz w:val="17"/>
              </w:rPr>
              <w:t>4.05</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4.82</w:t>
            </w:r>
          </w:p>
        </w:tc>
        <w:tc>
          <w:tcPr>
            <w:tcW w:type="dxa" w:w="1541"/>
          </w:tcPr>
          <w:p>
            <w:pPr>
              <w:spacing w:after="20"/>
              <w:jc w:val="right"/>
            </w:pPr>
            <w:r>
              <w:rPr>
                <w:color w:val="1C3A36"/>
                <w:sz w:val="17"/>
              </w:rPr>
              <w:t>4.86</w:t>
            </w:r>
          </w:p>
        </w:tc>
        <w:tc>
          <w:tcPr>
            <w:tcW w:type="dxa" w:w="1541"/>
          </w:tcPr>
          <w:p>
            <w:pPr>
              <w:spacing w:after="20"/>
              <w:jc w:val="right"/>
            </w:pPr>
            <w:r>
              <w:rPr>
                <w:color w:val="1C3A36"/>
                <w:sz w:val="17"/>
              </w:rPr>
              <w:t>4.98</w:t>
            </w:r>
          </w:p>
        </w:tc>
        <w:tc>
          <w:tcPr>
            <w:tcW w:type="dxa" w:w="1541"/>
          </w:tcPr>
          <w:p>
            <w:pPr>
              <w:spacing w:after="20"/>
              <w:jc w:val="right"/>
            </w:pPr>
            <w:r>
              <w:rPr>
                <w:color w:val="1C3A36"/>
                <w:sz w:val="17"/>
              </w:rPr>
              <w:t>5.13</w:t>
            </w:r>
          </w:p>
        </w:tc>
        <w:tc>
          <w:tcPr>
            <w:tcW w:type="dxa" w:w="1541"/>
          </w:tcPr>
          <w:p>
            <w:pPr>
              <w:spacing w:after="20"/>
              <w:jc w:val="right"/>
            </w:pPr>
            <w:r>
              <w:rPr>
                <w:color w:val="1C3A36"/>
                <w:sz w:val="17"/>
              </w:rPr>
              <w:t>5.22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5.47</w:t>
            </w:r>
          </w:p>
        </w:tc>
        <w:tc>
          <w:tcPr>
            <w:tcW w:type="dxa" w:w="1541"/>
          </w:tcPr>
          <w:p>
            <w:pPr>
              <w:spacing w:after="20"/>
              <w:jc w:val="right"/>
            </w:pPr>
            <w:r>
              <w:rPr>
                <w:color w:val="1C3A36"/>
                <w:sz w:val="17"/>
              </w:rPr>
              <w:t>5.50</w:t>
            </w:r>
          </w:p>
        </w:tc>
        <w:tc>
          <w:tcPr>
            <w:tcW w:type="dxa" w:w="1541"/>
          </w:tcPr>
          <w:p>
            <w:pPr>
              <w:spacing w:after="20"/>
              <w:jc w:val="right"/>
            </w:pPr>
            <w:r>
              <w:rPr>
                <w:color w:val="1C3A36"/>
                <w:sz w:val="17"/>
              </w:rPr>
              <w:t>5.58</w:t>
            </w:r>
          </w:p>
        </w:tc>
        <w:tc>
          <w:tcPr>
            <w:tcW w:type="dxa" w:w="1541"/>
          </w:tcPr>
          <w:p>
            <w:pPr>
              <w:spacing w:after="20"/>
              <w:jc w:val="right"/>
            </w:pPr>
            <w:r>
              <w:rPr>
                <w:color w:val="1C3A36"/>
                <w:sz w:val="17"/>
              </w:rPr>
              <w:t>5.71</w:t>
            </w:r>
          </w:p>
        </w:tc>
        <w:tc>
          <w:tcPr>
            <w:tcW w:type="dxa" w:w="1541"/>
          </w:tcPr>
          <w:p>
            <w:pPr>
              <w:spacing w:after="20"/>
              <w:jc w:val="right"/>
            </w:pPr>
            <w:r>
              <w:rPr>
                <w:color w:val="1C3A36"/>
                <w:sz w:val="17"/>
              </w:rPr>
              <w:t>5.78</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4.86 a share, at 55% EGP 5.13.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-2.36</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-1.32</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-4.04</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-10.37</w:t>
            </w:r>
          </w:p>
        </w:tc>
        <w:tc>
          <w:tcPr>
            <w:tcW w:type="dxa" w:w="5904"/>
          </w:tcPr>
          <w:p>
            <w:pPr>
              <w:spacing w:after="20"/>
            </w:pPr>
            <w:r>
              <w:rPr>
                <w:color w:val="1C3A36"/>
                <w:sz w:val="16"/>
              </w:rPr>
              <w:t>The discount rate, and only the discount rate. At about 13.0%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302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5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