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3.90 a share if the capital programme is carried through and EGP 7.88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3.90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0.82 to 4.03</w:t>
            </w:r>
          </w:p>
        </w:tc>
        <w:tc>
          <w:tcPr>
            <w:tcW w:type="dxa" w:w="1008"/>
          </w:tcPr>
          <w:p>
            <w:pPr>
              <w:spacing w:after="20"/>
              <w:jc w:val="right"/>
            </w:pPr>
            <w:r>
              <w:rPr>
                <w:color w:val="1C3A36"/>
                <w:sz w:val="15"/>
              </w:rPr>
              <w:t>3.90</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5.21 to 7.95</w:t>
            </w:r>
          </w:p>
        </w:tc>
        <w:tc>
          <w:tcPr>
            <w:tcW w:type="dxa" w:w="1008"/>
          </w:tcPr>
          <w:p>
            <w:pPr>
              <w:spacing w:after="20"/>
              <w:jc w:val="right"/>
            </w:pPr>
            <w:r>
              <w:rPr>
                <w:color w:val="1C3A36"/>
                <w:sz w:val="15"/>
              </w:rPr>
              <w:t>7.88</w:t>
            </w:r>
          </w:p>
        </w:tc>
        <w:tc>
          <w:tcPr>
            <w:tcW w:type="dxa" w:w="936"/>
          </w:tcPr>
          <w:p>
            <w:pPr>
              <w:spacing w:after="20"/>
              <w:jc w:val="right"/>
            </w:pPr>
            <w:r>
              <w:rPr>
                <w:color w:val="1C3A36"/>
                <w:sz w:val="15"/>
              </w:rPr>
              <w:t>-45%</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3.90 with the capital programme carried through — the company's own stated plan — and EGP 7.88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3.90 to 15.99</w:t>
            </w:r>
          </w:p>
        </w:tc>
        <w:tc>
          <w:tcPr>
            <w:tcW w:type="dxa" w:w="1008"/>
            <w:shd w:val="clear" w:color="auto" w:fill="F6F1E6"/>
          </w:tcPr>
          <w:p>
            <w:pPr>
              <w:spacing w:after="20"/>
              <w:jc w:val="right"/>
            </w:pPr>
            <w:r>
              <w:rPr>
                <w:b/>
                <w:color w:val="1C3A36"/>
                <w:sz w:val="15"/>
              </w:rPr>
              <w:t>3.90</w:t>
            </w:r>
          </w:p>
        </w:tc>
        <w:tc>
          <w:tcPr>
            <w:tcW w:type="dxa" w:w="936"/>
            <w:shd w:val="clear" w:color="auto" w:fill="F6F1E6"/>
          </w:tcPr>
          <w:p>
            <w:pPr>
              <w:spacing w:after="20"/>
              <w:jc w:val="right"/>
            </w:pPr>
            <w:r>
              <w:rPr>
                <w:b/>
                <w:color w:val="1C3A36"/>
                <w:sz w:val="15"/>
              </w:rPr>
              <w:t>-73%</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2.42</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2.37</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2.80</w:t>
            </w:r>
          </w:p>
        </w:tc>
        <w:tc>
          <w:tcPr>
            <w:tcW w:type="dxa" w:w="936"/>
          </w:tcPr>
          <w:p>
            <w:pPr>
              <w:spacing w:after="20"/>
              <w:jc w:val="right"/>
            </w:pPr>
            <w:r>
              <w:rPr>
                <w:color w:val="1C3A36"/>
                <w:sz w:val="15"/>
              </w:rPr>
              <w:t>-81%</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5.57</w:t>
            </w:r>
          </w:p>
        </w:tc>
        <w:tc>
          <w:tcPr>
            <w:tcW w:type="dxa" w:w="936"/>
          </w:tcPr>
          <w:p>
            <w:pPr>
              <w:spacing w:after="20"/>
              <w:jc w:val="right"/>
            </w:pPr>
            <w:r>
              <w:rPr>
                <w:color w:val="1C3A36"/>
                <w:sz w:val="15"/>
              </w:rPr>
              <w:t>-61%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4.31</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2.99</w:t>
            </w:r>
          </w:p>
        </w:tc>
        <w:tc>
          <w:tcPr>
            <w:tcW w:type="dxa" w:w="936"/>
          </w:tcPr>
          <w:p>
            <w:pPr>
              <w:spacing w:after="20"/>
              <w:jc w:val="right"/>
            </w:pPr>
            <w:r>
              <w:rPr>
                <w:color w:val="1C3A36"/>
                <w:sz w:val="15"/>
              </w:rPr>
              <w:t>-79%</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1.73</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3.69</w:t>
            </w:r>
          </w:p>
        </w:tc>
        <w:tc>
          <w:tcPr>
            <w:tcW w:type="dxa" w:w="936"/>
          </w:tcPr>
          <w:p>
            <w:pPr>
              <w:spacing w:after="20"/>
              <w:jc w:val="right"/>
            </w:pPr>
            <w:r>
              <w:rPr>
                <w:color w:val="1C3A36"/>
                <w:sz w:val="15"/>
              </w:rPr>
              <w:t>-74%</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73.0%</w:t>
            </w:r>
          </w:p>
        </w:tc>
        <w:tc>
          <w:tcPr>
            <w:tcW w:type="dxa" w:w="2736"/>
          </w:tcPr>
          <w:p>
            <w:pPr>
              <w:spacing w:after="20"/>
              <w:jc w:val="right"/>
            </w:pPr>
            <w:r>
              <w:rPr>
                <w:color w:val="1C3A36"/>
                <w:sz w:val="17"/>
              </w:rPr>
              <w:t>50.4%</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73.0%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2.67 a share. The narrowest is terminal growth, worth EGP 1.53.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10,398</w:t>
            </w:r>
          </w:p>
        </w:tc>
        <w:tc>
          <w:tcPr>
            <w:tcW w:type="dxa" w:w="2808"/>
          </w:tcPr>
          <w:p>
            <w:pPr>
              <w:spacing w:after="20"/>
              <w:jc w:val="right"/>
            </w:pPr>
            <w:r>
              <w:rPr>
                <w:color w:val="1C3A36"/>
                <w:sz w:val="17"/>
              </w:rPr>
              <w:t>11,153</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14,236</w:t>
            </w:r>
          </w:p>
        </w:tc>
        <w:tc>
          <w:tcPr>
            <w:tcW w:type="dxa" w:w="2808"/>
            <w:shd w:val="clear" w:color="auto" w:fill="F6F1E6"/>
          </w:tcPr>
          <w:p>
            <w:pPr>
              <w:spacing w:after="20"/>
              <w:jc w:val="right"/>
            </w:pPr>
            <w:r>
              <w:rPr>
                <w:b/>
                <w:color w:val="1C3A36"/>
                <w:sz w:val="17"/>
              </w:rPr>
              <w:t>22,150</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73.0%</w:t>
            </w:r>
          </w:p>
        </w:tc>
        <w:tc>
          <w:tcPr>
            <w:tcW w:type="dxa" w:w="2808"/>
            <w:shd w:val="clear" w:color="auto" w:fill="F6F1E6"/>
          </w:tcPr>
          <w:p>
            <w:pPr>
              <w:spacing w:after="20"/>
              <w:jc w:val="right"/>
            </w:pPr>
            <w:r>
              <w:rPr>
                <w:b/>
                <w:color w:val="1C3A36"/>
                <w:sz w:val="17"/>
              </w:rPr>
              <w:t>50.4%</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7,741</w:t>
            </w:r>
          </w:p>
        </w:tc>
        <w:tc>
          <w:tcPr>
            <w:tcW w:type="dxa" w:w="2808"/>
            <w:shd w:val="clear" w:color="auto" w:fill="F6F1E6"/>
          </w:tcPr>
          <w:p>
            <w:pPr>
              <w:spacing w:after="20"/>
              <w:jc w:val="right"/>
            </w:pPr>
            <w:r>
              <w:rPr>
                <w:b/>
                <w:color w:val="1C3A36"/>
                <w:sz w:val="17"/>
              </w:rPr>
              <w:t>15,656</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3.90</w:t>
            </w:r>
          </w:p>
        </w:tc>
        <w:tc>
          <w:tcPr>
            <w:tcW w:type="dxa" w:w="2808"/>
            <w:shd w:val="clear" w:color="auto" w:fill="F6F1E6"/>
          </w:tcPr>
          <w:p>
            <w:pPr>
              <w:spacing w:after="20"/>
              <w:jc w:val="right"/>
            </w:pPr>
            <w:r>
              <w:rPr>
                <w:b/>
                <w:color w:val="1C3A36"/>
                <w:sz w:val="17"/>
              </w:rPr>
              <w:t>7.88</w:t>
            </w:r>
          </w:p>
        </w:tc>
      </w:tr>
    </w:tbl>
    <w:p>
      <w:pPr>
        <w:spacing w:after="40"/>
      </w:pPr>
    </w:p>
    <w:p>
      <w:pPr>
        <w:spacing w:after="200" w:before="0"/>
      </w:pPr>
      <w:r>
        <w:rPr>
          <w:b w:val="0"/>
          <w:i/>
          <w:color w:val="6E7B77"/>
          <w:sz w:val="17"/>
        </w:rPr>
        <w:t>Table 5.  Net debt of EGP 10,032 million stands against an enterprise value of EGP 14,236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7.17</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3.90</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7.17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14,236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3.90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3.90 a share with the capital programme carried through, 73% below the traded price, and EGP 7.88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3.90 a share. Stopped, EGP 7.88. The difference, EGP 3.98 a share or EGP 7,915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2.80 a share on the carried-through cash-flow lens against EGP 3.90, a difference of EGP -1.10.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3.90</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2.42</w:t>
            </w:r>
          </w:p>
        </w:tc>
        <w:tc>
          <w:tcPr>
            <w:tcW w:type="dxa" w:w="950"/>
          </w:tcPr>
          <w:p>
            <w:pPr>
              <w:spacing w:after="20"/>
              <w:jc w:val="right"/>
            </w:pPr>
            <w:r>
              <w:rPr>
                <w:color w:val="1C3A36"/>
                <w:sz w:val="15"/>
              </w:rPr>
              <w:t>-1.47</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-2.46</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2.37</w:t>
            </w:r>
          </w:p>
        </w:tc>
        <w:tc>
          <w:tcPr>
            <w:tcW w:type="dxa" w:w="950"/>
          </w:tcPr>
          <w:p>
            <w:pPr>
              <w:spacing w:after="20"/>
              <w:jc w:val="right"/>
            </w:pPr>
            <w:r>
              <w:rPr>
                <w:color w:val="1C3A36"/>
                <w:sz w:val="15"/>
              </w:rPr>
              <w:t>-1.53</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2.80</w:t>
            </w:r>
          </w:p>
        </w:tc>
        <w:tc>
          <w:tcPr>
            <w:tcW w:type="dxa" w:w="950"/>
          </w:tcPr>
          <w:p>
            <w:pPr>
              <w:spacing w:after="20"/>
              <w:jc w:val="right"/>
            </w:pPr>
            <w:r>
              <w:rPr>
                <w:color w:val="1C3A36"/>
                <w:sz w:val="15"/>
              </w:rPr>
              <w:t>-1.10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5.57</w:t>
            </w:r>
          </w:p>
        </w:tc>
        <w:tc>
          <w:tcPr>
            <w:tcW w:type="dxa" w:w="950"/>
          </w:tcPr>
          <w:p>
            <w:pPr>
              <w:spacing w:after="20"/>
              <w:jc w:val="right"/>
            </w:pPr>
            <w:r>
              <w:rPr>
                <w:color w:val="1C3A36"/>
                <w:sz w:val="15"/>
              </w:rPr>
              <w:t>+1.67</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1.23</w:t>
            </w:r>
          </w:p>
        </w:tc>
        <w:tc>
          <w:tcPr>
            <w:tcW w:type="dxa" w:w="950"/>
          </w:tcPr>
          <w:p>
            <w:pPr>
              <w:spacing w:after="20"/>
              <w:jc w:val="right"/>
            </w:pPr>
            <w:r>
              <w:rPr>
                <w:color w:val="1C3A36"/>
                <w:sz w:val="15"/>
              </w:rPr>
              <w:t>-2.67</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4.31</w:t>
            </w:r>
          </w:p>
        </w:tc>
        <w:tc>
          <w:tcPr>
            <w:tcW w:type="dxa" w:w="950"/>
          </w:tcPr>
          <w:p>
            <w:pPr>
              <w:spacing w:after="20"/>
              <w:jc w:val="right"/>
            </w:pPr>
            <w:r>
              <w:rPr>
                <w:color w:val="1C3A36"/>
                <w:sz w:val="15"/>
              </w:rPr>
              <w:t>+0.41</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2.99</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1.73</w:t>
            </w:r>
          </w:p>
        </w:tc>
        <w:tc>
          <w:tcPr>
            <w:tcW w:type="dxa" w:w="950"/>
          </w:tcPr>
          <w:p>
            <w:pPr>
              <w:spacing w:after="20"/>
              <w:jc w:val="right"/>
            </w:pPr>
            <w:r>
              <w:rPr>
                <w:color w:val="1C3A36"/>
                <w:sz w:val="15"/>
              </w:rPr>
              <w:t>-2.16</w:t>
            </w:r>
          </w:p>
        </w:tc>
        <w:tc>
          <w:tcPr>
            <w:tcW w:type="dxa" w:w="3139"/>
          </w:tcPr>
          <w:p>
            <w:pPr>
              <w:spacing w:after="20"/>
            </w:pPr>
            <w:r>
              <w:rPr>
                <w:color w:val="1C3A36"/>
                <w:sz w:val="15"/>
              </w:rPr>
              <w:t>This is the largest single contested number in the study and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3.69</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(-2.67) and glide (-2.46);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-0.42</w:t>
            </w:r>
          </w:p>
        </w:tc>
        <w:tc>
          <w:tcPr>
            <w:tcW w:type="dxa" w:w="1483"/>
          </w:tcPr>
          <w:p>
            <w:pPr>
              <w:spacing w:after="20"/>
              <w:jc w:val="right"/>
            </w:pPr>
            <w:r>
              <w:rPr>
                <w:color w:val="1C3A36"/>
                <w:sz w:val="17"/>
              </w:rPr>
              <w:t>1.80</w:t>
            </w:r>
          </w:p>
        </w:tc>
        <w:tc>
          <w:tcPr>
            <w:tcW w:type="dxa" w:w="1483"/>
          </w:tcPr>
          <w:p>
            <w:pPr>
              <w:spacing w:after="20"/>
              <w:jc w:val="right"/>
            </w:pPr>
            <w:r>
              <w:rPr>
                <w:color w:val="1C3A36"/>
                <w:sz w:val="17"/>
              </w:rPr>
              <w:t>4.01</w:t>
            </w:r>
          </w:p>
        </w:tc>
        <w:tc>
          <w:tcPr>
            <w:tcW w:type="dxa" w:w="1483"/>
          </w:tcPr>
          <w:p>
            <w:pPr>
              <w:spacing w:after="20"/>
              <w:jc w:val="right"/>
            </w:pPr>
            <w:r>
              <w:rPr>
                <w:color w:val="1C3A36"/>
                <w:sz w:val="17"/>
              </w:rPr>
              <w:t>6.23</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-0.72</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3.36</w:t>
            </w:r>
          </w:p>
        </w:tc>
        <w:tc>
          <w:tcPr>
            <w:tcW w:type="dxa" w:w="1483"/>
          </w:tcPr>
          <w:p>
            <w:pPr>
              <w:spacing w:after="20"/>
              <w:jc w:val="right"/>
            </w:pPr>
            <w:r>
              <w:rPr>
                <w:color w:val="1C3A36"/>
                <w:sz w:val="17"/>
              </w:rPr>
              <w:t>5.40</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-1.00</w:t>
            </w:r>
          </w:p>
        </w:tc>
        <w:tc>
          <w:tcPr>
            <w:tcW w:type="dxa" w:w="1483"/>
          </w:tcPr>
          <w:p>
            <w:pPr>
              <w:spacing w:after="20"/>
              <w:jc w:val="right"/>
            </w:pPr>
            <w:r>
              <w:rPr>
                <w:color w:val="1C3A36"/>
                <w:sz w:val="17"/>
              </w:rPr>
              <w:t>0.87</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4.61</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0.58</w:t>
            </w:r>
          </w:p>
        </w:tc>
        <w:tc>
          <w:tcPr>
            <w:tcW w:type="dxa" w:w="1483"/>
          </w:tcPr>
          <w:p>
            <w:pPr>
              <w:spacing w:after="20"/>
              <w:jc w:val="right"/>
            </w:pPr>
            <w:r>
              <w:rPr>
                <w:color w:val="1C3A36"/>
                <w:sz w:val="17"/>
              </w:rPr>
              <w:t>2.34</w:t>
            </w:r>
          </w:p>
        </w:tc>
        <w:tc>
          <w:tcPr>
            <w:tcW w:type="dxa" w:w="1483"/>
          </w:tcPr>
          <w:p>
            <w:pPr>
              <w:spacing w:after="20"/>
              <w:jc w:val="right"/>
            </w:pPr>
            <w:r>
              <w:rPr>
                <w:color w:val="1C3A36"/>
                <w:sz w:val="17"/>
              </w:rPr>
              <w:t>4.10</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0.29</w:t>
            </w:r>
          </w:p>
        </w:tc>
        <w:tc>
          <w:tcPr>
            <w:tcW w:type="dxa" w:w="1483"/>
          </w:tcPr>
          <w:p>
            <w:pPr>
              <w:spacing w:after="20"/>
              <w:jc w:val="right"/>
            </w:pPr>
            <w:r>
              <w:rPr>
                <w:color w:val="1C3A36"/>
                <w:sz w:val="17"/>
              </w:rPr>
              <w:t>1.94</w:t>
            </w:r>
          </w:p>
        </w:tc>
        <w:tc>
          <w:tcPr>
            <w:tcW w:type="dxa" w:w="1483"/>
          </w:tcPr>
          <w:p>
            <w:pPr>
              <w:spacing w:after="20"/>
              <w:jc w:val="right"/>
            </w:pPr>
            <w:r>
              <w:rPr>
                <w:color w:val="1C3A36"/>
                <w:sz w:val="17"/>
              </w:rPr>
              <w:t>3.59</w:t>
            </w:r>
          </w:p>
        </w:tc>
      </w:tr>
    </w:tbl>
    <w:p>
      <w:pPr>
        <w:spacing w:after="40"/>
      </w:pPr>
    </w:p>
    <w:p>
      <w:pPr>
        <w:spacing w:after="200" w:before="0"/>
      </w:pPr>
      <w:r>
        <w:rPr>
          <w:b w:val="0"/>
          <w:i/>
          <w:color w:val="6E7B77"/>
          <w:sz w:val="17"/>
        </w:rPr>
        <w:t>Table 19.  The highest cell in the grid is EGP 6.23,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4.61</w:t>
            </w:r>
          </w:p>
        </w:tc>
        <w:tc>
          <w:tcPr>
            <w:tcW w:type="dxa" w:w="1152"/>
            <w:shd w:val="clear" w:color="auto" w:fill="F6F1E6"/>
          </w:tcPr>
          <w:p>
            <w:pPr>
              <w:spacing w:after="20"/>
              <w:jc w:val="right"/>
            </w:pPr>
            <w:r>
              <w:rPr>
                <w:b/>
                <w:color w:val="1C3A36"/>
                <w:sz w:val="16"/>
              </w:rPr>
              <w:t>7.48</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3.90 to 7.88</w:t>
            </w:r>
          </w:p>
        </w:tc>
        <w:tc>
          <w:tcPr>
            <w:tcW w:type="dxa" w:w="1152"/>
          </w:tcPr>
          <w:p>
            <w:pPr>
              <w:spacing w:after="20"/>
              <w:jc w:val="right"/>
            </w:pPr>
            <w:r>
              <w:rPr>
                <w:color w:val="1C3A36"/>
                <w:sz w:val="16"/>
              </w:rPr>
              <w:t>3.98</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1.23 to 3.90</w:t>
            </w:r>
          </w:p>
        </w:tc>
        <w:tc>
          <w:tcPr>
            <w:tcW w:type="dxa" w:w="1152"/>
          </w:tcPr>
          <w:p>
            <w:pPr>
              <w:spacing w:after="20"/>
              <w:jc w:val="right"/>
            </w:pPr>
            <w:r>
              <w:rPr>
                <w:color w:val="1C3A36"/>
                <w:sz w:val="16"/>
              </w:rPr>
              <w:t>2.67</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3.90 to 5.57</w:t>
            </w:r>
          </w:p>
        </w:tc>
        <w:tc>
          <w:tcPr>
            <w:tcW w:type="dxa" w:w="1152"/>
          </w:tcPr>
          <w:p>
            <w:pPr>
              <w:spacing w:after="20"/>
              <w:jc w:val="right"/>
            </w:pPr>
            <w:r>
              <w:rPr>
                <w:color w:val="1C3A36"/>
                <w:sz w:val="16"/>
              </w:rPr>
              <w:t>1.67</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2.37 to 3.90</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0.29 to 1.80</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2.42 to 3.90</w:t>
            </w:r>
          </w:p>
        </w:tc>
        <w:tc>
          <w:tcPr>
            <w:tcW w:type="dxa" w:w="1152"/>
          </w:tcPr>
          <w:p>
            <w:pPr>
              <w:spacing w:after="20"/>
              <w:jc w:val="right"/>
            </w:pPr>
            <w:r>
              <w:rPr>
                <w:color w:val="1C3A36"/>
                <w:sz w:val="16"/>
              </w:rPr>
              <w:t>1.47</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2.80 to 3.90</w:t>
            </w:r>
          </w:p>
        </w:tc>
        <w:tc>
          <w:tcPr>
            <w:tcW w:type="dxa" w:w="1152"/>
          </w:tcPr>
          <w:p>
            <w:pPr>
              <w:spacing w:after="20"/>
              <w:jc w:val="right"/>
            </w:pPr>
            <w:r>
              <w:rPr>
                <w:color w:val="1C3A36"/>
                <w:sz w:val="16"/>
              </w:rPr>
              <w:t>1.10</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2.99 to 3.90</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3.90 to 4.31</w:t>
            </w:r>
          </w:p>
        </w:tc>
        <w:tc>
          <w:tcPr>
            <w:tcW w:type="dxa" w:w="1152"/>
          </w:tcPr>
          <w:p>
            <w:pPr>
              <w:spacing w:after="20"/>
              <w:jc w:val="right"/>
            </w:pPr>
            <w:r>
              <w:rPr>
                <w:color w:val="1C3A36"/>
                <w:sz w:val="16"/>
              </w:rPr>
              <w:t>0.41</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5.57 instead of EGP 3.90.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3.90</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7.88</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3.98</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2.67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2.16 a share — the largest of the priced alternatives,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73.0% of enterprise value on the carried-through case and 50.4% on the stopped case. The explicit years are a construction window: free cash flow to the firm is positive in 5 of the five years and negative in the other 0, and their present value is EGP 3,837 million against a terminal block of EGP 10,398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192</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304</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17,774</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12,910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12,588</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13,330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9,682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4.87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5.03 a share.</w:t>
      </w:r>
    </w:p>
    <w:p>
      <w:pPr>
        <w:spacing w:after="120" w:before="0"/>
      </w:pPr>
      <w:r>
        <w:rPr>
          <w:b w:val="0"/>
          <w:i w:val="0"/>
          <w:color w:val="1C3A36"/>
          <w:sz w:val="19"/>
        </w:rPr>
        <w:t>On both sides of the contested judgement.  With the programme carried through the claim is worth EGP 4.87 a share (EGP 0.00 to 5.03 across the volatility range); with the programme stopped the enterprise value rises to EGP 25,688 million and the same claim is worth EGP 7.77 (EGP 7.69 to 7.90).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17,774m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3.74 a share, and at 60% over seven years EGP 5.67.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3.74</w:t>
            </w:r>
          </w:p>
        </w:tc>
        <w:tc>
          <w:tcPr>
            <w:tcW w:type="dxa" w:w="1541"/>
          </w:tcPr>
          <w:p>
            <w:pPr>
              <w:spacing w:after="20"/>
              <w:jc w:val="right"/>
            </w:pPr>
            <w:r>
              <w:rPr>
                <w:color w:val="1C3A36"/>
                <w:sz w:val="17"/>
              </w:rPr>
              <w:t>3.80</w:t>
            </w:r>
          </w:p>
        </w:tc>
        <w:tc>
          <w:tcPr>
            <w:tcW w:type="dxa" w:w="1541"/>
          </w:tcPr>
          <w:p>
            <w:pPr>
              <w:spacing w:after="20"/>
              <w:jc w:val="right"/>
            </w:pPr>
            <w:r>
              <w:rPr>
                <w:color w:val="1C3A36"/>
                <w:sz w:val="17"/>
              </w:rPr>
              <w:t>3.95</w:t>
            </w:r>
          </w:p>
        </w:tc>
        <w:tc>
          <w:tcPr>
            <w:tcW w:type="dxa" w:w="1541"/>
          </w:tcPr>
          <w:p>
            <w:pPr>
              <w:spacing w:after="20"/>
              <w:jc w:val="right"/>
            </w:pPr>
            <w:r>
              <w:rPr>
                <w:color w:val="1C3A36"/>
                <w:sz w:val="17"/>
              </w:rPr>
              <w:t>4.13</w:t>
            </w:r>
          </w:p>
        </w:tc>
        <w:tc>
          <w:tcPr>
            <w:tcW w:type="dxa" w:w="1541"/>
          </w:tcPr>
          <w:p>
            <w:pPr>
              <w:spacing w:after="20"/>
              <w:jc w:val="right"/>
            </w:pPr>
            <w:r>
              <w:rPr>
                <w:color w:val="1C3A36"/>
                <w:sz w:val="17"/>
              </w:rPr>
              <w:t>4.23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4.71</w:t>
            </w:r>
          </w:p>
        </w:tc>
        <w:tc>
          <w:tcPr>
            <w:tcW w:type="dxa" w:w="1541"/>
          </w:tcPr>
          <w:p>
            <w:pPr>
              <w:spacing w:after="20"/>
              <w:jc w:val="right"/>
            </w:pPr>
            <w:r>
              <w:rPr>
                <w:color w:val="1C3A36"/>
                <w:sz w:val="17"/>
              </w:rPr>
              <w:t>4.75</w:t>
            </w:r>
          </w:p>
        </w:tc>
        <w:tc>
          <w:tcPr>
            <w:tcW w:type="dxa" w:w="1541"/>
          </w:tcPr>
          <w:p>
            <w:pPr>
              <w:spacing w:after="20"/>
              <w:jc w:val="right"/>
            </w:pPr>
            <w:r>
              <w:rPr>
                <w:color w:val="1C3A36"/>
                <w:sz w:val="17"/>
              </w:rPr>
              <w:t>4.87</w:t>
            </w:r>
          </w:p>
        </w:tc>
        <w:tc>
          <w:tcPr>
            <w:tcW w:type="dxa" w:w="1541"/>
          </w:tcPr>
          <w:p>
            <w:pPr>
              <w:spacing w:after="20"/>
              <w:jc w:val="right"/>
            </w:pPr>
            <w:r>
              <w:rPr>
                <w:color w:val="1C3A36"/>
                <w:sz w:val="17"/>
              </w:rPr>
              <w:t>5.03</w:t>
            </w:r>
          </w:p>
        </w:tc>
        <w:tc>
          <w:tcPr>
            <w:tcW w:type="dxa" w:w="1541"/>
          </w:tcPr>
          <w:p>
            <w:pPr>
              <w:spacing w:after="20"/>
              <w:jc w:val="right"/>
            </w:pPr>
            <w:r>
              <w:rPr>
                <w:color w:val="1C3A36"/>
                <w:sz w:val="17"/>
              </w:rPr>
              <w:t>5.12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5.37</w:t>
            </w:r>
          </w:p>
        </w:tc>
        <w:tc>
          <w:tcPr>
            <w:tcW w:type="dxa" w:w="1541"/>
          </w:tcPr>
          <w:p>
            <w:pPr>
              <w:spacing w:after="20"/>
              <w:jc w:val="right"/>
            </w:pPr>
            <w:r>
              <w:rPr>
                <w:color w:val="1C3A36"/>
                <w:sz w:val="17"/>
              </w:rPr>
              <w:t>5.39</w:t>
            </w:r>
          </w:p>
        </w:tc>
        <w:tc>
          <w:tcPr>
            <w:tcW w:type="dxa" w:w="1541"/>
          </w:tcPr>
          <w:p>
            <w:pPr>
              <w:spacing w:after="20"/>
              <w:jc w:val="right"/>
            </w:pPr>
            <w:r>
              <w:rPr>
                <w:color w:val="1C3A36"/>
                <w:sz w:val="17"/>
              </w:rPr>
              <w:t>5.48</w:t>
            </w:r>
          </w:p>
        </w:tc>
        <w:tc>
          <w:tcPr>
            <w:tcW w:type="dxa" w:w="1541"/>
          </w:tcPr>
          <w:p>
            <w:pPr>
              <w:spacing w:after="20"/>
              <w:jc w:val="right"/>
            </w:pPr>
            <w:r>
              <w:rPr>
                <w:color w:val="1C3A36"/>
                <w:sz w:val="17"/>
              </w:rPr>
              <w:t>5.60</w:t>
            </w:r>
          </w:p>
        </w:tc>
        <w:tc>
          <w:tcPr>
            <w:tcW w:type="dxa" w:w="1541"/>
          </w:tcPr>
          <w:p>
            <w:pPr>
              <w:spacing w:after="20"/>
              <w:jc w:val="right"/>
            </w:pPr>
            <w:r>
              <w:rPr>
                <w:color w:val="1C3A36"/>
                <w:sz w:val="17"/>
              </w:rPr>
              <w:t>5.67</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4.75 a share, at 55% EGP 5.03.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-2.25</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-1.21</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-3.90</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-10.51</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304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