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07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257</w:t>
            </w:r>
          </w:p>
        </w:tc>
      </w:tr>
      <w:tr>
        <w:tc>
          <w:tcPr>
            <w:tcW w:type="dxa" w:w="6236"/>
          </w:tcPr>
          <w:p>
            <w:r/>
            <w:r>
              <w:rPr>
                <w:color w:val="1A1D21"/>
                <w:sz w:val="18"/>
              </w:rPr>
              <w:t>Bind on a class of company (CLASS)</w:t>
            </w:r>
          </w:p>
        </w:tc>
        <w:tc>
          <w:tcPr>
            <w:tcW w:type="dxa" w:w="2721"/>
          </w:tcPr>
          <w:p>
            <w:r/>
            <w:r>
              <w:rPr>
                <w:color w:val="1A1D21"/>
                <w:sz w:val="18"/>
              </w:rPr>
              <w:t>29</w:t>
            </w:r>
          </w:p>
        </w:tc>
      </w:tr>
      <w:tr>
        <w:tc>
          <w:tcPr>
            <w:tcW w:type="dxa" w:w="6236"/>
          </w:tcPr>
          <w:p>
            <w:r/>
            <w:r>
              <w:rPr>
                <w:color w:val="1A1D21"/>
                <w:sz w:val="18"/>
              </w:rPr>
              <w:t>Bind on a single company (STOCK)</w:t>
            </w:r>
          </w:p>
        </w:tc>
        <w:tc>
          <w:tcPr>
            <w:tcW w:type="dxa" w:w="2721"/>
          </w:tcPr>
          <w:p>
            <w:r/>
            <w:r>
              <w:rPr>
                <w:color w:val="1A1D21"/>
                <w:sz w:val="18"/>
              </w:rPr>
              <w:t>10</w:t>
            </w:r>
          </w:p>
        </w:tc>
      </w:tr>
      <w:tr>
        <w:tc>
          <w:tcPr>
            <w:tcW w:type="dxa" w:w="6236"/>
          </w:tcPr>
          <w:p>
            <w:r/>
            <w:r>
              <w:rPr>
                <w:color w:val="1A1D21"/>
                <w:sz w:val="18"/>
              </w:rPr>
              <w:t>Total</w:t>
            </w:r>
          </w:p>
        </w:tc>
        <w:tc>
          <w:tcPr>
            <w:tcW w:type="dxa" w:w="2721"/>
          </w:tcPr>
          <w:p>
            <w:r/>
            <w:r>
              <w:rPr>
                <w:color w:val="1A1D21"/>
                <w:sz w:val="18"/>
              </w:rPr>
              <w:t>296</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62</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192</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10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(64):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L-370 — D11 depreciation forecasts run about 2.5 times too low for SWDY; L-371 — D15 finance costs forecasts run about 2.4 times too low for SWDY; L-372 — D1 cable volume t forecasts run about 28% too high for SWDY; L-373 — D5 contracting revenue forecasts run about 39% too low for SWDY; L-374 — The A gross profit error is the company, not the currency; L-375 — The A cost of revenue bias changes direction between regimes.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L-370  D11 depreciation forecasts run about 2.5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-0.931 log (about 2.5 times too low), average miss 0.931, wrong in the same direction in 100% of cases, and the sign holds across every bootstrap block tested (n=30).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L-371  D15 finance costs forecasts run about 2.4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-0.880 log (about 2.4 times too low), average miss 0.919, wrong in the same direction in 91%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L-374  The A gross profit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0.563 as known, 0.563 with perfect foresight of inflation — the macro share is only -61.7%.</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L-375  The A cost of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pre-float +0.026; first float -0.024; second float -0.460.</w:t>
      </w:r>
    </w:p>
    <w:p>
      <w:pPr>
        <w:spacing w:after="160"/>
        <w:ind w:left="283"/>
      </w:pPr>
      <w:r>
        <w:rPr>
          <w:b w:val="0"/>
          <w:i w:val="0"/>
          <w:color w:val="5B6570"/>
          <w:sz w:val="19"/>
        </w:rPr>
        <w:t>What would overturn it.  A longer record in which one sign dominates across all regimes.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pPr>
        <w:keepNext/>
        <w:spacing w:before="240" w:after="60"/>
      </w:pPr>
      <w:r>
        <w:rPr>
          <w:b/>
          <w:color w:val="1A1D21"/>
          <w:sz w:val="22"/>
        </w:rPr>
        <w:t>L-372  D1 cable volume t forecasts run about 28% too high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+0.250 log (about 28% too high), average miss 0.256, wrong in the same direction in 95% of cases, and the sign holds across every bootstrap block tested (n=20).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L-373  D5 contracting revenue forecasts run about 39% too low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-0.326 log (about 39% too low), average miss 0.390, wrong in the same direction in 76%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