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5 August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52.70 per share against a market price of 130.00 — the price sits about +147% above the central estimate. That gap is not mainly an argument about the business; it is an argument about the discount rate. Discounted at an Egyptian cost of capital gliding 26.9% to 15.9%, the cash flows support roughly EGP 52.70. Discount the hard-currency share of those same cash flows at a hard-currency cost of capital of about 10.1% and the same model produces EGP 70.85 — still -46% against today's price, but +34% above the primary reading. The market appears to be applying something at least as generous as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26.9% → 15.9%, terminal growth 7%; 84% of enterprise value comes from the terminal value</w:t>
            </w:r>
          </w:p>
        </w:tc>
        <w:tc>
          <w:tcPr>
            <w:tcW w:type="dxa" w:w="1656"/>
          </w:tcPr>
          <w:p>
            <w:pPr>
              <w:spacing w:after="20"/>
              <w:jc w:val="right"/>
            </w:pPr>
            <w:r>
              <w:rPr>
                <w:color w:val="1C3A36"/>
                <w:sz w:val="17"/>
              </w:rPr>
              <w:t>19.64 – 101.31</w:t>
            </w:r>
          </w:p>
        </w:tc>
        <w:tc>
          <w:tcPr>
            <w:tcW w:type="dxa" w:w="1037"/>
          </w:tcPr>
          <w:p>
            <w:pPr>
              <w:spacing w:after="20"/>
              <w:jc w:val="right"/>
            </w:pPr>
            <w:r>
              <w:rPr>
                <w:color w:val="1C3A36"/>
                <w:sz w:val="17"/>
              </w:rPr>
              <w:t>52.70</w:t>
            </w:r>
          </w:p>
        </w:tc>
        <w:tc>
          <w:tcPr>
            <w:tcW w:type="dxa" w:w="907"/>
          </w:tcPr>
          <w:p>
            <w:pPr>
              <w:spacing w:after="20"/>
              <w:jc w:val="right"/>
            </w:pPr>
            <w:r>
              <w:rPr>
                <w:color w:val="1C3A36"/>
                <w:sz w:val="17"/>
              </w:rPr>
              <w:t>-59%</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59.47 – 89.90</w:t>
            </w:r>
          </w:p>
        </w:tc>
        <w:tc>
          <w:tcPr>
            <w:tcW w:type="dxa" w:w="1037"/>
          </w:tcPr>
          <w:p>
            <w:pPr>
              <w:spacing w:after="20"/>
              <w:jc w:val="right"/>
            </w:pPr>
            <w:r>
              <w:rPr>
                <w:color w:val="1C3A36"/>
                <w:sz w:val="17"/>
              </w:rPr>
              <w:t>71.64</w:t>
            </w:r>
          </w:p>
        </w:tc>
        <w:tc>
          <w:tcPr>
            <w:tcW w:type="dxa" w:w="907"/>
          </w:tcPr>
          <w:p>
            <w:pPr>
              <w:spacing w:after="20"/>
              <w:jc w:val="right"/>
            </w:pPr>
            <w:r>
              <w:rPr>
                <w:color w:val="1C3A36"/>
                <w:sz w:val="17"/>
              </w:rPr>
              <w:t>-45%</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10.3% at a justified 9.0× P/E</w:t>
            </w:r>
          </w:p>
        </w:tc>
        <w:tc>
          <w:tcPr>
            <w:tcW w:type="dxa" w:w="1656"/>
          </w:tcPr>
          <w:p>
            <w:pPr>
              <w:spacing w:after="20"/>
              <w:jc w:val="right"/>
            </w:pPr>
            <w:r>
              <w:rPr>
                <w:color w:val="1C3A36"/>
                <w:sz w:val="17"/>
              </w:rPr>
              <w:t>75.73 – 125.61</w:t>
            </w:r>
          </w:p>
        </w:tc>
        <w:tc>
          <w:tcPr>
            <w:tcW w:type="dxa" w:w="1037"/>
          </w:tcPr>
          <w:p>
            <w:pPr>
              <w:spacing w:after="20"/>
              <w:jc w:val="right"/>
            </w:pPr>
            <w:r>
              <w:rPr>
                <w:color w:val="1C3A36"/>
                <w:sz w:val="17"/>
              </w:rPr>
              <w:t>97.90</w:t>
            </w:r>
          </w:p>
        </w:tc>
        <w:tc>
          <w:tcPr>
            <w:tcW w:type="dxa" w:w="907"/>
          </w:tcPr>
          <w:p>
            <w:pPr>
              <w:spacing w:after="20"/>
              <w:jc w:val="right"/>
            </w:pPr>
            <w:r>
              <w:rPr>
                <w:color w:val="1C3A36"/>
                <w:sz w:val="17"/>
              </w:rPr>
              <w:t>-25%</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1.6× on book value of 31.24/share at a sustainable return on equity of 23.5%</w:t>
            </w:r>
          </w:p>
        </w:tc>
        <w:tc>
          <w:tcPr>
            <w:tcW w:type="dxa" w:w="1656"/>
          </w:tcPr>
          <w:p>
            <w:pPr>
              <w:spacing w:after="20"/>
              <w:jc w:val="right"/>
            </w:pPr>
            <w:r>
              <w:rPr>
                <w:color w:val="1C3A36"/>
                <w:sz w:val="17"/>
              </w:rPr>
              <w:t>36.07 – 62.90</w:t>
            </w:r>
          </w:p>
        </w:tc>
        <w:tc>
          <w:tcPr>
            <w:tcW w:type="dxa" w:w="1037"/>
          </w:tcPr>
          <w:p>
            <w:pPr>
              <w:spacing w:after="20"/>
              <w:jc w:val="right"/>
            </w:pPr>
            <w:r>
              <w:rPr>
                <w:color w:val="1C3A36"/>
                <w:sz w:val="17"/>
              </w:rPr>
              <w:t>55.90</w:t>
            </w:r>
          </w:p>
        </w:tc>
        <w:tc>
          <w:tcPr>
            <w:tcW w:type="dxa" w:w="907"/>
          </w:tcPr>
          <w:p>
            <w:pPr>
              <w:spacing w:after="20"/>
              <w:jc w:val="right"/>
            </w:pPr>
            <w:r>
              <w:rPr>
                <w:color w:val="1C3A36"/>
                <w:sz w:val="17"/>
              </w:rPr>
              <w:t>-57%</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19.64 – 101.31</w:t>
            </w:r>
          </w:p>
        </w:tc>
        <w:tc>
          <w:tcPr>
            <w:tcW w:type="dxa" w:w="1037"/>
            <w:shd w:val="clear" w:color="auto" w:fill="F6F1E6"/>
          </w:tcPr>
          <w:p>
            <w:pPr>
              <w:spacing w:after="20"/>
              <w:jc w:val="right"/>
            </w:pPr>
            <w:r>
              <w:rPr>
                <w:b/>
                <w:color w:val="1C3A36"/>
                <w:sz w:val="17"/>
              </w:rPr>
              <w:t>52.70</w:t>
            </w:r>
          </w:p>
        </w:tc>
        <w:tc>
          <w:tcPr>
            <w:tcW w:type="dxa" w:w="907"/>
            <w:shd w:val="clear" w:color="auto" w:fill="F6F1E6"/>
          </w:tcPr>
          <w:p>
            <w:pPr>
              <w:spacing w:after="20"/>
              <w:jc w:val="right"/>
            </w:pPr>
            <w:r>
              <w:rPr>
                <w:b/>
                <w:color w:val="1C3A36"/>
                <w:sz w:val="17"/>
              </w:rPr>
              <w:t>-59%</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66.01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10.1%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70.85</w:t>
            </w:r>
          </w:p>
        </w:tc>
        <w:tc>
          <w:tcPr>
            <w:tcW w:type="dxa" w:w="907"/>
          </w:tcPr>
          <w:p>
            <w:pPr>
              <w:spacing w:after="20"/>
              <w:jc w:val="right"/>
            </w:pPr>
            <w:r>
              <w:rPr>
                <w:color w:val="1C3A36"/>
                <w:sz w:val="17"/>
              </w:rPr>
              <w:t>-46%</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32.63</w:t>
            </w:r>
          </w:p>
        </w:tc>
        <w:tc>
          <w:tcPr>
            <w:tcW w:type="dxa" w:w="907"/>
          </w:tcPr>
          <w:p>
            <w:pPr>
              <w:spacing w:after="20"/>
              <w:jc w:val="right"/>
            </w:pPr>
            <w:r>
              <w:rPr>
                <w:color w:val="1C3A36"/>
                <w:sz w:val="17"/>
              </w:rPr>
              <w:t>-75%</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59.17</w:t>
            </w:r>
          </w:p>
        </w:tc>
        <w:tc>
          <w:tcPr>
            <w:tcW w:type="dxa" w:w="907"/>
          </w:tcPr>
          <w:p>
            <w:pPr>
              <w:spacing w:after="20"/>
              <w:jc w:val="right"/>
            </w:pPr>
            <w:r>
              <w:rPr>
                <w:color w:val="1C3A36"/>
                <w:sz w:val="17"/>
              </w:rPr>
              <w:t>-54%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84%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Not disclosed in any of the audited FY2023-25 statements or the Q1-2026 interim, which are the primary sources this build is confined to. The company's quarterly earnings releases have historically disclosed order-book and volume data (the FY2024 release, for example, disclosed 167,665 tons of cable sold); those releases were not reachable from this research environment, so the forecast is built on segment revenue growth rather than a backlog figure — a cross-check against the released backlog is the first refinement to make when they become obtainable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370,030</w:t>
            </w:r>
          </w:p>
        </w:tc>
        <w:tc>
          <w:tcPr>
            <w:tcW w:type="dxa" w:w="1426"/>
          </w:tcPr>
          <w:p>
            <w:pPr>
              <w:spacing w:after="20"/>
              <w:jc w:val="right"/>
            </w:pPr>
            <w:r>
              <w:rPr>
                <w:color w:val="1C3A36"/>
                <w:sz w:val="17"/>
              </w:rPr>
              <w:t>422,528</w:t>
            </w:r>
          </w:p>
        </w:tc>
        <w:tc>
          <w:tcPr>
            <w:tcW w:type="dxa" w:w="1426"/>
          </w:tcPr>
          <w:p>
            <w:pPr>
              <w:spacing w:after="20"/>
              <w:jc w:val="right"/>
            </w:pPr>
            <w:r>
              <w:rPr>
                <w:color w:val="1C3A36"/>
                <w:sz w:val="17"/>
              </w:rPr>
              <w:t>466,619</w:t>
            </w:r>
          </w:p>
        </w:tc>
        <w:tc>
          <w:tcPr>
            <w:tcW w:type="dxa" w:w="1426"/>
          </w:tcPr>
          <w:p>
            <w:pPr>
              <w:spacing w:after="20"/>
              <w:jc w:val="right"/>
            </w:pPr>
            <w:r>
              <w:rPr>
                <w:color w:val="1C3A36"/>
                <w:sz w:val="17"/>
              </w:rPr>
              <w:t>510,440</w:t>
            </w:r>
          </w:p>
        </w:tc>
        <w:tc>
          <w:tcPr>
            <w:tcW w:type="dxa" w:w="1426"/>
          </w:tcPr>
          <w:p>
            <w:pPr>
              <w:spacing w:after="20"/>
              <w:jc w:val="right"/>
            </w:pPr>
            <w:r>
              <w:rPr>
                <w:color w:val="1C3A36"/>
                <w:sz w:val="17"/>
              </w:rPr>
              <w:t>555,225</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175,308</w:t>
            </w:r>
          </w:p>
        </w:tc>
        <w:tc>
          <w:tcPr>
            <w:tcW w:type="dxa" w:w="1426"/>
          </w:tcPr>
          <w:p>
            <w:pPr>
              <w:spacing w:after="20"/>
              <w:jc w:val="right"/>
            </w:pPr>
            <w:r>
              <w:rPr>
                <w:color w:val="1C3A36"/>
                <w:sz w:val="17"/>
              </w:rPr>
              <w:t>200,259</w:t>
            </w:r>
          </w:p>
        </w:tc>
        <w:tc>
          <w:tcPr>
            <w:tcW w:type="dxa" w:w="1426"/>
          </w:tcPr>
          <w:p>
            <w:pPr>
              <w:spacing w:after="20"/>
              <w:jc w:val="right"/>
            </w:pPr>
            <w:r>
              <w:rPr>
                <w:color w:val="1C3A36"/>
                <w:sz w:val="17"/>
              </w:rPr>
              <w:t>221,642</w:t>
            </w:r>
          </w:p>
        </w:tc>
        <w:tc>
          <w:tcPr>
            <w:tcW w:type="dxa" w:w="1426"/>
          </w:tcPr>
          <w:p>
            <w:pPr>
              <w:spacing w:after="20"/>
              <w:jc w:val="right"/>
            </w:pPr>
            <w:r>
              <w:rPr>
                <w:color w:val="1C3A36"/>
                <w:sz w:val="17"/>
              </w:rPr>
              <w:t>242,445</w:t>
            </w:r>
          </w:p>
        </w:tc>
        <w:tc>
          <w:tcPr>
            <w:tcW w:type="dxa" w:w="1426"/>
          </w:tcPr>
          <w:p>
            <w:pPr>
              <w:spacing w:after="20"/>
              <w:jc w:val="right"/>
            </w:pPr>
            <w:r>
              <w:rPr>
                <w:color w:val="1C3A36"/>
                <w:sz w:val="17"/>
              </w:rPr>
              <w:t>263,462</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194,722</w:t>
            </w:r>
          </w:p>
        </w:tc>
        <w:tc>
          <w:tcPr>
            <w:tcW w:type="dxa" w:w="1426"/>
          </w:tcPr>
          <w:p>
            <w:pPr>
              <w:spacing w:after="20"/>
              <w:jc w:val="right"/>
            </w:pPr>
            <w:r>
              <w:rPr>
                <w:color w:val="1C3A36"/>
                <w:sz w:val="17"/>
              </w:rPr>
              <w:t>222,270</w:t>
            </w:r>
          </w:p>
        </w:tc>
        <w:tc>
          <w:tcPr>
            <w:tcW w:type="dxa" w:w="1426"/>
          </w:tcPr>
          <w:p>
            <w:pPr>
              <w:spacing w:after="20"/>
              <w:jc w:val="right"/>
            </w:pPr>
            <w:r>
              <w:rPr>
                <w:color w:val="1C3A36"/>
                <w:sz w:val="17"/>
              </w:rPr>
              <w:t>244,977</w:t>
            </w:r>
          </w:p>
        </w:tc>
        <w:tc>
          <w:tcPr>
            <w:tcW w:type="dxa" w:w="1426"/>
          </w:tcPr>
          <w:p>
            <w:pPr>
              <w:spacing w:after="20"/>
              <w:jc w:val="right"/>
            </w:pPr>
            <w:r>
              <w:rPr>
                <w:color w:val="1C3A36"/>
                <w:sz w:val="17"/>
              </w:rPr>
              <w:t>267,995</w:t>
            </w:r>
          </w:p>
        </w:tc>
        <w:tc>
          <w:tcPr>
            <w:tcW w:type="dxa" w:w="1426"/>
          </w:tcPr>
          <w:p>
            <w:pPr>
              <w:spacing w:after="20"/>
              <w:jc w:val="right"/>
            </w:pPr>
            <w:r>
              <w:rPr>
                <w:color w:val="1C3A36"/>
                <w:sz w:val="17"/>
              </w:rPr>
              <w:t>291,763</w:t>
            </w:r>
          </w:p>
        </w:tc>
      </w:tr>
      <w:tr>
        <w:tc>
          <w:tcPr>
            <w:tcW w:type="dxa" w:w="2952"/>
          </w:tcPr>
          <w:p>
            <w:pPr>
              <w:spacing w:after="20"/>
            </w:pPr>
            <w:r>
              <w:rPr>
                <w:color w:val="1C3A36"/>
                <w:sz w:val="17"/>
              </w:rPr>
              <w:t>EBITDA</w:t>
            </w:r>
          </w:p>
        </w:tc>
        <w:tc>
          <w:tcPr>
            <w:tcW w:type="dxa" w:w="1426"/>
          </w:tcPr>
          <w:p>
            <w:pPr>
              <w:spacing w:after="20"/>
              <w:jc w:val="right"/>
            </w:pPr>
            <w:r>
              <w:rPr>
                <w:color w:val="1C3A36"/>
                <w:sz w:val="17"/>
              </w:rPr>
              <w:t>37,965</w:t>
            </w:r>
          </w:p>
        </w:tc>
        <w:tc>
          <w:tcPr>
            <w:tcW w:type="dxa" w:w="1426"/>
          </w:tcPr>
          <w:p>
            <w:pPr>
              <w:spacing w:after="20"/>
              <w:jc w:val="right"/>
            </w:pPr>
            <w:r>
              <w:rPr>
                <w:color w:val="1C3A36"/>
                <w:sz w:val="17"/>
              </w:rPr>
              <w:t>43,447</w:t>
            </w:r>
          </w:p>
        </w:tc>
        <w:tc>
          <w:tcPr>
            <w:tcW w:type="dxa" w:w="1426"/>
          </w:tcPr>
          <w:p>
            <w:pPr>
              <w:spacing w:after="20"/>
              <w:jc w:val="right"/>
            </w:pPr>
            <w:r>
              <w:rPr>
                <w:color w:val="1C3A36"/>
                <w:sz w:val="17"/>
              </w:rPr>
              <w:t>48,113</w:t>
            </w:r>
          </w:p>
        </w:tc>
        <w:tc>
          <w:tcPr>
            <w:tcW w:type="dxa" w:w="1426"/>
          </w:tcPr>
          <w:p>
            <w:pPr>
              <w:spacing w:after="20"/>
              <w:jc w:val="right"/>
            </w:pPr>
            <w:r>
              <w:rPr>
                <w:color w:val="1C3A36"/>
                <w:sz w:val="17"/>
              </w:rPr>
              <w:t>52,750</w:t>
            </w:r>
          </w:p>
        </w:tc>
        <w:tc>
          <w:tcPr>
            <w:tcW w:type="dxa" w:w="1426"/>
          </w:tcPr>
          <w:p>
            <w:pPr>
              <w:spacing w:after="20"/>
              <w:jc w:val="right"/>
            </w:pPr>
            <w:r>
              <w:rPr>
                <w:color w:val="1C3A36"/>
                <w:sz w:val="17"/>
              </w:rPr>
              <w:t>57,496</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10.4%</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EBIT</w:t>
            </w:r>
          </w:p>
        </w:tc>
        <w:tc>
          <w:tcPr>
            <w:tcW w:type="dxa" w:w="1426"/>
          </w:tcPr>
          <w:p>
            <w:pPr>
              <w:spacing w:after="20"/>
              <w:jc w:val="right"/>
            </w:pPr>
            <w:r>
              <w:rPr>
                <w:color w:val="1C3A36"/>
                <w:sz w:val="17"/>
              </w:rPr>
              <w:t>33,339</w:t>
            </w:r>
          </w:p>
        </w:tc>
        <w:tc>
          <w:tcPr>
            <w:tcW w:type="dxa" w:w="1426"/>
          </w:tcPr>
          <w:p>
            <w:pPr>
              <w:spacing w:after="20"/>
              <w:jc w:val="right"/>
            </w:pPr>
            <w:r>
              <w:rPr>
                <w:color w:val="1C3A36"/>
                <w:sz w:val="17"/>
              </w:rPr>
              <w:t>38,165</w:t>
            </w:r>
          </w:p>
        </w:tc>
        <w:tc>
          <w:tcPr>
            <w:tcW w:type="dxa" w:w="1426"/>
          </w:tcPr>
          <w:p>
            <w:pPr>
              <w:spacing w:after="20"/>
              <w:jc w:val="right"/>
            </w:pPr>
            <w:r>
              <w:rPr>
                <w:color w:val="1C3A36"/>
                <w:sz w:val="17"/>
              </w:rPr>
              <w:t>42,280</w:t>
            </w:r>
          </w:p>
        </w:tc>
        <w:tc>
          <w:tcPr>
            <w:tcW w:type="dxa" w:w="1426"/>
          </w:tcPr>
          <w:p>
            <w:pPr>
              <w:spacing w:after="20"/>
              <w:jc w:val="right"/>
            </w:pPr>
            <w:r>
              <w:rPr>
                <w:color w:val="1C3A36"/>
                <w:sz w:val="17"/>
              </w:rPr>
              <w:t>46,370</w:t>
            </w:r>
          </w:p>
        </w:tc>
        <w:tc>
          <w:tcPr>
            <w:tcW w:type="dxa" w:w="1426"/>
          </w:tcPr>
          <w:p>
            <w:pPr>
              <w:spacing w:after="20"/>
              <w:jc w:val="right"/>
            </w:pPr>
            <w:r>
              <w:rPr>
                <w:color w:val="1C3A36"/>
                <w:sz w:val="17"/>
              </w:rPr>
              <w:t>50,556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25,171</w:t>
            </w:r>
          </w:p>
        </w:tc>
        <w:tc>
          <w:tcPr>
            <w:tcW w:type="dxa" w:w="1426"/>
          </w:tcPr>
          <w:p>
            <w:pPr>
              <w:spacing w:after="20"/>
              <w:jc w:val="right"/>
            </w:pPr>
            <w:r>
              <w:rPr>
                <w:color w:val="1C3A36"/>
                <w:sz w:val="17"/>
              </w:rPr>
              <w:t>28,815</w:t>
            </w:r>
          </w:p>
        </w:tc>
        <w:tc>
          <w:tcPr>
            <w:tcW w:type="dxa" w:w="1426"/>
          </w:tcPr>
          <w:p>
            <w:pPr>
              <w:spacing w:after="20"/>
              <w:jc w:val="right"/>
            </w:pPr>
            <w:r>
              <w:rPr>
                <w:color w:val="1C3A36"/>
                <w:sz w:val="17"/>
              </w:rPr>
              <w:t>31,922</w:t>
            </w:r>
          </w:p>
        </w:tc>
        <w:tc>
          <w:tcPr>
            <w:tcW w:type="dxa" w:w="1426"/>
          </w:tcPr>
          <w:p>
            <w:pPr>
              <w:spacing w:after="20"/>
              <w:jc w:val="right"/>
            </w:pPr>
            <w:r>
              <w:rPr>
                <w:color w:val="1C3A36"/>
                <w:sz w:val="17"/>
              </w:rPr>
              <w:t>35,009</w:t>
            </w:r>
          </w:p>
        </w:tc>
        <w:tc>
          <w:tcPr>
            <w:tcW w:type="dxa" w:w="1426"/>
          </w:tcPr>
          <w:p>
            <w:pPr>
              <w:spacing w:after="20"/>
              <w:jc w:val="right"/>
            </w:pPr>
            <w:r>
              <w:rPr>
                <w:color w:val="1C3A36"/>
                <w:sz w:val="17"/>
              </w:rPr>
              <w:t>38,170</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(16,281)</w:t>
            </w:r>
          </w:p>
        </w:tc>
        <w:tc>
          <w:tcPr>
            <w:tcW w:type="dxa" w:w="1426"/>
          </w:tcPr>
          <w:p>
            <w:pPr>
              <w:spacing w:after="20"/>
              <w:jc w:val="right"/>
            </w:pPr>
            <w:r>
              <w:rPr>
                <w:color w:val="1C3A36"/>
                <w:sz w:val="17"/>
              </w:rPr>
              <w:t>(16,901)</w:t>
            </w:r>
          </w:p>
        </w:tc>
        <w:tc>
          <w:tcPr>
            <w:tcW w:type="dxa" w:w="1426"/>
          </w:tcPr>
          <w:p>
            <w:pPr>
              <w:spacing w:after="20"/>
              <w:jc w:val="right"/>
            </w:pPr>
            <w:r>
              <w:rPr>
                <w:color w:val="1C3A36"/>
                <w:sz w:val="17"/>
              </w:rPr>
              <w:t>(16,798)</w:t>
            </w:r>
          </w:p>
        </w:tc>
        <w:tc>
          <w:tcPr>
            <w:tcW w:type="dxa" w:w="1426"/>
          </w:tcPr>
          <w:p>
            <w:pPr>
              <w:spacing w:after="20"/>
              <w:jc w:val="right"/>
            </w:pPr>
            <w:r>
              <w:rPr>
                <w:color w:val="1C3A36"/>
                <w:sz w:val="17"/>
              </w:rPr>
              <w:t>(16,845)</w:t>
            </w:r>
          </w:p>
        </w:tc>
        <w:tc>
          <w:tcPr>
            <w:tcW w:type="dxa" w:w="1426"/>
          </w:tcPr>
          <w:p>
            <w:pPr>
              <w:spacing w:after="20"/>
              <w:jc w:val="right"/>
            </w:pPr>
            <w:r>
              <w:rPr>
                <w:color w:val="1C3A36"/>
                <w:sz w:val="17"/>
              </w:rPr>
              <w:t>(17,212)</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(17,783)</w:t>
            </w:r>
          </w:p>
        </w:tc>
        <w:tc>
          <w:tcPr>
            <w:tcW w:type="dxa" w:w="1426"/>
          </w:tcPr>
          <w:p>
            <w:pPr>
              <w:spacing w:after="20"/>
              <w:jc w:val="right"/>
            </w:pPr>
            <w:r>
              <w:rPr>
                <w:color w:val="1C3A36"/>
                <w:sz w:val="17"/>
              </w:rPr>
              <w:t>(10,447)</w:t>
            </w:r>
          </w:p>
        </w:tc>
        <w:tc>
          <w:tcPr>
            <w:tcW w:type="dxa" w:w="1426"/>
          </w:tcPr>
          <w:p>
            <w:pPr>
              <w:spacing w:after="20"/>
              <w:jc w:val="right"/>
            </w:pPr>
            <w:r>
              <w:rPr>
                <w:color w:val="1C3A36"/>
                <w:sz w:val="17"/>
              </w:rPr>
              <w:t>(8,774)</w:t>
            </w:r>
          </w:p>
        </w:tc>
        <w:tc>
          <w:tcPr>
            <w:tcW w:type="dxa" w:w="1426"/>
          </w:tcPr>
          <w:p>
            <w:pPr>
              <w:spacing w:after="20"/>
              <w:jc w:val="right"/>
            </w:pPr>
            <w:r>
              <w:rPr>
                <w:color w:val="1C3A36"/>
                <w:sz w:val="17"/>
              </w:rPr>
              <w:t>(8,720)</w:t>
            </w:r>
          </w:p>
        </w:tc>
        <w:tc>
          <w:tcPr>
            <w:tcW w:type="dxa" w:w="1426"/>
          </w:tcPr>
          <w:p>
            <w:pPr>
              <w:spacing w:after="20"/>
              <w:jc w:val="right"/>
            </w:pPr>
            <w:r>
              <w:rPr>
                <w:color w:val="1C3A36"/>
                <w:sz w:val="17"/>
              </w:rPr>
              <w:t>(8,912)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-4,268</w:t>
            </w:r>
          </w:p>
        </w:tc>
        <w:tc>
          <w:tcPr>
            <w:tcW w:type="dxa" w:w="1426"/>
            <w:shd w:val="clear" w:color="auto" w:fill="F6F1E6"/>
          </w:tcPr>
          <w:p>
            <w:pPr>
              <w:spacing w:after="20"/>
              <w:jc w:val="right"/>
            </w:pPr>
            <w:r>
              <w:rPr>
                <w:b/>
                <w:color w:val="1C3A36"/>
                <w:sz w:val="17"/>
              </w:rPr>
              <w:t>6,748</w:t>
            </w:r>
          </w:p>
        </w:tc>
        <w:tc>
          <w:tcPr>
            <w:tcW w:type="dxa" w:w="1426"/>
            <w:shd w:val="clear" w:color="auto" w:fill="F6F1E6"/>
          </w:tcPr>
          <w:p>
            <w:pPr>
              <w:spacing w:after="20"/>
              <w:jc w:val="right"/>
            </w:pPr>
            <w:r>
              <w:rPr>
                <w:b/>
                <w:color w:val="1C3A36"/>
                <w:sz w:val="17"/>
              </w:rPr>
              <w:t>12,182</w:t>
            </w:r>
          </w:p>
        </w:tc>
        <w:tc>
          <w:tcPr>
            <w:tcW w:type="dxa" w:w="1426"/>
            <w:shd w:val="clear" w:color="auto" w:fill="F6F1E6"/>
          </w:tcPr>
          <w:p>
            <w:pPr>
              <w:spacing w:after="20"/>
              <w:jc w:val="right"/>
            </w:pPr>
            <w:r>
              <w:rPr>
                <w:b/>
                <w:color w:val="1C3A36"/>
                <w:sz w:val="17"/>
              </w:rPr>
              <w:t>15,825</w:t>
            </w:r>
          </w:p>
        </w:tc>
        <w:tc>
          <w:tcPr>
            <w:tcW w:type="dxa" w:w="1426"/>
            <w:shd w:val="clear" w:color="auto" w:fill="F6F1E6"/>
          </w:tcPr>
          <w:p>
            <w:pPr>
              <w:spacing w:after="20"/>
              <w:jc w:val="right"/>
            </w:pPr>
            <w:r>
              <w:rPr>
                <w:b/>
                <w:color w:val="1C3A36"/>
                <w:sz w:val="17"/>
              </w:rPr>
              <w:t>18,986</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26.9%</w:t>
            </w:r>
          </w:p>
        </w:tc>
        <w:tc>
          <w:tcPr>
            <w:tcW w:type="dxa" w:w="1426"/>
          </w:tcPr>
          <w:p>
            <w:pPr>
              <w:spacing w:after="20"/>
              <w:jc w:val="right"/>
            </w:pPr>
            <w:r>
              <w:rPr>
                <w:color w:val="1C3A36"/>
                <w:sz w:val="17"/>
              </w:rPr>
              <w:t>23.3%</w:t>
            </w:r>
          </w:p>
        </w:tc>
        <w:tc>
          <w:tcPr>
            <w:tcW w:type="dxa" w:w="1426"/>
          </w:tcPr>
          <w:p>
            <w:pPr>
              <w:spacing w:after="20"/>
              <w:jc w:val="right"/>
            </w:pPr>
            <w:r>
              <w:rPr>
                <w:color w:val="1C3A36"/>
                <w:sz w:val="17"/>
              </w:rPr>
              <w:t>20.2%</w:t>
            </w:r>
          </w:p>
        </w:tc>
        <w:tc>
          <w:tcPr>
            <w:tcW w:type="dxa" w:w="1426"/>
          </w:tcPr>
          <w:p>
            <w:pPr>
              <w:spacing w:after="20"/>
              <w:jc w:val="right"/>
            </w:pPr>
            <w:r>
              <w:rPr>
                <w:color w:val="1C3A36"/>
                <w:sz w:val="17"/>
              </w:rPr>
              <w:t>17.8%</w:t>
            </w:r>
          </w:p>
        </w:tc>
        <w:tc>
          <w:tcPr>
            <w:tcW w:type="dxa" w:w="1426"/>
          </w:tcPr>
          <w:p>
            <w:pPr>
              <w:spacing w:after="20"/>
              <w:jc w:val="right"/>
            </w:pPr>
            <w:r>
              <w:rPr>
                <w:color w:val="1C3A36"/>
                <w:sz w:val="17"/>
              </w:rPr>
              <w:t>15.9%</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0.7877</w:t>
            </w:r>
          </w:p>
        </w:tc>
        <w:tc>
          <w:tcPr>
            <w:tcW w:type="dxa" w:w="1426"/>
          </w:tcPr>
          <w:p>
            <w:pPr>
              <w:spacing w:after="20"/>
              <w:jc w:val="right"/>
            </w:pPr>
            <w:r>
              <w:rPr>
                <w:color w:val="1C3A36"/>
                <w:sz w:val="17"/>
              </w:rPr>
              <w:t>0.6390</w:t>
            </w:r>
          </w:p>
        </w:tc>
        <w:tc>
          <w:tcPr>
            <w:tcW w:type="dxa" w:w="1426"/>
          </w:tcPr>
          <w:p>
            <w:pPr>
              <w:spacing w:after="20"/>
              <w:jc w:val="right"/>
            </w:pPr>
            <w:r>
              <w:rPr>
                <w:color w:val="1C3A36"/>
                <w:sz w:val="17"/>
              </w:rPr>
              <w:t>0.5316</w:t>
            </w:r>
          </w:p>
        </w:tc>
        <w:tc>
          <w:tcPr>
            <w:tcW w:type="dxa" w:w="1426"/>
          </w:tcPr>
          <w:p>
            <w:pPr>
              <w:spacing w:after="20"/>
              <w:jc w:val="right"/>
            </w:pPr>
            <w:r>
              <w:rPr>
                <w:color w:val="1C3A36"/>
                <w:sz w:val="17"/>
              </w:rPr>
              <w:t>0.4514</w:t>
            </w:r>
          </w:p>
        </w:tc>
        <w:tc>
          <w:tcPr>
            <w:tcW w:type="dxa" w:w="1426"/>
          </w:tcPr>
          <w:p>
            <w:pPr>
              <w:spacing w:after="20"/>
              <w:jc w:val="right"/>
            </w:pPr>
            <w:r>
              <w:rPr>
                <w:color w:val="1C3A36"/>
                <w:sz w:val="17"/>
              </w:rPr>
              <w:t>0.3893</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-3,362</w:t>
            </w:r>
          </w:p>
        </w:tc>
        <w:tc>
          <w:tcPr>
            <w:tcW w:type="dxa" w:w="1426"/>
            <w:shd w:val="clear" w:color="auto" w:fill="F6F1E6"/>
          </w:tcPr>
          <w:p>
            <w:pPr>
              <w:spacing w:after="20"/>
              <w:jc w:val="right"/>
            </w:pPr>
            <w:r>
              <w:rPr>
                <w:b/>
                <w:color w:val="1C3A36"/>
                <w:sz w:val="17"/>
              </w:rPr>
              <w:t>4,312</w:t>
            </w:r>
          </w:p>
        </w:tc>
        <w:tc>
          <w:tcPr>
            <w:tcW w:type="dxa" w:w="1426"/>
            <w:shd w:val="clear" w:color="auto" w:fill="F6F1E6"/>
          </w:tcPr>
          <w:p>
            <w:pPr>
              <w:spacing w:after="20"/>
              <w:jc w:val="right"/>
            </w:pPr>
            <w:r>
              <w:rPr>
                <w:b/>
                <w:color w:val="1C3A36"/>
                <w:sz w:val="17"/>
              </w:rPr>
              <w:t>6,476</w:t>
            </w:r>
          </w:p>
        </w:tc>
        <w:tc>
          <w:tcPr>
            <w:tcW w:type="dxa" w:w="1426"/>
            <w:shd w:val="clear" w:color="auto" w:fill="F6F1E6"/>
          </w:tcPr>
          <w:p>
            <w:pPr>
              <w:spacing w:after="20"/>
              <w:jc w:val="right"/>
            </w:pPr>
            <w:r>
              <w:rPr>
                <w:b/>
                <w:color w:val="1C3A36"/>
                <w:sz w:val="17"/>
              </w:rPr>
              <w:t>7,143</w:t>
            </w:r>
          </w:p>
        </w:tc>
        <w:tc>
          <w:tcPr>
            <w:tcW w:type="dxa" w:w="1426"/>
            <w:shd w:val="clear" w:color="auto" w:fill="F6F1E6"/>
          </w:tcPr>
          <w:p>
            <w:pPr>
              <w:spacing w:after="20"/>
              <w:jc w:val="right"/>
            </w:pPr>
            <w:r>
              <w:rPr>
                <w:b/>
                <w:color w:val="1C3A36"/>
                <w:sz w:val="17"/>
              </w:rPr>
              <w:t>7,392</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19.9% of revenue, the level the audited balance sheets actually show.</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21,960</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26,619</w:t>
            </w:r>
          </w:p>
        </w:tc>
        <w:tc>
          <w:tcPr>
            <w:tcW w:type="dxa" w:w="4896"/>
          </w:tcPr>
          <w:p>
            <w:pPr>
              <w:spacing w:after="20"/>
              <w:jc w:val="right"/>
            </w:pPr>
            <w:r>
              <w:rPr>
                <w:color w:val="1C3A36"/>
                <w:sz w:val="16"/>
              </w:rPr>
              <w:t>FY2030E NOPAT grown 7% × (1 − reinvestment rate 34.8%); the reinvestment rate is forced to g ÷ terminal return on capital (20.1%)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116,243</w:t>
            </w:r>
          </w:p>
        </w:tc>
        <w:tc>
          <w:tcPr>
            <w:tcW w:type="dxa" w:w="4896"/>
          </w:tcPr>
          <w:p>
            <w:pPr>
              <w:spacing w:after="20"/>
              <w:jc w:val="right"/>
            </w:pPr>
            <w:r>
              <w:rPr>
                <w:color w:val="1C3A36"/>
                <w:sz w:val="16"/>
              </w:rPr>
              <w:t>the terminal cash flow capitalised at 15.9% − 7% = 298,577, discounted at the year-5 factor 0.3893</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138,203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84%</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(12,036)</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98,665</w:t>
            </w:r>
          </w:p>
        </w:tc>
        <w:tc>
          <w:tcPr>
            <w:tcW w:type="dxa" w:w="4896"/>
          </w:tcPr>
          <w:p>
            <w:pPr>
              <w:spacing w:after="20"/>
              <w:jc w:val="right"/>
            </w:pPr>
            <w:r>
              <w:rPr>
                <w:color w:val="1C3A36"/>
                <w:sz w:val="16"/>
              </w:rPr>
              <w:t>EGP 46.09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×1.1835</w:t>
            </w:r>
          </w:p>
        </w:tc>
        <w:tc>
          <w:tcPr>
            <w:tcW w:type="dxa" w:w="4896"/>
          </w:tcPr>
          <w:p>
            <w:pPr>
              <w:spacing w:after="20"/>
              <w:jc w:val="right"/>
            </w:pPr>
            <w:r>
              <w:rPr>
                <w:color w:val="1C3A36"/>
                <w:sz w:val="16"/>
              </w:rPr>
              <w:t>fair value accretes at the 28.4% cost of equity between the valuation date and the 5-Aug-2026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52.70</w:t>
            </w:r>
          </w:p>
        </w:tc>
        <w:tc>
          <w:tcPr>
            <w:tcW w:type="dxa" w:w="4896"/>
            <w:shd w:val="clear" w:color="auto" w:fill="F6F1E6"/>
          </w:tcPr>
          <w:p>
            <w:pPr>
              <w:spacing w:after="20"/>
              <w:jc w:val="right"/>
            </w:pPr>
            <w:r>
              <w:rPr>
                <w:b/>
                <w:color w:val="1C3A36"/>
                <w:sz w:val="16"/>
              </w:rPr>
              <w:t>against a spot of 130.00 (-59%)</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17.6% — a steady-state multiple takes a steady-state rate, not a five-year transitional one. (An earlier wording called this figure an 'average' of the two windows, which it never was; the actual average, 23.0%, is the construction behind this lens's published bear bound of 36.07.) That gives 1.6× book, or EGP 55.90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(-950)</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71.64</w:t>
            </w:r>
          </w:p>
        </w:tc>
        <w:tc>
          <w:tcPr>
            <w:tcW w:type="dxa" w:w="5688"/>
          </w:tcPr>
          <w:p>
            <w:pPr>
              <w:spacing w:after="20"/>
              <w:jc w:val="right"/>
            </w:pPr>
            <w:r>
              <w:rPr>
                <w:color w:val="1C3A36"/>
                <w:sz w:val="17"/>
              </w:rPr>
              <w:t>bear 59.47 at 5.5× / bull 89.90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132.76 per share instead of 71.64 — a EGP 61.11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10.3% — the FY28E point of the forecast, comfortably below the FY2024 outturn of 13.6% and above the FY2025 trough of 10.1% — is applied to FY2026E revenue of EGP 370,030mn.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370,030</w:t>
            </w:r>
          </w:p>
        </w:tc>
      </w:tr>
      <w:tr>
        <w:tc>
          <w:tcPr>
            <w:tcW w:type="dxa" w:w="6552"/>
          </w:tcPr>
          <w:p>
            <w:pPr>
              <w:spacing w:after="20"/>
            </w:pPr>
            <w:r>
              <w:rPr>
                <w:color w:val="1C3A36"/>
                <w:sz w:val="17"/>
              </w:rPr>
              <w:t>Mid-cycle EBITDA margin (FY28E) at 10.3%</w:t>
            </w:r>
          </w:p>
        </w:tc>
        <w:tc>
          <w:tcPr>
            <w:tcW w:type="dxa" w:w="1944"/>
          </w:tcPr>
          <w:p>
            <w:pPr>
              <w:spacing w:after="20"/>
              <w:jc w:val="right"/>
            </w:pPr>
            <w:r>
              <w:rPr>
                <w:color w:val="1C3A36"/>
                <w:sz w:val="17"/>
              </w:rPr>
              <w:t>38,154</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(4,625)</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33,528</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(13,432)</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20,048</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9.36</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97.90</w:t>
            </w:r>
          </w:p>
        </w:tc>
      </w:tr>
    </w:tbl>
    <w:p>
      <w:pPr>
        <w:spacing w:after="40"/>
      </w:pPr>
    </w:p>
    <w:p>
      <w:pPr>
        <w:spacing w:after="200" w:before="0"/>
      </w:pPr>
      <w:r>
        <w:rPr>
          <w:b w:val="0"/>
          <w:i/>
          <w:color w:val="6E7B77"/>
          <w:sz w:val="17"/>
        </w:rPr>
        <w:t>Bear 75.73 at 7.0× and bull 125.61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19.64</w:t>
            </w:r>
          </w:p>
        </w:tc>
        <w:tc>
          <w:tcPr>
            <w:tcW w:type="dxa" w:w="1238"/>
          </w:tcPr>
          <w:p>
            <w:pPr>
              <w:spacing w:after="20"/>
              <w:jc w:val="right"/>
            </w:pPr>
            <w:r>
              <w:rPr>
                <w:color w:val="1C3A36"/>
                <w:sz w:val="17"/>
              </w:rPr>
              <w:t>52.70</w:t>
            </w:r>
          </w:p>
        </w:tc>
        <w:tc>
          <w:tcPr>
            <w:tcW w:type="dxa" w:w="1238"/>
          </w:tcPr>
          <w:p>
            <w:pPr>
              <w:spacing w:after="20"/>
              <w:jc w:val="right"/>
            </w:pPr>
            <w:r>
              <w:rPr>
                <w:color w:val="1C3A36"/>
                <w:sz w:val="17"/>
              </w:rPr>
              <w:t>101.31</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-59%</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59.47</w:t>
            </w:r>
          </w:p>
        </w:tc>
        <w:tc>
          <w:tcPr>
            <w:tcW w:type="dxa" w:w="1238"/>
          </w:tcPr>
          <w:p>
            <w:pPr>
              <w:spacing w:after="20"/>
              <w:jc w:val="right"/>
            </w:pPr>
            <w:r>
              <w:rPr>
                <w:color w:val="1C3A36"/>
                <w:sz w:val="17"/>
              </w:rPr>
              <w:t>71.64</w:t>
            </w:r>
          </w:p>
        </w:tc>
        <w:tc>
          <w:tcPr>
            <w:tcW w:type="dxa" w:w="1238"/>
          </w:tcPr>
          <w:p>
            <w:pPr>
              <w:spacing w:after="20"/>
              <w:jc w:val="right"/>
            </w:pPr>
            <w:r>
              <w:rPr>
                <w:color w:val="1C3A36"/>
                <w:sz w:val="17"/>
              </w:rPr>
              <w:t>89.90</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-45%</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75.73</w:t>
            </w:r>
          </w:p>
        </w:tc>
        <w:tc>
          <w:tcPr>
            <w:tcW w:type="dxa" w:w="1238"/>
          </w:tcPr>
          <w:p>
            <w:pPr>
              <w:spacing w:after="20"/>
              <w:jc w:val="right"/>
            </w:pPr>
            <w:r>
              <w:rPr>
                <w:color w:val="1C3A36"/>
                <w:sz w:val="17"/>
              </w:rPr>
              <w:t>97.90</w:t>
            </w:r>
          </w:p>
        </w:tc>
        <w:tc>
          <w:tcPr>
            <w:tcW w:type="dxa" w:w="1238"/>
          </w:tcPr>
          <w:p>
            <w:pPr>
              <w:spacing w:after="20"/>
              <w:jc w:val="right"/>
            </w:pPr>
            <w:r>
              <w:rPr>
                <w:color w:val="1C3A36"/>
                <w:sz w:val="17"/>
              </w:rPr>
              <w:t>125.61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-25%</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36.07</w:t>
            </w:r>
          </w:p>
        </w:tc>
        <w:tc>
          <w:tcPr>
            <w:tcW w:type="dxa" w:w="1238"/>
          </w:tcPr>
          <w:p>
            <w:pPr>
              <w:spacing w:after="20"/>
              <w:jc w:val="right"/>
            </w:pPr>
            <w:r>
              <w:rPr>
                <w:color w:val="1C3A36"/>
                <w:sz w:val="17"/>
              </w:rPr>
              <w:t>55.90</w:t>
            </w:r>
          </w:p>
        </w:tc>
        <w:tc>
          <w:tcPr>
            <w:tcW w:type="dxa" w:w="1238"/>
          </w:tcPr>
          <w:p>
            <w:pPr>
              <w:spacing w:after="20"/>
              <w:jc w:val="right"/>
            </w:pPr>
            <w:r>
              <w:rPr>
                <w:color w:val="1C3A36"/>
                <w:sz w:val="17"/>
              </w:rPr>
              <w:t>62.90</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-57%</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19.64</w:t>
            </w:r>
          </w:p>
        </w:tc>
        <w:tc>
          <w:tcPr>
            <w:tcW w:type="dxa" w:w="1238"/>
            <w:shd w:val="clear" w:color="auto" w:fill="F6F1E6"/>
          </w:tcPr>
          <w:p>
            <w:pPr>
              <w:spacing w:after="20"/>
              <w:jc w:val="right"/>
            </w:pPr>
            <w:r>
              <w:rPr>
                <w:b/>
                <w:color w:val="1C3A36"/>
                <w:sz w:val="17"/>
              </w:rPr>
              <w:t>52.70</w:t>
            </w:r>
          </w:p>
        </w:tc>
        <w:tc>
          <w:tcPr>
            <w:tcW w:type="dxa" w:w="1238"/>
            <w:shd w:val="clear" w:color="auto" w:fill="F6F1E6"/>
          </w:tcPr>
          <w:p>
            <w:pPr>
              <w:spacing w:after="20"/>
              <w:jc w:val="right"/>
            </w:pPr>
            <w:r>
              <w:rPr>
                <w:b/>
                <w:color w:val="1C3A36"/>
                <w:sz w:val="17"/>
              </w:rPr>
              <w:t>101.31</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-59%</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66.01</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-49%</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52.70, and the market-anchored reads are published beside it at their own values so a reader can judge the disagreement rather than receive a number in which it has already been settled by a weight. An earlier edition did settle it that way and reported EGP 66.01, -49% against the price where this study holds -59%.</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49.5</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18.0%</w:t>
            </w:r>
          </w:p>
        </w:tc>
        <w:tc>
          <w:tcPr>
            <w:tcW w:type="dxa" w:w="1051"/>
          </w:tcPr>
          <w:p>
            <w:pPr>
              <w:spacing w:after="20"/>
              <w:jc w:val="right"/>
            </w:pPr>
            <w:r>
              <w:rPr>
                <w:color w:val="1C3A36"/>
                <w:sz w:val="16"/>
              </w:rPr>
              <w:t>14.0%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8.0%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13.0%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10.0%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370,030</w:t>
            </w:r>
          </w:p>
        </w:tc>
        <w:tc>
          <w:tcPr>
            <w:tcW w:type="dxa" w:w="1426"/>
          </w:tcPr>
          <w:p>
            <w:pPr>
              <w:spacing w:after="20"/>
              <w:jc w:val="right"/>
            </w:pPr>
            <w:r>
              <w:rPr>
                <w:color w:val="1C3A36"/>
                <w:sz w:val="16"/>
              </w:rPr>
              <w:t>422,528</w:t>
            </w:r>
          </w:p>
        </w:tc>
        <w:tc>
          <w:tcPr>
            <w:tcW w:type="dxa" w:w="1426"/>
          </w:tcPr>
          <w:p>
            <w:pPr>
              <w:spacing w:after="20"/>
              <w:jc w:val="right"/>
            </w:pPr>
            <w:r>
              <w:rPr>
                <w:color w:val="1C3A36"/>
                <w:sz w:val="16"/>
              </w:rPr>
              <w:t>466,619</w:t>
            </w:r>
          </w:p>
        </w:tc>
        <w:tc>
          <w:tcPr>
            <w:tcW w:type="dxa" w:w="1426"/>
          </w:tcPr>
          <w:p>
            <w:pPr>
              <w:spacing w:after="20"/>
              <w:jc w:val="right"/>
            </w:pPr>
            <w:r>
              <w:rPr>
                <w:color w:val="1C3A36"/>
                <w:sz w:val="16"/>
              </w:rPr>
              <w:t>510,440</w:t>
            </w:r>
          </w:p>
        </w:tc>
        <w:tc>
          <w:tcPr>
            <w:tcW w:type="dxa" w:w="1426"/>
          </w:tcPr>
          <w:p>
            <w:pPr>
              <w:spacing w:after="20"/>
              <w:jc w:val="right"/>
            </w:pPr>
            <w:r>
              <w:rPr>
                <w:color w:val="1C3A36"/>
                <w:sz w:val="16"/>
              </w:rPr>
              <w:t>555,225</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44,699</w:t>
            </w:r>
          </w:p>
        </w:tc>
        <w:tc>
          <w:tcPr>
            <w:tcW w:type="dxa" w:w="1426"/>
          </w:tcPr>
          <w:p>
            <w:pPr>
              <w:spacing w:after="20"/>
              <w:jc w:val="right"/>
            </w:pPr>
            <w:r>
              <w:rPr>
                <w:color w:val="1C3A36"/>
                <w:sz w:val="16"/>
              </w:rPr>
              <w:t>51,137</w:t>
            </w:r>
          </w:p>
        </w:tc>
        <w:tc>
          <w:tcPr>
            <w:tcW w:type="dxa" w:w="1426"/>
          </w:tcPr>
          <w:p>
            <w:pPr>
              <w:spacing w:after="20"/>
              <w:jc w:val="right"/>
            </w:pPr>
            <w:r>
              <w:rPr>
                <w:color w:val="1C3A36"/>
                <w:sz w:val="16"/>
              </w:rPr>
              <w:t>56,606</w:t>
            </w:r>
          </w:p>
        </w:tc>
        <w:tc>
          <w:tcPr>
            <w:tcW w:type="dxa" w:w="1426"/>
          </w:tcPr>
          <w:p>
            <w:pPr>
              <w:spacing w:after="20"/>
              <w:jc w:val="right"/>
            </w:pPr>
            <w:r>
              <w:rPr>
                <w:color w:val="1C3A36"/>
                <w:sz w:val="16"/>
              </w:rPr>
              <w:t>62,040</w:t>
            </w:r>
          </w:p>
        </w:tc>
        <w:tc>
          <w:tcPr>
            <w:tcW w:type="dxa" w:w="1426"/>
          </w:tcPr>
          <w:p>
            <w:pPr>
              <w:spacing w:after="20"/>
              <w:jc w:val="right"/>
            </w:pPr>
            <w:r>
              <w:rPr>
                <w:color w:val="1C3A36"/>
                <w:sz w:val="16"/>
              </w:rPr>
              <w:t>67,601</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12.2%</w:t>
            </w:r>
          </w:p>
        </w:tc>
        <w:tc>
          <w:tcPr>
            <w:tcW w:type="dxa" w:w="1426"/>
          </w:tcPr>
          <w:p>
            <w:pPr>
              <w:spacing w:after="20"/>
              <w:jc w:val="right"/>
            </w:pPr>
            <w:r>
              <w:rPr>
                <w:color w:val="1C3A36"/>
                <w:sz w:val="16"/>
              </w:rPr>
              <w:t>12.2%</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(11,360)</w:t>
            </w:r>
          </w:p>
        </w:tc>
        <w:tc>
          <w:tcPr>
            <w:tcW w:type="dxa" w:w="1426"/>
          </w:tcPr>
          <w:p>
            <w:pPr>
              <w:spacing w:after="20"/>
              <w:jc w:val="right"/>
            </w:pPr>
            <w:r>
              <w:rPr>
                <w:color w:val="1C3A36"/>
                <w:sz w:val="16"/>
              </w:rPr>
              <w:t>(12,972)</w:t>
            </w:r>
          </w:p>
        </w:tc>
        <w:tc>
          <w:tcPr>
            <w:tcW w:type="dxa" w:w="1426"/>
          </w:tcPr>
          <w:p>
            <w:pPr>
              <w:spacing w:after="20"/>
              <w:jc w:val="right"/>
            </w:pPr>
            <w:r>
              <w:rPr>
                <w:color w:val="1C3A36"/>
                <w:sz w:val="16"/>
              </w:rPr>
              <w:t>(14,325)</w:t>
            </w:r>
          </w:p>
        </w:tc>
        <w:tc>
          <w:tcPr>
            <w:tcW w:type="dxa" w:w="1426"/>
          </w:tcPr>
          <w:p>
            <w:pPr>
              <w:spacing w:after="20"/>
              <w:jc w:val="right"/>
            </w:pPr>
            <w:r>
              <w:rPr>
                <w:color w:val="1C3A36"/>
                <w:sz w:val="16"/>
              </w:rPr>
              <w:t>(15,671)</w:t>
            </w:r>
          </w:p>
        </w:tc>
        <w:tc>
          <w:tcPr>
            <w:tcW w:type="dxa" w:w="1426"/>
          </w:tcPr>
          <w:p>
            <w:pPr>
              <w:spacing w:after="20"/>
              <w:jc w:val="right"/>
            </w:pPr>
            <w:r>
              <w:rPr>
                <w:color w:val="1C3A36"/>
                <w:sz w:val="16"/>
              </w:rPr>
              <w:t>(17,045)</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33,339</w:t>
            </w:r>
          </w:p>
        </w:tc>
        <w:tc>
          <w:tcPr>
            <w:tcW w:type="dxa" w:w="1426"/>
            <w:shd w:val="clear" w:color="auto" w:fill="F6F1E6"/>
          </w:tcPr>
          <w:p>
            <w:pPr>
              <w:spacing w:after="20"/>
              <w:jc w:val="right"/>
            </w:pPr>
            <w:r>
              <w:rPr>
                <w:b/>
                <w:color w:val="1C3A36"/>
                <w:sz w:val="16"/>
              </w:rPr>
              <w:t>38,165</w:t>
            </w:r>
          </w:p>
        </w:tc>
        <w:tc>
          <w:tcPr>
            <w:tcW w:type="dxa" w:w="1426"/>
            <w:shd w:val="clear" w:color="auto" w:fill="F6F1E6"/>
          </w:tcPr>
          <w:p>
            <w:pPr>
              <w:spacing w:after="20"/>
              <w:jc w:val="right"/>
            </w:pPr>
            <w:r>
              <w:rPr>
                <w:b/>
                <w:color w:val="1C3A36"/>
                <w:sz w:val="16"/>
              </w:rPr>
              <w:t>42,280</w:t>
            </w:r>
          </w:p>
        </w:tc>
        <w:tc>
          <w:tcPr>
            <w:tcW w:type="dxa" w:w="1426"/>
            <w:shd w:val="clear" w:color="auto" w:fill="F6F1E6"/>
          </w:tcPr>
          <w:p>
            <w:pPr>
              <w:spacing w:after="20"/>
              <w:jc w:val="right"/>
            </w:pPr>
            <w:r>
              <w:rPr>
                <w:b/>
                <w:color w:val="1C3A36"/>
                <w:sz w:val="16"/>
              </w:rPr>
              <w:t>46,370</w:t>
            </w:r>
          </w:p>
        </w:tc>
        <w:tc>
          <w:tcPr>
            <w:tcW w:type="dxa" w:w="1426"/>
            <w:shd w:val="clear" w:color="auto" w:fill="F6F1E6"/>
          </w:tcPr>
          <w:p>
            <w:pPr>
              <w:spacing w:after="20"/>
              <w:jc w:val="right"/>
            </w:pPr>
            <w:r>
              <w:rPr>
                <w:b/>
                <w:color w:val="1C3A36"/>
                <w:sz w:val="16"/>
              </w:rPr>
              <w:t>50,556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4,625</w:t>
            </w:r>
          </w:p>
        </w:tc>
        <w:tc>
          <w:tcPr>
            <w:tcW w:type="dxa" w:w="1426"/>
          </w:tcPr>
          <w:p>
            <w:pPr>
              <w:spacing w:after="20"/>
              <w:jc w:val="right"/>
            </w:pPr>
            <w:r>
              <w:rPr>
                <w:color w:val="1C3A36"/>
                <w:sz w:val="16"/>
              </w:rPr>
              <w:t>5,282</w:t>
            </w:r>
          </w:p>
        </w:tc>
        <w:tc>
          <w:tcPr>
            <w:tcW w:type="dxa" w:w="1426"/>
          </w:tcPr>
          <w:p>
            <w:pPr>
              <w:spacing w:after="20"/>
              <w:jc w:val="right"/>
            </w:pPr>
            <w:r>
              <w:rPr>
                <w:color w:val="1C3A36"/>
                <w:sz w:val="16"/>
              </w:rPr>
              <w:t>5,833</w:t>
            </w:r>
          </w:p>
        </w:tc>
        <w:tc>
          <w:tcPr>
            <w:tcW w:type="dxa" w:w="1426"/>
          </w:tcPr>
          <w:p>
            <w:pPr>
              <w:spacing w:after="20"/>
              <w:jc w:val="right"/>
            </w:pPr>
            <w:r>
              <w:rPr>
                <w:color w:val="1C3A36"/>
                <w:sz w:val="16"/>
              </w:rPr>
              <w:t>6,381</w:t>
            </w:r>
          </w:p>
        </w:tc>
        <w:tc>
          <w:tcPr>
            <w:tcW w:type="dxa" w:w="1426"/>
          </w:tcPr>
          <w:p>
            <w:pPr>
              <w:spacing w:after="20"/>
              <w:jc w:val="right"/>
            </w:pPr>
            <w:r>
              <w:rPr>
                <w:color w:val="1C3A36"/>
                <w:sz w:val="16"/>
              </w:rPr>
              <w:t>6,940</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37,965</w:t>
            </w:r>
          </w:p>
        </w:tc>
        <w:tc>
          <w:tcPr>
            <w:tcW w:type="dxa" w:w="1426"/>
            <w:shd w:val="clear" w:color="auto" w:fill="F6F1E6"/>
          </w:tcPr>
          <w:p>
            <w:pPr>
              <w:spacing w:after="20"/>
              <w:jc w:val="right"/>
            </w:pPr>
            <w:r>
              <w:rPr>
                <w:b/>
                <w:color w:val="1C3A36"/>
                <w:sz w:val="16"/>
              </w:rPr>
              <w:t>43,447</w:t>
            </w:r>
          </w:p>
        </w:tc>
        <w:tc>
          <w:tcPr>
            <w:tcW w:type="dxa" w:w="1426"/>
            <w:shd w:val="clear" w:color="auto" w:fill="F6F1E6"/>
          </w:tcPr>
          <w:p>
            <w:pPr>
              <w:spacing w:after="20"/>
              <w:jc w:val="right"/>
            </w:pPr>
            <w:r>
              <w:rPr>
                <w:b/>
                <w:color w:val="1C3A36"/>
                <w:sz w:val="16"/>
              </w:rPr>
              <w:t>48,113</w:t>
            </w:r>
          </w:p>
        </w:tc>
        <w:tc>
          <w:tcPr>
            <w:tcW w:type="dxa" w:w="1426"/>
            <w:shd w:val="clear" w:color="auto" w:fill="F6F1E6"/>
          </w:tcPr>
          <w:p>
            <w:pPr>
              <w:spacing w:after="20"/>
              <w:jc w:val="right"/>
            </w:pPr>
            <w:r>
              <w:rPr>
                <w:b/>
                <w:color w:val="1C3A36"/>
                <w:sz w:val="16"/>
              </w:rPr>
              <w:t>52,750</w:t>
            </w:r>
          </w:p>
        </w:tc>
        <w:tc>
          <w:tcPr>
            <w:tcW w:type="dxa" w:w="1426"/>
            <w:shd w:val="clear" w:color="auto" w:fill="F6F1E6"/>
          </w:tcPr>
          <w:p>
            <w:pPr>
              <w:spacing w:after="20"/>
              <w:jc w:val="right"/>
            </w:pPr>
            <w:r>
              <w:rPr>
                <w:b/>
                <w:color w:val="1C3A36"/>
                <w:sz w:val="16"/>
              </w:rPr>
              <w:t>57,496</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10.4%</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370,030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329,470</w:t>
            </w:r>
          </w:p>
        </w:tc>
        <w:tc>
          <w:tcPr>
            <w:tcW w:type="dxa" w:w="1181"/>
          </w:tcPr>
          <w:p>
            <w:pPr>
              <w:spacing w:after="20"/>
              <w:jc w:val="right"/>
            </w:pPr>
            <w:r>
              <w:rPr>
                <w:color w:val="1C3A36"/>
                <w:sz w:val="16"/>
              </w:rPr>
              <w:t>59.3%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159,883</w:t>
            </w:r>
          </w:p>
        </w:tc>
        <w:tc>
          <w:tcPr>
            <w:tcW w:type="dxa" w:w="1181"/>
          </w:tcPr>
          <w:p>
            <w:pPr>
              <w:spacing w:after="20"/>
              <w:jc w:val="right"/>
            </w:pPr>
            <w:r>
              <w:rPr>
                <w:color w:val="1C3A36"/>
                <w:sz w:val="16"/>
              </w:rPr>
              <w:t>28.8%</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65,871</w:t>
            </w:r>
          </w:p>
        </w:tc>
        <w:tc>
          <w:tcPr>
            <w:tcW w:type="dxa" w:w="1181"/>
          </w:tcPr>
          <w:p>
            <w:pPr>
              <w:spacing w:after="20"/>
              <w:jc w:val="right"/>
            </w:pPr>
            <w:r>
              <w:rPr>
                <w:color w:val="1C3A36"/>
                <w:sz w:val="16"/>
              </w:rPr>
              <w:t>11.9%</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555,225</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59.3%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17,783mn working-capital build cuts free cash flow to the firm to just EGP -4,268mn, against EGP 6,748mn the following year once the step-up is absorbed. A rising copper price is not good news for this business in the year it happens.</w:t>
      </w:r>
    </w:p>
    <w:p>
      <w:pPr>
        <w:spacing w:after="120" w:before="0"/>
      </w:pPr>
      <w:r>
        <w:rPr>
          <w:b w:val="0"/>
          <w:i w:val="0"/>
          <w:color w:val="1C3A36"/>
          <w:sz w:val="21"/>
        </w:rPr>
        <w:t>The model holds this ratio near 19.9% of revenue, the FY2025 disclosed level. That single assumption is worth a great deal: every percentage point of revenue added to or removed from working-capital intensity is worth roughly EGP 2.32-2.49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31.8%)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1.009</w:t>
            </w:r>
          </w:p>
        </w:tc>
        <w:tc>
          <w:tcPr>
            <w:tcW w:type="dxa" w:w="1152"/>
          </w:tcPr>
          <w:p>
            <w:pPr>
              <w:spacing w:after="20"/>
              <w:jc w:val="right"/>
            </w:pPr>
            <w:r>
              <w:rPr>
                <w:color w:val="1C3A36"/>
                <w:sz w:val="16"/>
              </w:rPr>
              <w:t>1.009</w:t>
            </w:r>
          </w:p>
        </w:tc>
        <w:tc>
          <w:tcPr>
            <w:tcW w:type="dxa" w:w="5299"/>
          </w:tcPr>
          <w:p>
            <w:pPr>
              <w:spacing w:after="20"/>
              <w:jc w:val="right"/>
            </w:pPr>
            <w:r>
              <w:rPr>
                <w:color w:val="1C3A36"/>
                <w:sz w:val="16"/>
              </w:rPr>
              <w:t>own-stock weekly regression against a 31-name equal-weight local composite over five years: R-squared 0.291, n = 258, standard error 0.098, 90% interval [0.85, 1.17]</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28.4%</w:t>
            </w:r>
          </w:p>
        </w:tc>
        <w:tc>
          <w:tcPr>
            <w:tcW w:type="dxa" w:w="1152"/>
          </w:tcPr>
          <w:p>
            <w:pPr>
              <w:spacing w:after="20"/>
              <w:jc w:val="right"/>
            </w:pPr>
            <w:r>
              <w:rPr>
                <w:color w:val="1C3A36"/>
                <w:sz w:val="16"/>
              </w:rPr>
              <w:t>17.6%</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26.9%</w:t>
            </w:r>
          </w:p>
        </w:tc>
        <w:tc>
          <w:tcPr>
            <w:tcW w:type="dxa" w:w="1152"/>
          </w:tcPr>
          <w:p>
            <w:pPr>
              <w:spacing w:after="20"/>
              <w:jc w:val="right"/>
            </w:pPr>
            <w:r>
              <w:rPr>
                <w:color w:val="1C3A36"/>
                <w:sz w:val="16"/>
              </w:rPr>
              <w:t>15.9%</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30.0%</w:t>
            </w:r>
          </w:p>
        </w:tc>
        <w:tc>
          <w:tcPr>
            <w:tcW w:type="dxa" w:w="1843"/>
          </w:tcPr>
          <w:p>
            <w:pPr>
              <w:spacing w:after="20"/>
              <w:jc w:val="right"/>
            </w:pPr>
            <w:r>
              <w:rPr>
                <w:color w:val="1C3A36"/>
                <w:sz w:val="16"/>
              </w:rPr>
              <w:t>EGP 32.63 (against 52.70)</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20.06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59.17 (6.47)</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24.5%)</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(13.9%): the hard-currency legs loaded with the pound's own 5.4%/year forecast depreciation, under uncovered interest parity</w:t>
            </w:r>
          </w:p>
        </w:tc>
        <w:tc>
          <w:tcPr>
            <w:tcW w:type="dxa" w:w="1843"/>
          </w:tcPr>
          <w:p>
            <w:pPr>
              <w:spacing w:after="20"/>
              <w:jc w:val="right"/>
            </w:pPr>
            <w:r>
              <w:rPr>
                <w:color w:val="1C3A36"/>
                <w:sz w:val="16"/>
              </w:rPr>
              <w:t>EGP 52.45 (-0.25)</w:t>
            </w:r>
          </w:p>
        </w:tc>
        <w:tc>
          <w:tcPr>
            <w:tcW w:type="dxa" w:w="3096"/>
          </w:tcPr>
          <w:p>
            <w:pPr>
              <w:spacing w:after="20"/>
              <w:jc w:val="right"/>
            </w:pPr>
            <w:r>
              <w:rPr>
                <w:color w:val="1C3A36"/>
                <w:sz w:val="16"/>
              </w:rPr>
              <w:t>Net debt carries only 6.9% of the capital structure, so even this 444-basis-point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32.63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23.9%</w:t>
            </w:r>
          </w:p>
        </w:tc>
        <w:tc>
          <w:tcPr>
            <w:tcW w:type="dxa" w:w="1541"/>
            <w:shd w:val="clear" w:color="auto" w:fill="EAF0EE"/>
          </w:tcPr>
          <w:p>
            <w:pPr>
              <w:spacing w:after="20"/>
            </w:pPr>
            <w:r>
              <w:rPr>
                <w:b/>
                <w:color w:val="1C3A36"/>
                <w:sz w:val="16"/>
              </w:rPr>
              <w:t>25.4%</w:t>
            </w:r>
          </w:p>
        </w:tc>
        <w:tc>
          <w:tcPr>
            <w:tcW w:type="dxa" w:w="1541"/>
            <w:shd w:val="clear" w:color="auto" w:fill="EAF0EE"/>
          </w:tcPr>
          <w:p>
            <w:pPr>
              <w:spacing w:after="20"/>
            </w:pPr>
            <w:r>
              <w:rPr>
                <w:b/>
                <w:color w:val="1C3A36"/>
                <w:sz w:val="16"/>
              </w:rPr>
              <w:t>26.9%</w:t>
            </w:r>
          </w:p>
        </w:tc>
        <w:tc>
          <w:tcPr>
            <w:tcW w:type="dxa" w:w="1541"/>
            <w:shd w:val="clear" w:color="auto" w:fill="EAF0EE"/>
          </w:tcPr>
          <w:p>
            <w:pPr>
              <w:spacing w:after="20"/>
            </w:pPr>
            <w:r>
              <w:rPr>
                <w:b/>
                <w:color w:val="1C3A36"/>
                <w:sz w:val="16"/>
              </w:rPr>
              <w:t>28.4%</w:t>
            </w:r>
          </w:p>
        </w:tc>
        <w:tc>
          <w:tcPr>
            <w:tcW w:type="dxa" w:w="1541"/>
            <w:shd w:val="clear" w:color="auto" w:fill="EAF0EE"/>
          </w:tcPr>
          <w:p>
            <w:pPr>
              <w:spacing w:after="20"/>
            </w:pPr>
            <w:r>
              <w:rPr>
                <w:b/>
                <w:color w:val="1C3A36"/>
                <w:sz w:val="16"/>
              </w:rPr>
              <w:t>29.9%</w:t>
            </w:r>
          </w:p>
        </w:tc>
      </w:tr>
      <w:tr>
        <w:tc>
          <w:tcPr>
            <w:tcW w:type="dxa" w:w="2333"/>
          </w:tcPr>
          <w:p>
            <w:pPr>
              <w:spacing w:after="20"/>
            </w:pPr>
            <w:r>
              <w:rPr>
                <w:color w:val="1C3A36"/>
                <w:sz w:val="16"/>
              </w:rPr>
              <w:t>terminal 13.9%</w:t>
            </w:r>
          </w:p>
        </w:tc>
        <w:tc>
          <w:tcPr>
            <w:tcW w:type="dxa" w:w="1541"/>
          </w:tcPr>
          <w:p>
            <w:pPr>
              <w:spacing w:after="20"/>
              <w:jc w:val="right"/>
            </w:pPr>
            <w:r>
              <w:rPr>
                <w:color w:val="1C3A36"/>
                <w:sz w:val="16"/>
              </w:rPr>
              <w:t>85.85</w:t>
            </w:r>
          </w:p>
        </w:tc>
        <w:tc>
          <w:tcPr>
            <w:tcW w:type="dxa" w:w="1541"/>
          </w:tcPr>
          <w:p>
            <w:pPr>
              <w:spacing w:after="20"/>
              <w:jc w:val="right"/>
            </w:pPr>
            <w:r>
              <w:rPr>
                <w:color w:val="1C3A36"/>
                <w:sz w:val="16"/>
              </w:rPr>
              <w:t>83.29</w:t>
            </w:r>
          </w:p>
        </w:tc>
        <w:tc>
          <w:tcPr>
            <w:tcW w:type="dxa" w:w="1541"/>
          </w:tcPr>
          <w:p>
            <w:pPr>
              <w:spacing w:after="20"/>
              <w:jc w:val="right"/>
            </w:pPr>
            <w:r>
              <w:rPr>
                <w:color w:val="1C3A36"/>
                <w:sz w:val="16"/>
              </w:rPr>
              <w:t>80.82</w:t>
            </w:r>
          </w:p>
        </w:tc>
        <w:tc>
          <w:tcPr>
            <w:tcW w:type="dxa" w:w="1541"/>
          </w:tcPr>
          <w:p>
            <w:pPr>
              <w:spacing w:after="20"/>
              <w:jc w:val="right"/>
            </w:pPr>
            <w:r>
              <w:rPr>
                <w:color w:val="1C3A36"/>
                <w:sz w:val="16"/>
              </w:rPr>
              <w:t>78.44</w:t>
            </w:r>
          </w:p>
        </w:tc>
        <w:tc>
          <w:tcPr>
            <w:tcW w:type="dxa" w:w="1541"/>
          </w:tcPr>
          <w:p>
            <w:pPr>
              <w:spacing w:after="20"/>
              <w:jc w:val="right"/>
            </w:pPr>
            <w:r>
              <w:rPr>
                <w:color w:val="1C3A36"/>
                <w:sz w:val="16"/>
              </w:rPr>
              <w:t>76.14</w:t>
            </w:r>
          </w:p>
        </w:tc>
      </w:tr>
      <w:tr>
        <w:tc>
          <w:tcPr>
            <w:tcW w:type="dxa" w:w="2333"/>
          </w:tcPr>
          <w:p>
            <w:pPr>
              <w:spacing w:after="20"/>
            </w:pPr>
            <w:r>
              <w:rPr>
                <w:color w:val="1C3A36"/>
                <w:sz w:val="16"/>
              </w:rPr>
              <w:t>terminal 14.9%</w:t>
            </w:r>
          </w:p>
        </w:tc>
        <w:tc>
          <w:tcPr>
            <w:tcW w:type="dxa" w:w="1541"/>
          </w:tcPr>
          <w:p>
            <w:pPr>
              <w:spacing w:after="20"/>
              <w:jc w:val="right"/>
            </w:pPr>
            <w:r>
              <w:rPr>
                <w:color w:val="1C3A36"/>
                <w:sz w:val="16"/>
              </w:rPr>
              <w:t>73.54</w:t>
            </w:r>
          </w:p>
        </w:tc>
        <w:tc>
          <w:tcPr>
            <w:tcW w:type="dxa" w:w="1541"/>
          </w:tcPr>
          <w:p>
            <w:pPr>
              <w:spacing w:after="20"/>
              <w:jc w:val="right"/>
            </w:pPr>
            <w:r>
              <w:rPr>
                <w:color w:val="1C3A36"/>
                <w:sz w:val="16"/>
              </w:rPr>
              <w:t>71.32</w:t>
            </w:r>
          </w:p>
        </w:tc>
        <w:tc>
          <w:tcPr>
            <w:tcW w:type="dxa" w:w="1541"/>
          </w:tcPr>
          <w:p>
            <w:pPr>
              <w:spacing w:after="20"/>
              <w:jc w:val="right"/>
            </w:pPr>
            <w:r>
              <w:rPr>
                <w:color w:val="1C3A36"/>
                <w:sz w:val="16"/>
              </w:rPr>
              <w:t>69.18</w:t>
            </w:r>
          </w:p>
        </w:tc>
        <w:tc>
          <w:tcPr>
            <w:tcW w:type="dxa" w:w="1541"/>
          </w:tcPr>
          <w:p>
            <w:pPr>
              <w:spacing w:after="20"/>
              <w:jc w:val="right"/>
            </w:pPr>
            <w:r>
              <w:rPr>
                <w:color w:val="1C3A36"/>
                <w:sz w:val="16"/>
              </w:rPr>
              <w:t>67.11</w:t>
            </w:r>
          </w:p>
        </w:tc>
        <w:tc>
          <w:tcPr>
            <w:tcW w:type="dxa" w:w="1541"/>
          </w:tcPr>
          <w:p>
            <w:pPr>
              <w:spacing w:after="20"/>
              <w:jc w:val="right"/>
            </w:pPr>
            <w:r>
              <w:rPr>
                <w:color w:val="1C3A36"/>
                <w:sz w:val="16"/>
              </w:rPr>
              <w:t>65.11</w:t>
            </w:r>
          </w:p>
        </w:tc>
      </w:tr>
      <w:tr>
        <w:tc>
          <w:tcPr>
            <w:tcW w:type="dxa" w:w="2333"/>
          </w:tcPr>
          <w:p>
            <w:pPr>
              <w:spacing w:after="20"/>
            </w:pPr>
            <w:r>
              <w:rPr>
                <w:color w:val="1C3A36"/>
                <w:sz w:val="16"/>
              </w:rPr>
              <w:t>terminal 15.9%</w:t>
            </w:r>
          </w:p>
        </w:tc>
        <w:tc>
          <w:tcPr>
            <w:tcW w:type="dxa" w:w="1541"/>
          </w:tcPr>
          <w:p>
            <w:pPr>
              <w:spacing w:after="20"/>
              <w:jc w:val="right"/>
            </w:pPr>
            <w:r>
              <w:rPr>
                <w:color w:val="1C3A36"/>
                <w:sz w:val="16"/>
              </w:rPr>
              <w:t>64.00</w:t>
            </w:r>
          </w:p>
        </w:tc>
        <w:tc>
          <w:tcPr>
            <w:tcW w:type="dxa" w:w="1541"/>
          </w:tcPr>
          <w:p>
            <w:pPr>
              <w:spacing w:after="20"/>
              <w:jc w:val="right"/>
            </w:pPr>
            <w:r>
              <w:rPr>
                <w:color w:val="1C3A36"/>
                <w:sz w:val="16"/>
              </w:rPr>
              <w:t>62.04</w:t>
            </w:r>
          </w:p>
        </w:tc>
        <w:tc>
          <w:tcPr>
            <w:tcW w:type="dxa" w:w="1541"/>
          </w:tcPr>
          <w:p>
            <w:pPr>
              <w:spacing w:after="20"/>
              <w:jc w:val="right"/>
            </w:pPr>
            <w:r>
              <w:rPr>
                <w:color w:val="1C3A36"/>
                <w:sz w:val="16"/>
              </w:rPr>
              <w:t>60.15</w:t>
            </w:r>
          </w:p>
        </w:tc>
        <w:tc>
          <w:tcPr>
            <w:tcW w:type="dxa" w:w="1541"/>
          </w:tcPr>
          <w:p>
            <w:pPr>
              <w:spacing w:after="20"/>
              <w:jc w:val="right"/>
            </w:pPr>
            <w:r>
              <w:rPr>
                <w:color w:val="1C3A36"/>
                <w:sz w:val="16"/>
              </w:rPr>
              <w:t>58.32</w:t>
            </w:r>
          </w:p>
        </w:tc>
        <w:tc>
          <w:tcPr>
            <w:tcW w:type="dxa" w:w="1541"/>
          </w:tcPr>
          <w:p>
            <w:pPr>
              <w:spacing w:after="20"/>
              <w:jc w:val="right"/>
            </w:pPr>
            <w:r>
              <w:rPr>
                <w:color w:val="1C3A36"/>
                <w:sz w:val="16"/>
              </w:rPr>
              <w:t>56.56</w:t>
            </w:r>
          </w:p>
        </w:tc>
      </w:tr>
      <w:tr>
        <w:tc>
          <w:tcPr>
            <w:tcW w:type="dxa" w:w="2333"/>
          </w:tcPr>
          <w:p>
            <w:pPr>
              <w:spacing w:after="20"/>
            </w:pPr>
            <w:r>
              <w:rPr>
                <w:color w:val="1C3A36"/>
                <w:sz w:val="16"/>
              </w:rPr>
              <w:t>terminal 16.9%</w:t>
            </w:r>
          </w:p>
        </w:tc>
        <w:tc>
          <w:tcPr>
            <w:tcW w:type="dxa" w:w="1541"/>
          </w:tcPr>
          <w:p>
            <w:pPr>
              <w:spacing w:after="20"/>
              <w:jc w:val="right"/>
            </w:pPr>
            <w:r>
              <w:rPr>
                <w:color w:val="1C3A36"/>
                <w:sz w:val="16"/>
              </w:rPr>
              <w:t>56.38</w:t>
            </w:r>
          </w:p>
        </w:tc>
        <w:tc>
          <w:tcPr>
            <w:tcW w:type="dxa" w:w="1541"/>
          </w:tcPr>
          <w:p>
            <w:pPr>
              <w:spacing w:after="20"/>
              <w:jc w:val="right"/>
            </w:pPr>
            <w:r>
              <w:rPr>
                <w:color w:val="1C3A36"/>
                <w:sz w:val="16"/>
              </w:rPr>
              <w:t>54.63</w:t>
            </w:r>
          </w:p>
        </w:tc>
        <w:tc>
          <w:tcPr>
            <w:tcW w:type="dxa" w:w="1541"/>
          </w:tcPr>
          <w:p>
            <w:pPr>
              <w:spacing w:after="20"/>
              <w:jc w:val="right"/>
            </w:pPr>
            <w:r>
              <w:rPr>
                <w:color w:val="1C3A36"/>
                <w:sz w:val="16"/>
              </w:rPr>
              <w:t>52.94</w:t>
            </w:r>
          </w:p>
        </w:tc>
        <w:tc>
          <w:tcPr>
            <w:tcW w:type="dxa" w:w="1541"/>
          </w:tcPr>
          <w:p>
            <w:pPr>
              <w:spacing w:after="20"/>
              <w:jc w:val="right"/>
            </w:pPr>
            <w:r>
              <w:rPr>
                <w:color w:val="1C3A36"/>
                <w:sz w:val="16"/>
              </w:rPr>
              <w:t>51.31</w:t>
            </w:r>
          </w:p>
        </w:tc>
        <w:tc>
          <w:tcPr>
            <w:tcW w:type="dxa" w:w="1541"/>
          </w:tcPr>
          <w:p>
            <w:pPr>
              <w:spacing w:after="20"/>
              <w:jc w:val="right"/>
            </w:pPr>
            <w:r>
              <w:rPr>
                <w:color w:val="1C3A36"/>
                <w:sz w:val="16"/>
              </w:rPr>
              <w:t>49.74</w:t>
            </w:r>
          </w:p>
        </w:tc>
      </w:tr>
      <w:tr>
        <w:tc>
          <w:tcPr>
            <w:tcW w:type="dxa" w:w="2333"/>
          </w:tcPr>
          <w:p>
            <w:pPr>
              <w:spacing w:after="20"/>
            </w:pPr>
            <w:r>
              <w:rPr>
                <w:color w:val="1C3A36"/>
                <w:sz w:val="16"/>
              </w:rPr>
              <w:t>terminal 17.9%</w:t>
            </w:r>
          </w:p>
        </w:tc>
        <w:tc>
          <w:tcPr>
            <w:tcW w:type="dxa" w:w="1541"/>
          </w:tcPr>
          <w:p>
            <w:pPr>
              <w:spacing w:after="20"/>
              <w:jc w:val="right"/>
            </w:pPr>
            <w:r>
              <w:rPr>
                <w:color w:val="1C3A36"/>
                <w:sz w:val="16"/>
              </w:rPr>
              <w:t>50.17</w:t>
            </w:r>
          </w:p>
        </w:tc>
        <w:tc>
          <w:tcPr>
            <w:tcW w:type="dxa" w:w="1541"/>
          </w:tcPr>
          <w:p>
            <w:pPr>
              <w:spacing w:after="20"/>
              <w:jc w:val="right"/>
            </w:pPr>
            <w:r>
              <w:rPr>
                <w:color w:val="1C3A36"/>
                <w:sz w:val="16"/>
              </w:rPr>
              <w:t>48.59</w:t>
            </w:r>
          </w:p>
        </w:tc>
        <w:tc>
          <w:tcPr>
            <w:tcW w:type="dxa" w:w="1541"/>
          </w:tcPr>
          <w:p>
            <w:pPr>
              <w:spacing w:after="20"/>
              <w:jc w:val="right"/>
            </w:pPr>
            <w:r>
              <w:rPr>
                <w:color w:val="1C3A36"/>
                <w:sz w:val="16"/>
              </w:rPr>
              <w:t>47.06</w:t>
            </w:r>
          </w:p>
        </w:tc>
        <w:tc>
          <w:tcPr>
            <w:tcW w:type="dxa" w:w="1541"/>
          </w:tcPr>
          <w:p>
            <w:pPr>
              <w:spacing w:after="20"/>
              <w:jc w:val="right"/>
            </w:pPr>
            <w:r>
              <w:rPr>
                <w:color w:val="1C3A36"/>
                <w:sz w:val="16"/>
              </w:rPr>
              <w:t>45.59</w:t>
            </w:r>
          </w:p>
        </w:tc>
        <w:tc>
          <w:tcPr>
            <w:tcW w:type="dxa" w:w="1541"/>
          </w:tcPr>
          <w:p>
            <w:pPr>
              <w:spacing w:after="20"/>
              <w:jc w:val="right"/>
            </w:pPr>
            <w:r>
              <w:rPr>
                <w:color w:val="1C3A36"/>
                <w:sz w:val="16"/>
              </w:rPr>
              <w:t>44.17</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45.99 – 93.45</w:t>
            </w:r>
          </w:p>
        </w:tc>
        <w:tc>
          <w:tcPr>
            <w:tcW w:type="dxa" w:w="1944"/>
          </w:tcPr>
          <w:p>
            <w:pPr>
              <w:spacing w:after="20"/>
              <w:jc w:val="right"/>
            </w:pPr>
            <w:r>
              <w:rPr>
                <w:color w:val="1C3A36"/>
                <w:sz w:val="17"/>
              </w:rPr>
              <w:t>47.46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50.79 – 66.02</w:t>
            </w:r>
          </w:p>
        </w:tc>
        <w:tc>
          <w:tcPr>
            <w:tcW w:type="dxa" w:w="1944"/>
          </w:tcPr>
          <w:p>
            <w:pPr>
              <w:spacing w:after="20"/>
              <w:jc w:val="right"/>
            </w:pPr>
            <w:r>
              <w:rPr>
                <w:color w:val="1C3A36"/>
                <w:sz w:val="17"/>
              </w:rPr>
              <w:t>15.23</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29.48 – 75.91</w:t>
            </w:r>
          </w:p>
        </w:tc>
        <w:tc>
          <w:tcPr>
            <w:tcW w:type="dxa" w:w="1944"/>
          </w:tcPr>
          <w:p>
            <w:pPr>
              <w:spacing w:after="20"/>
              <w:jc w:val="right"/>
            </w:pPr>
            <w:r>
              <w:rPr>
                <w:color w:val="1C3A36"/>
                <w:sz w:val="17"/>
              </w:rPr>
              <w:t>46.43</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49.84 – 55.55</w:t>
            </w:r>
          </w:p>
        </w:tc>
        <w:tc>
          <w:tcPr>
            <w:tcW w:type="dxa" w:w="1944"/>
          </w:tcPr>
          <w:p>
            <w:pPr>
              <w:spacing w:after="20"/>
              <w:jc w:val="right"/>
            </w:pPr>
            <w:r>
              <w:rPr>
                <w:color w:val="1C3A36"/>
                <w:sz w:val="17"/>
              </w:rPr>
              <w:t>5.71</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44.99 – 59.91</w:t>
            </w:r>
          </w:p>
        </w:tc>
        <w:tc>
          <w:tcPr>
            <w:tcW w:type="dxa" w:w="1944"/>
          </w:tcPr>
          <w:p>
            <w:pPr>
              <w:spacing w:after="20"/>
              <w:jc w:val="right"/>
            </w:pPr>
            <w:r>
              <w:rPr>
                <w:color w:val="1C3A36"/>
                <w:sz w:val="17"/>
              </w:rPr>
              <w:t>14.91</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49.62 – 70.36</w:t>
            </w:r>
          </w:p>
        </w:tc>
        <w:tc>
          <w:tcPr>
            <w:tcW w:type="dxa" w:w="1944"/>
          </w:tcPr>
          <w:p>
            <w:pPr>
              <w:spacing w:after="20"/>
              <w:jc w:val="right"/>
            </w:pPr>
            <w:r>
              <w:rPr>
                <w:color w:val="1C3A36"/>
                <w:sz w:val="17"/>
              </w:rPr>
              <w:t>20.74</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52.50 – 60.15</w:t>
            </w:r>
          </w:p>
        </w:tc>
        <w:tc>
          <w:tcPr>
            <w:tcW w:type="dxa" w:w="1944"/>
          </w:tcPr>
          <w:p>
            <w:pPr>
              <w:spacing w:after="20"/>
              <w:jc w:val="right"/>
            </w:pPr>
            <w:r>
              <w:rPr>
                <w:color w:val="1C3A36"/>
                <w:sz w:val="17"/>
              </w:rPr>
              <w:t>7.65</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The beta deserves a note. At 1.009 with an R-squared of 0.291 over 258 weekly observations and a standard error of 0.098, this is a well-identified estimate by the standards of this market — the 90% interval spans [0.85, 1.17],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52.70;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52.70 central, -59%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52.70, -59%</w:t>
            </w:r>
          </w:p>
        </w:tc>
        <w:tc>
          <w:tcPr>
            <w:tcW w:type="dxa" w:w="4248"/>
          </w:tcPr>
          <w:p>
            <w:pPr>
              <w:spacing w:after="20"/>
              <w:jc w:val="right"/>
            </w:pPr>
            <w:r>
              <w:rPr>
                <w:color w:val="1C3A36"/>
                <w:sz w:val="17"/>
              </w:rPr>
              <w:t>a cost of capital gliding 26.9% to 15.9%</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70.85, -46%</w:t>
            </w:r>
          </w:p>
        </w:tc>
        <w:tc>
          <w:tcPr>
            <w:tcW w:type="dxa" w:w="4248"/>
          </w:tcPr>
          <w:p>
            <w:pPr>
              <w:spacing w:after="20"/>
              <w:jc w:val="right"/>
            </w:pPr>
            <w:r>
              <w:rPr>
                <w:color w:val="1C3A36"/>
                <w:sz w:val="17"/>
              </w:rPr>
              <w:t>the hard-currency cash-flow leg discounted at about 10.1%</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71.64, -45%</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70.85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19.9%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-40% move and a +19%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52.70</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252,892</w:t>
            </w:r>
          </w:p>
        </w:tc>
        <w:tc>
          <w:tcPr>
            <w:tcW w:type="dxa" w:w="1728"/>
          </w:tcPr>
          <w:p>
            <w:pPr>
              <w:spacing w:after="20"/>
              <w:jc w:val="right"/>
            </w:pPr>
            <w:r>
              <w:rPr>
                <w:color w:val="1C3A36"/>
                <w:sz w:val="17"/>
              </w:rPr>
              <w:t>466,619</w:t>
            </w:r>
          </w:p>
        </w:tc>
        <w:tc>
          <w:tcPr>
            <w:tcW w:type="dxa" w:w="1728"/>
          </w:tcPr>
          <w:p>
            <w:pPr>
              <w:spacing w:after="20"/>
              <w:jc w:val="right"/>
            </w:pPr>
            <w:r>
              <w:rPr>
                <w:color w:val="1C3A36"/>
                <w:sz w:val="17"/>
              </w:rPr>
              <w:t>1,211,374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183,100</w:t>
            </w:r>
          </w:p>
        </w:tc>
        <w:tc>
          <w:tcPr>
            <w:tcW w:type="dxa" w:w="1728"/>
          </w:tcPr>
          <w:p>
            <w:pPr>
              <w:spacing w:after="20"/>
              <w:jc w:val="right"/>
            </w:pPr>
            <w:r>
              <w:rPr>
                <w:color w:val="1C3A36"/>
                <w:sz w:val="17"/>
              </w:rPr>
              <w:t>510,440</w:t>
            </w:r>
          </w:p>
        </w:tc>
        <w:tc>
          <w:tcPr>
            <w:tcW w:type="dxa" w:w="1728"/>
          </w:tcPr>
          <w:p>
            <w:pPr>
              <w:spacing w:after="20"/>
              <w:jc w:val="right"/>
            </w:pPr>
            <w:r>
              <w:rPr>
                <w:color w:val="1C3A36"/>
                <w:sz w:val="17"/>
              </w:rPr>
              <w:t>1,731,051</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195,106</w:t>
            </w:r>
          </w:p>
        </w:tc>
        <w:tc>
          <w:tcPr>
            <w:tcW w:type="dxa" w:w="1728"/>
          </w:tcPr>
          <w:p>
            <w:pPr>
              <w:spacing w:after="20"/>
              <w:jc w:val="right"/>
            </w:pPr>
            <w:r>
              <w:rPr>
                <w:color w:val="1C3A36"/>
                <w:sz w:val="17"/>
              </w:rPr>
              <w:t>555,225</w:t>
            </w:r>
          </w:p>
        </w:tc>
        <w:tc>
          <w:tcPr>
            <w:tcW w:type="dxa" w:w="1728"/>
          </w:tcPr>
          <w:p>
            <w:pPr>
              <w:spacing w:after="20"/>
              <w:jc w:val="right"/>
            </w:pPr>
            <w:r>
              <w:rPr>
                <w:color w:val="1C3A36"/>
                <w:sz w:val="17"/>
              </w:rPr>
              <w:t>2,023,700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26,181</w:t>
            </w:r>
          </w:p>
        </w:tc>
        <w:tc>
          <w:tcPr>
            <w:tcW w:type="dxa" w:w="1728"/>
          </w:tcPr>
          <w:p>
            <w:pPr>
              <w:spacing w:after="20"/>
              <w:jc w:val="right"/>
            </w:pPr>
            <w:r>
              <w:rPr>
                <w:color w:val="1C3A36"/>
                <w:sz w:val="17"/>
              </w:rPr>
              <w:t>56,606</w:t>
            </w:r>
          </w:p>
        </w:tc>
        <w:tc>
          <w:tcPr>
            <w:tcW w:type="dxa" w:w="1728"/>
          </w:tcPr>
          <w:p>
            <w:pPr>
              <w:spacing w:after="20"/>
              <w:jc w:val="right"/>
            </w:pPr>
            <w:r>
              <w:rPr>
                <w:color w:val="1C3A36"/>
                <w:sz w:val="17"/>
              </w:rPr>
              <w:t>162,139</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24,022</w:t>
            </w:r>
          </w:p>
        </w:tc>
        <w:tc>
          <w:tcPr>
            <w:tcW w:type="dxa" w:w="1728"/>
          </w:tcPr>
          <w:p>
            <w:pPr>
              <w:spacing w:after="20"/>
              <w:jc w:val="right"/>
            </w:pPr>
            <w:r>
              <w:rPr>
                <w:color w:val="1C3A36"/>
                <w:sz w:val="17"/>
              </w:rPr>
              <w:t>62,040</w:t>
            </w:r>
          </w:p>
        </w:tc>
        <w:tc>
          <w:tcPr>
            <w:tcW w:type="dxa" w:w="1728"/>
          </w:tcPr>
          <w:p>
            <w:pPr>
              <w:spacing w:after="20"/>
              <w:jc w:val="right"/>
            </w:pPr>
            <w:r>
              <w:rPr>
                <w:color w:val="1C3A36"/>
                <w:sz w:val="17"/>
              </w:rPr>
              <w:t>262,800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34,648</w:t>
            </w:r>
          </w:p>
        </w:tc>
        <w:tc>
          <w:tcPr>
            <w:tcW w:type="dxa" w:w="1728"/>
          </w:tcPr>
          <w:p>
            <w:pPr>
              <w:spacing w:after="20"/>
              <w:jc w:val="right"/>
            </w:pPr>
            <w:r>
              <w:rPr>
                <w:color w:val="1C3A36"/>
                <w:sz w:val="17"/>
              </w:rPr>
              <w:t>67,601</w:t>
            </w:r>
          </w:p>
        </w:tc>
        <w:tc>
          <w:tcPr>
            <w:tcW w:type="dxa" w:w="1728"/>
          </w:tcPr>
          <w:p>
            <w:pPr>
              <w:spacing w:after="20"/>
              <w:jc w:val="right"/>
            </w:pPr>
            <w:r>
              <w:rPr>
                <w:color w:val="1C3A36"/>
                <w:sz w:val="17"/>
              </w:rPr>
              <w:t>234,225</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No order book, backlog or unit-volume figure is disclosed in the audited statements. </w:t>
      </w:r>
      <w:r>
        <w:rPr>
          <w:color w:val="1C3A36"/>
          <w:sz w:val="21"/>
        </w:rPr>
        <w:t>All three audited financial statements and the Q1-2026 interim disclose segment revenue and segment profit, but no tonnage, MVA, meter count or order-book figure for any segment. The company's quarterly EARNINGS RELEASES have historically carried backlog and volume data; they were not reachable from this research environment, so the forecast is built as a taper on each segment's own recent revenue growth and margin path rather than a backlog-burn model. An earlier wording said 'disclosed anywhere', which overclaimed — the scope of the negative result is the audited statements, and cross-checking the Constructions taper against the released backlog is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28.4% cost of equity less the EGP 1.85 dividend paid in the window — worth about +8.46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84%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370,030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70.85. We have chosen the conservative reading and shown the other in full rather than splitting the difference silently.</w:t>
      </w:r>
    </w:p>
    <w:p>
      <w:pPr>
        <w:pStyle w:val="ListBullet"/>
        <w:spacing w:after="60"/>
      </w:pPr>
      <w:r>
        <w:rPr>
          <w:b/>
          <w:color w:val="1C3A36"/>
          <w:sz w:val="21"/>
        </w:rPr>
        <w:t xml:space="preserve">Terminal growth of 7% is EXACTLY zero in real terms. </w:t>
      </w:r>
      <w:r>
        <w:rPr>
          <w:color w:val="1C3A36"/>
          <w:sz w:val="21"/>
        </w:rPr>
        <w:t>The terminal rate embeds 7% inflation and the terminal growth rate is DERIVED from it and a stated real growth of zero, so it is not a nominal figure somebody typed beside an inflation assumption. A 7%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12,036mn (5.62 per share) from the equity value — EGP 3.23 per share MORE than deducting the audited book value of 5,119mn would (an earlier wording conflated the total charge with the excess; this states both). It is also the internally consistent choice: this study values the group's equity at 1.6×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370,030</w:t>
            </w:r>
          </w:p>
        </w:tc>
        <w:tc>
          <w:tcPr>
            <w:tcW w:type="dxa" w:w="950"/>
          </w:tcPr>
          <w:p>
            <w:pPr>
              <w:spacing w:after="20"/>
              <w:jc w:val="right"/>
            </w:pPr>
            <w:r>
              <w:rPr>
                <w:color w:val="1C3A36"/>
                <w:sz w:val="15"/>
              </w:rPr>
              <w:t>422,528</w:t>
            </w:r>
          </w:p>
        </w:tc>
        <w:tc>
          <w:tcPr>
            <w:tcW w:type="dxa" w:w="950"/>
          </w:tcPr>
          <w:p>
            <w:pPr>
              <w:spacing w:after="20"/>
              <w:jc w:val="right"/>
            </w:pPr>
            <w:r>
              <w:rPr>
                <w:color w:val="1C3A36"/>
                <w:sz w:val="15"/>
              </w:rPr>
              <w:t>466,619</w:t>
            </w:r>
          </w:p>
        </w:tc>
        <w:tc>
          <w:tcPr>
            <w:tcW w:type="dxa" w:w="950"/>
          </w:tcPr>
          <w:p>
            <w:pPr>
              <w:spacing w:after="20"/>
              <w:jc w:val="right"/>
            </w:pPr>
            <w:r>
              <w:rPr>
                <w:color w:val="1C3A36"/>
                <w:sz w:val="15"/>
              </w:rPr>
              <w:t>510,440</w:t>
            </w:r>
          </w:p>
        </w:tc>
        <w:tc>
          <w:tcPr>
            <w:tcW w:type="dxa" w:w="950"/>
          </w:tcPr>
          <w:p>
            <w:pPr>
              <w:spacing w:after="20"/>
              <w:jc w:val="right"/>
            </w:pPr>
            <w:r>
              <w:rPr>
                <w:color w:val="1C3A36"/>
                <w:sz w:val="15"/>
              </w:rPr>
              <w:t>555,225</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37,965</w:t>
            </w:r>
          </w:p>
        </w:tc>
        <w:tc>
          <w:tcPr>
            <w:tcW w:type="dxa" w:w="950"/>
            <w:shd w:val="clear" w:color="auto" w:fill="F6F1E6"/>
          </w:tcPr>
          <w:p>
            <w:pPr>
              <w:spacing w:after="20"/>
              <w:jc w:val="right"/>
            </w:pPr>
            <w:r>
              <w:rPr>
                <w:b/>
                <w:color w:val="1C3A36"/>
                <w:sz w:val="15"/>
              </w:rPr>
              <w:t>43,447</w:t>
            </w:r>
          </w:p>
        </w:tc>
        <w:tc>
          <w:tcPr>
            <w:tcW w:type="dxa" w:w="950"/>
            <w:shd w:val="clear" w:color="auto" w:fill="F6F1E6"/>
          </w:tcPr>
          <w:p>
            <w:pPr>
              <w:spacing w:after="20"/>
              <w:jc w:val="right"/>
            </w:pPr>
            <w:r>
              <w:rPr>
                <w:b/>
                <w:color w:val="1C3A36"/>
                <w:sz w:val="15"/>
              </w:rPr>
              <w:t>48,113</w:t>
            </w:r>
          </w:p>
        </w:tc>
        <w:tc>
          <w:tcPr>
            <w:tcW w:type="dxa" w:w="950"/>
            <w:shd w:val="clear" w:color="auto" w:fill="F6F1E6"/>
          </w:tcPr>
          <w:p>
            <w:pPr>
              <w:spacing w:after="20"/>
              <w:jc w:val="right"/>
            </w:pPr>
            <w:r>
              <w:rPr>
                <w:b/>
                <w:color w:val="1C3A36"/>
                <w:sz w:val="15"/>
              </w:rPr>
              <w:t>52,750</w:t>
            </w:r>
          </w:p>
        </w:tc>
        <w:tc>
          <w:tcPr>
            <w:tcW w:type="dxa" w:w="950"/>
            <w:shd w:val="clear" w:color="auto" w:fill="F6F1E6"/>
          </w:tcPr>
          <w:p>
            <w:pPr>
              <w:spacing w:after="20"/>
              <w:jc w:val="right"/>
            </w:pPr>
            <w:r>
              <w:rPr>
                <w:b/>
                <w:color w:val="1C3A36"/>
                <w:sz w:val="15"/>
              </w:rPr>
              <w:t>57,496</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10.4%</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(4,625)</w:t>
            </w:r>
          </w:p>
        </w:tc>
        <w:tc>
          <w:tcPr>
            <w:tcW w:type="dxa" w:w="950"/>
          </w:tcPr>
          <w:p>
            <w:pPr>
              <w:spacing w:after="20"/>
              <w:jc w:val="right"/>
            </w:pPr>
            <w:r>
              <w:rPr>
                <w:color w:val="1C3A36"/>
                <w:sz w:val="15"/>
              </w:rPr>
              <w:t>(5,282)</w:t>
            </w:r>
          </w:p>
        </w:tc>
        <w:tc>
          <w:tcPr>
            <w:tcW w:type="dxa" w:w="950"/>
          </w:tcPr>
          <w:p>
            <w:pPr>
              <w:spacing w:after="20"/>
              <w:jc w:val="right"/>
            </w:pPr>
            <w:r>
              <w:rPr>
                <w:color w:val="1C3A36"/>
                <w:sz w:val="15"/>
              </w:rPr>
              <w:t>(5,833)</w:t>
            </w:r>
          </w:p>
        </w:tc>
        <w:tc>
          <w:tcPr>
            <w:tcW w:type="dxa" w:w="950"/>
          </w:tcPr>
          <w:p>
            <w:pPr>
              <w:spacing w:after="20"/>
              <w:jc w:val="right"/>
            </w:pPr>
            <w:r>
              <w:rPr>
                <w:color w:val="1C3A36"/>
                <w:sz w:val="15"/>
              </w:rPr>
              <w:t>(6,381)</w:t>
            </w:r>
          </w:p>
        </w:tc>
        <w:tc>
          <w:tcPr>
            <w:tcW w:type="dxa" w:w="950"/>
          </w:tcPr>
          <w:p>
            <w:pPr>
              <w:spacing w:after="20"/>
              <w:jc w:val="right"/>
            </w:pPr>
            <w:r>
              <w:rPr>
                <w:color w:val="1C3A36"/>
                <w:sz w:val="15"/>
              </w:rPr>
              <w:t>(6,940)</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33,339</w:t>
            </w:r>
          </w:p>
        </w:tc>
        <w:tc>
          <w:tcPr>
            <w:tcW w:type="dxa" w:w="950"/>
            <w:shd w:val="clear" w:color="auto" w:fill="F6F1E6"/>
          </w:tcPr>
          <w:p>
            <w:pPr>
              <w:spacing w:after="20"/>
              <w:jc w:val="right"/>
            </w:pPr>
            <w:r>
              <w:rPr>
                <w:b/>
                <w:color w:val="1C3A36"/>
                <w:sz w:val="15"/>
              </w:rPr>
              <w:t>38,165</w:t>
            </w:r>
          </w:p>
        </w:tc>
        <w:tc>
          <w:tcPr>
            <w:tcW w:type="dxa" w:w="950"/>
            <w:shd w:val="clear" w:color="auto" w:fill="F6F1E6"/>
          </w:tcPr>
          <w:p>
            <w:pPr>
              <w:spacing w:after="20"/>
              <w:jc w:val="right"/>
            </w:pPr>
            <w:r>
              <w:rPr>
                <w:b/>
                <w:color w:val="1C3A36"/>
                <w:sz w:val="15"/>
              </w:rPr>
              <w:t>42,280</w:t>
            </w:r>
          </w:p>
        </w:tc>
        <w:tc>
          <w:tcPr>
            <w:tcW w:type="dxa" w:w="950"/>
            <w:shd w:val="clear" w:color="auto" w:fill="F6F1E6"/>
          </w:tcPr>
          <w:p>
            <w:pPr>
              <w:spacing w:after="20"/>
              <w:jc w:val="right"/>
            </w:pPr>
            <w:r>
              <w:rPr>
                <w:b/>
                <w:color w:val="1C3A36"/>
                <w:sz w:val="15"/>
              </w:rPr>
              <w:t>46,370</w:t>
            </w:r>
          </w:p>
        </w:tc>
        <w:tc>
          <w:tcPr>
            <w:tcW w:type="dxa" w:w="950"/>
            <w:shd w:val="clear" w:color="auto" w:fill="F6F1E6"/>
          </w:tcPr>
          <w:p>
            <w:pPr>
              <w:spacing w:after="20"/>
              <w:jc w:val="right"/>
            </w:pPr>
            <w:r>
              <w:rPr>
                <w:b/>
                <w:color w:val="1C3A36"/>
                <w:sz w:val="15"/>
              </w:rPr>
              <w:t>50,556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(2,494)</w:t>
            </w:r>
          </w:p>
        </w:tc>
        <w:tc>
          <w:tcPr>
            <w:tcW w:type="dxa" w:w="950"/>
          </w:tcPr>
          <w:p>
            <w:pPr>
              <w:spacing w:after="20"/>
              <w:jc w:val="right"/>
            </w:pPr>
            <w:r>
              <w:rPr>
                <w:color w:val="1C3A36"/>
                <w:sz w:val="15"/>
              </w:rPr>
              <w:t>(2,335)</w:t>
            </w:r>
          </w:p>
        </w:tc>
        <w:tc>
          <w:tcPr>
            <w:tcW w:type="dxa" w:w="950"/>
          </w:tcPr>
          <w:p>
            <w:pPr>
              <w:spacing w:after="20"/>
              <w:jc w:val="right"/>
            </w:pPr>
            <w:r>
              <w:rPr>
                <w:color w:val="1C3A36"/>
                <w:sz w:val="15"/>
              </w:rPr>
              <w:t>(1,757)</w:t>
            </w:r>
          </w:p>
        </w:tc>
        <w:tc>
          <w:tcPr>
            <w:tcW w:type="dxa" w:w="950"/>
          </w:tcPr>
          <w:p>
            <w:pPr>
              <w:spacing w:after="20"/>
              <w:jc w:val="right"/>
            </w:pPr>
            <w:r>
              <w:rPr>
                <w:color w:val="1C3A36"/>
                <w:sz w:val="15"/>
              </w:rPr>
              <w:t>(917)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22,703</w:t>
            </w:r>
          </w:p>
        </w:tc>
        <w:tc>
          <w:tcPr>
            <w:tcW w:type="dxa" w:w="950"/>
            <w:shd w:val="clear" w:color="auto" w:fill="F6F1E6"/>
          </w:tcPr>
          <w:p>
            <w:pPr>
              <w:spacing w:after="20"/>
              <w:jc w:val="right"/>
            </w:pPr>
            <w:r>
              <w:rPr>
                <w:b/>
                <w:color w:val="1C3A36"/>
                <w:sz w:val="15"/>
              </w:rPr>
              <w:t>25,574</w:t>
            </w:r>
          </w:p>
        </w:tc>
        <w:tc>
          <w:tcPr>
            <w:tcW w:type="dxa" w:w="950"/>
            <w:shd w:val="clear" w:color="auto" w:fill="F6F1E6"/>
          </w:tcPr>
          <w:p>
            <w:pPr>
              <w:spacing w:after="20"/>
              <w:jc w:val="right"/>
            </w:pPr>
            <w:r>
              <w:rPr>
                <w:b/>
                <w:color w:val="1C3A36"/>
                <w:sz w:val="15"/>
              </w:rPr>
              <w:t>28,589</w:t>
            </w:r>
          </w:p>
        </w:tc>
        <w:tc>
          <w:tcPr>
            <w:tcW w:type="dxa" w:w="950"/>
            <w:shd w:val="clear" w:color="auto" w:fill="F6F1E6"/>
          </w:tcPr>
          <w:p>
            <w:pPr>
              <w:spacing w:after="20"/>
              <w:jc w:val="right"/>
            </w:pPr>
            <w:r>
              <w:rPr>
                <w:b/>
                <w:color w:val="1C3A36"/>
                <w:sz w:val="15"/>
              </w:rPr>
              <w:t>31,879</w:t>
            </w:r>
          </w:p>
        </w:tc>
        <w:tc>
          <w:tcPr>
            <w:tcW w:type="dxa" w:w="950"/>
            <w:shd w:val="clear" w:color="auto" w:fill="F6F1E6"/>
          </w:tcPr>
          <w:p>
            <w:pPr>
              <w:spacing w:after="20"/>
              <w:jc w:val="right"/>
            </w:pPr>
            <w:r>
              <w:rPr>
                <w:b/>
                <w:color w:val="1C3A36"/>
                <w:sz w:val="15"/>
              </w:rPr>
              <w:t>35,423</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10.60</w:t>
            </w:r>
          </w:p>
        </w:tc>
        <w:tc>
          <w:tcPr>
            <w:tcW w:type="dxa" w:w="950"/>
          </w:tcPr>
          <w:p>
            <w:pPr>
              <w:spacing w:after="20"/>
              <w:jc w:val="right"/>
            </w:pPr>
            <w:r>
              <w:rPr>
                <w:color w:val="1C3A36"/>
                <w:sz w:val="15"/>
              </w:rPr>
              <w:t>11.95</w:t>
            </w:r>
          </w:p>
        </w:tc>
        <w:tc>
          <w:tcPr>
            <w:tcW w:type="dxa" w:w="950"/>
          </w:tcPr>
          <w:p>
            <w:pPr>
              <w:spacing w:after="20"/>
              <w:jc w:val="right"/>
            </w:pPr>
            <w:r>
              <w:rPr>
                <w:color w:val="1C3A36"/>
                <w:sz w:val="15"/>
              </w:rPr>
              <w:t>13.35</w:t>
            </w:r>
          </w:p>
        </w:tc>
        <w:tc>
          <w:tcPr>
            <w:tcW w:type="dxa" w:w="950"/>
          </w:tcPr>
          <w:p>
            <w:pPr>
              <w:spacing w:after="20"/>
              <w:jc w:val="right"/>
            </w:pPr>
            <w:r>
              <w:rPr>
                <w:color w:val="1C3A36"/>
                <w:sz w:val="15"/>
              </w:rPr>
              <w:t>14.89</w:t>
            </w:r>
          </w:p>
        </w:tc>
        <w:tc>
          <w:tcPr>
            <w:tcW w:type="dxa" w:w="950"/>
          </w:tcPr>
          <w:p>
            <w:pPr>
              <w:spacing w:after="20"/>
              <w:jc w:val="right"/>
            </w:pPr>
            <w:r>
              <w:rPr>
                <w:color w:val="1C3A36"/>
                <w:sz w:val="15"/>
              </w:rPr>
              <w:t>16.55</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73,636</w:t>
            </w:r>
          </w:p>
        </w:tc>
        <w:tc>
          <w:tcPr>
            <w:tcW w:type="dxa" w:w="1426"/>
          </w:tcPr>
          <w:p>
            <w:pPr>
              <w:spacing w:after="20"/>
              <w:jc w:val="right"/>
            </w:pPr>
            <w:r>
              <w:rPr>
                <w:color w:val="1C3A36"/>
                <w:sz w:val="16"/>
              </w:rPr>
              <w:t>84,083</w:t>
            </w:r>
          </w:p>
        </w:tc>
        <w:tc>
          <w:tcPr>
            <w:tcW w:type="dxa" w:w="1426"/>
          </w:tcPr>
          <w:p>
            <w:pPr>
              <w:spacing w:after="20"/>
              <w:jc w:val="right"/>
            </w:pPr>
            <w:r>
              <w:rPr>
                <w:color w:val="1C3A36"/>
                <w:sz w:val="16"/>
              </w:rPr>
              <w:t>92,857</w:t>
            </w:r>
          </w:p>
        </w:tc>
        <w:tc>
          <w:tcPr>
            <w:tcW w:type="dxa" w:w="1426"/>
          </w:tcPr>
          <w:p>
            <w:pPr>
              <w:spacing w:after="20"/>
              <w:jc w:val="right"/>
            </w:pPr>
            <w:r>
              <w:rPr>
                <w:color w:val="1C3A36"/>
                <w:sz w:val="16"/>
              </w:rPr>
              <w:t>101,578</w:t>
            </w:r>
          </w:p>
        </w:tc>
        <w:tc>
          <w:tcPr>
            <w:tcW w:type="dxa" w:w="1426"/>
          </w:tcPr>
          <w:p>
            <w:pPr>
              <w:spacing w:after="20"/>
              <w:jc w:val="right"/>
            </w:pPr>
            <w:r>
              <w:rPr>
                <w:color w:val="1C3A36"/>
                <w:sz w:val="16"/>
              </w:rPr>
              <w:t>110,490</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47,617</w:t>
            </w:r>
          </w:p>
        </w:tc>
        <w:tc>
          <w:tcPr>
            <w:tcW w:type="dxa" w:w="1426"/>
          </w:tcPr>
          <w:p>
            <w:pPr>
              <w:spacing w:after="20"/>
              <w:jc w:val="right"/>
            </w:pPr>
            <w:r>
              <w:rPr>
                <w:color w:val="1C3A36"/>
                <w:sz w:val="16"/>
              </w:rPr>
              <w:t>59,237</w:t>
            </w:r>
          </w:p>
        </w:tc>
        <w:tc>
          <w:tcPr>
            <w:tcW w:type="dxa" w:w="1426"/>
          </w:tcPr>
          <w:p>
            <w:pPr>
              <w:spacing w:after="20"/>
              <w:jc w:val="right"/>
            </w:pPr>
            <w:r>
              <w:rPr>
                <w:color w:val="1C3A36"/>
                <w:sz w:val="16"/>
              </w:rPr>
              <w:t>70,202</w:t>
            </w:r>
          </w:p>
        </w:tc>
        <w:tc>
          <w:tcPr>
            <w:tcW w:type="dxa" w:w="1426"/>
          </w:tcPr>
          <w:p>
            <w:pPr>
              <w:spacing w:after="20"/>
              <w:jc w:val="right"/>
            </w:pPr>
            <w:r>
              <w:rPr>
                <w:color w:val="1C3A36"/>
                <w:sz w:val="16"/>
              </w:rPr>
              <w:t>80,666</w:t>
            </w:r>
          </w:p>
        </w:tc>
        <w:tc>
          <w:tcPr>
            <w:tcW w:type="dxa" w:w="1426"/>
          </w:tcPr>
          <w:p>
            <w:pPr>
              <w:spacing w:after="20"/>
              <w:jc w:val="right"/>
            </w:pPr>
            <w:r>
              <w:rPr>
                <w:color w:val="1C3A36"/>
                <w:sz w:val="16"/>
              </w:rPr>
              <w:t>90,938</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123,002</w:t>
            </w:r>
          </w:p>
        </w:tc>
        <w:tc>
          <w:tcPr>
            <w:tcW w:type="dxa" w:w="1426"/>
          </w:tcPr>
          <w:p>
            <w:pPr>
              <w:spacing w:after="20"/>
              <w:jc w:val="right"/>
            </w:pPr>
            <w:r>
              <w:rPr>
                <w:color w:val="1C3A36"/>
                <w:sz w:val="16"/>
              </w:rPr>
              <w:t>145,069</w:t>
            </w:r>
          </w:p>
        </w:tc>
        <w:tc>
          <w:tcPr>
            <w:tcW w:type="dxa" w:w="1426"/>
          </w:tcPr>
          <w:p>
            <w:pPr>
              <w:spacing w:after="20"/>
              <w:jc w:val="right"/>
            </w:pPr>
            <w:r>
              <w:rPr>
                <w:color w:val="1C3A36"/>
                <w:sz w:val="16"/>
              </w:rPr>
              <w:t>164,808</w:t>
            </w:r>
          </w:p>
        </w:tc>
        <w:tc>
          <w:tcPr>
            <w:tcW w:type="dxa" w:w="1426"/>
          </w:tcPr>
          <w:p>
            <w:pPr>
              <w:spacing w:after="20"/>
              <w:jc w:val="right"/>
            </w:pPr>
            <w:r>
              <w:rPr>
                <w:color w:val="1C3A36"/>
                <w:sz w:val="16"/>
              </w:rPr>
              <w:t>183,992</w:t>
            </w:r>
          </w:p>
        </w:tc>
        <w:tc>
          <w:tcPr>
            <w:tcW w:type="dxa" w:w="1426"/>
          </w:tcPr>
          <w:p>
            <w:pPr>
              <w:spacing w:after="20"/>
              <w:jc w:val="right"/>
            </w:pPr>
            <w:r>
              <w:rPr>
                <w:color w:val="1C3A36"/>
                <w:sz w:val="16"/>
              </w:rPr>
              <w:t>203,176</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20.5%</w:t>
            </w:r>
          </w:p>
        </w:tc>
        <w:tc>
          <w:tcPr>
            <w:tcW w:type="dxa" w:w="1426"/>
          </w:tcPr>
          <w:p>
            <w:pPr>
              <w:spacing w:after="20"/>
              <w:jc w:val="right"/>
            </w:pPr>
            <w:r>
              <w:rPr>
                <w:color w:val="1C3A36"/>
                <w:sz w:val="16"/>
              </w:rPr>
              <w:t>19.9%</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18.8%</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(16,281)</w:t>
            </w:r>
          </w:p>
        </w:tc>
        <w:tc>
          <w:tcPr>
            <w:tcW w:type="dxa" w:w="1426"/>
          </w:tcPr>
          <w:p>
            <w:pPr>
              <w:spacing w:after="20"/>
              <w:jc w:val="right"/>
            </w:pPr>
            <w:r>
              <w:rPr>
                <w:color w:val="1C3A36"/>
                <w:sz w:val="16"/>
              </w:rPr>
              <w:t>(16,901)</w:t>
            </w:r>
          </w:p>
        </w:tc>
        <w:tc>
          <w:tcPr>
            <w:tcW w:type="dxa" w:w="1426"/>
          </w:tcPr>
          <w:p>
            <w:pPr>
              <w:spacing w:after="20"/>
              <w:jc w:val="right"/>
            </w:pPr>
            <w:r>
              <w:rPr>
                <w:color w:val="1C3A36"/>
                <w:sz w:val="16"/>
              </w:rPr>
              <w:t>(16,798)</w:t>
            </w:r>
          </w:p>
        </w:tc>
        <w:tc>
          <w:tcPr>
            <w:tcW w:type="dxa" w:w="1426"/>
          </w:tcPr>
          <w:p>
            <w:pPr>
              <w:spacing w:after="20"/>
              <w:jc w:val="right"/>
            </w:pPr>
            <w:r>
              <w:rPr>
                <w:color w:val="1C3A36"/>
                <w:sz w:val="16"/>
              </w:rPr>
              <w:t>(16,845)</w:t>
            </w:r>
          </w:p>
        </w:tc>
        <w:tc>
          <w:tcPr>
            <w:tcW w:type="dxa" w:w="1426"/>
          </w:tcPr>
          <w:p>
            <w:pPr>
              <w:spacing w:after="20"/>
              <w:jc w:val="right"/>
            </w:pPr>
            <w:r>
              <w:rPr>
                <w:color w:val="1C3A36"/>
                <w:sz w:val="16"/>
              </w:rPr>
              <w:t>(17,212)</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(17,783)</w:t>
            </w:r>
          </w:p>
        </w:tc>
        <w:tc>
          <w:tcPr>
            <w:tcW w:type="dxa" w:w="1426"/>
            <w:shd w:val="clear" w:color="auto" w:fill="F6F1E6"/>
          </w:tcPr>
          <w:p>
            <w:pPr>
              <w:spacing w:after="20"/>
              <w:jc w:val="right"/>
            </w:pPr>
            <w:r>
              <w:rPr>
                <w:b/>
                <w:color w:val="1C3A36"/>
                <w:sz w:val="16"/>
              </w:rPr>
              <w:t>(10,447)</w:t>
            </w:r>
          </w:p>
        </w:tc>
        <w:tc>
          <w:tcPr>
            <w:tcW w:type="dxa" w:w="1426"/>
            <w:shd w:val="clear" w:color="auto" w:fill="F6F1E6"/>
          </w:tcPr>
          <w:p>
            <w:pPr>
              <w:spacing w:after="20"/>
              <w:jc w:val="right"/>
            </w:pPr>
            <w:r>
              <w:rPr>
                <w:b/>
                <w:color w:val="1C3A36"/>
                <w:sz w:val="16"/>
              </w:rPr>
              <w:t>(8,774)</w:t>
            </w:r>
          </w:p>
        </w:tc>
        <w:tc>
          <w:tcPr>
            <w:tcW w:type="dxa" w:w="1426"/>
            <w:shd w:val="clear" w:color="auto" w:fill="F6F1E6"/>
          </w:tcPr>
          <w:p>
            <w:pPr>
              <w:spacing w:after="20"/>
              <w:jc w:val="right"/>
            </w:pPr>
            <w:r>
              <w:rPr>
                <w:b/>
                <w:color w:val="1C3A36"/>
                <w:sz w:val="16"/>
              </w:rPr>
              <w:t>(8,720)</w:t>
            </w:r>
          </w:p>
        </w:tc>
        <w:tc>
          <w:tcPr>
            <w:tcW w:type="dxa" w:w="1426"/>
            <w:shd w:val="clear" w:color="auto" w:fill="F6F1E6"/>
          </w:tcPr>
          <w:p>
            <w:pPr>
              <w:spacing w:after="20"/>
              <w:jc w:val="right"/>
            </w:pPr>
            <w:r>
              <w:rPr>
                <w:b/>
                <w:color w:val="1C3A36"/>
                <w:sz w:val="16"/>
              </w:rPr>
              <w:t>(8,912)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-4,268</w:t>
            </w:r>
          </w:p>
        </w:tc>
        <w:tc>
          <w:tcPr>
            <w:tcW w:type="dxa" w:w="1426"/>
          </w:tcPr>
          <w:p>
            <w:pPr>
              <w:spacing w:after="20"/>
              <w:jc w:val="right"/>
            </w:pPr>
            <w:r>
              <w:rPr>
                <w:color w:val="1C3A36"/>
                <w:sz w:val="16"/>
              </w:rPr>
              <w:t>6,748</w:t>
            </w:r>
          </w:p>
        </w:tc>
        <w:tc>
          <w:tcPr>
            <w:tcW w:type="dxa" w:w="1426"/>
          </w:tcPr>
          <w:p>
            <w:pPr>
              <w:spacing w:after="20"/>
              <w:jc w:val="right"/>
            </w:pPr>
            <w:r>
              <w:rPr>
                <w:color w:val="1C3A36"/>
                <w:sz w:val="16"/>
              </w:rPr>
              <w:t>12,182</w:t>
            </w:r>
          </w:p>
        </w:tc>
        <w:tc>
          <w:tcPr>
            <w:tcW w:type="dxa" w:w="1426"/>
          </w:tcPr>
          <w:p>
            <w:pPr>
              <w:spacing w:after="20"/>
              <w:jc w:val="right"/>
            </w:pPr>
            <w:r>
              <w:rPr>
                <w:color w:val="1C3A36"/>
                <w:sz w:val="16"/>
              </w:rPr>
              <w:t>15,825</w:t>
            </w:r>
          </w:p>
        </w:tc>
        <w:tc>
          <w:tcPr>
            <w:tcW w:type="dxa" w:w="1426"/>
          </w:tcPr>
          <w:p>
            <w:pPr>
              <w:spacing w:after="20"/>
              <w:jc w:val="right"/>
            </w:pPr>
            <w:r>
              <w:rPr>
                <w:color w:val="1C3A36"/>
                <w:sz w:val="16"/>
              </w:rPr>
              <w:t>18,986</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83,898</w:t>
            </w:r>
          </w:p>
        </w:tc>
        <w:tc>
          <w:tcPr>
            <w:tcW w:type="dxa" w:w="1426"/>
          </w:tcPr>
          <w:p>
            <w:pPr>
              <w:spacing w:after="20"/>
              <w:jc w:val="right"/>
            </w:pPr>
            <w:r>
              <w:rPr>
                <w:color w:val="1C3A36"/>
                <w:sz w:val="16"/>
              </w:rPr>
              <w:t>103,078</w:t>
            </w:r>
          </w:p>
        </w:tc>
        <w:tc>
          <w:tcPr>
            <w:tcW w:type="dxa" w:w="1426"/>
          </w:tcPr>
          <w:p>
            <w:pPr>
              <w:spacing w:after="20"/>
              <w:jc w:val="right"/>
            </w:pPr>
            <w:r>
              <w:rPr>
                <w:color w:val="1C3A36"/>
                <w:sz w:val="16"/>
              </w:rPr>
              <w:t>124,520</w:t>
            </w:r>
          </w:p>
        </w:tc>
        <w:tc>
          <w:tcPr>
            <w:tcW w:type="dxa" w:w="1426"/>
          </w:tcPr>
          <w:p>
            <w:pPr>
              <w:spacing w:after="20"/>
              <w:jc w:val="right"/>
            </w:pPr>
            <w:r>
              <w:rPr>
                <w:color w:val="1C3A36"/>
                <w:sz w:val="16"/>
              </w:rPr>
              <w:t>148,429</w:t>
            </w:r>
          </w:p>
        </w:tc>
        <w:tc>
          <w:tcPr>
            <w:tcW w:type="dxa" w:w="1426"/>
          </w:tcPr>
          <w:p>
            <w:pPr>
              <w:spacing w:after="20"/>
              <w:jc w:val="right"/>
            </w:pPr>
            <w:r>
              <w:rPr>
                <w:color w:val="1C3A36"/>
                <w:sz w:val="16"/>
              </w:rPr>
              <w:t>174,997</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31,820</w:t>
            </w:r>
          </w:p>
        </w:tc>
        <w:tc>
          <w:tcPr>
            <w:tcW w:type="dxa" w:w="1426"/>
          </w:tcPr>
          <w:p>
            <w:pPr>
              <w:spacing w:after="20"/>
              <w:jc w:val="right"/>
            </w:pPr>
            <w:r>
              <w:rPr>
                <w:color w:val="1C3A36"/>
                <w:sz w:val="16"/>
              </w:rPr>
              <w:t>33,349</w:t>
            </w:r>
          </w:p>
        </w:tc>
        <w:tc>
          <w:tcPr>
            <w:tcW w:type="dxa" w:w="1426"/>
          </w:tcPr>
          <w:p>
            <w:pPr>
              <w:spacing w:after="20"/>
              <w:jc w:val="right"/>
            </w:pPr>
            <w:r>
              <w:rPr>
                <w:color w:val="1C3A36"/>
                <w:sz w:val="16"/>
              </w:rPr>
              <w:t>30,076</w:t>
            </w:r>
          </w:p>
        </w:tc>
        <w:tc>
          <w:tcPr>
            <w:tcW w:type="dxa" w:w="1426"/>
          </w:tcPr>
          <w:p>
            <w:pPr>
              <w:spacing w:after="20"/>
              <w:jc w:val="right"/>
            </w:pPr>
            <w:r>
              <w:rPr>
                <w:color w:val="1C3A36"/>
                <w:sz w:val="16"/>
              </w:rPr>
              <w:t>23,548</w:t>
            </w:r>
          </w:p>
        </w:tc>
        <w:tc>
          <w:tcPr>
            <w:tcW w:type="dxa" w:w="1426"/>
          </w:tcPr>
          <w:p>
            <w:pPr>
              <w:spacing w:after="20"/>
              <w:jc w:val="right"/>
            </w:pPr>
            <w:r>
              <w:rPr>
                <w:color w:val="1C3A36"/>
                <w:sz w:val="16"/>
              </w:rPr>
              <w:t>14,111</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15.23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41.68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14.91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46.43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20.74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151.42 and 97.90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466,619</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10.3%</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42,280</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13.63</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151.42</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111.09 – 191.76</w:t>
            </w:r>
          </w:p>
        </w:tc>
      </w:tr>
    </w:tbl>
    <w:p>
      <w:pPr>
        <w:spacing w:after="40"/>
      </w:pPr>
    </w:p>
    <w:p>
      <w:pPr>
        <w:spacing w:after="120" w:before="0"/>
      </w:pPr>
      <w:r>
        <w:rPr>
          <w:b w:val="0"/>
          <w:i w:val="0"/>
          <w:color w:val="1C3A36"/>
          <w:sz w:val="21"/>
        </w:rPr>
        <w:t>Named sensitivity: each one-turn change in the multiple is worth EGP 13.63 per share, and each percentage point of mid-cycle EBITDA margin is worth roughly EGP 1.32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15,664</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(1,457)</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13,599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1.07 ÷ (17.6% − 7%)</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74.31</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36.90 – 67.07</w:t>
            </w:r>
          </w:p>
        </w:tc>
      </w:tr>
    </w:tbl>
    <w:p>
      <w:pPr>
        <w:spacing w:after="40"/>
      </w:pPr>
    </w:p>
    <w:p>
      <w:pPr>
        <w:spacing w:after="120" w:before="0"/>
      </w:pPr>
      <w:r>
        <w:rPr>
          <w:b w:val="0"/>
          <w:i w:val="0"/>
          <w:color w:val="1C3A36"/>
          <w:sz w:val="21"/>
        </w:rPr>
        <w:t>This is the harshest of the three readings, at EGP 74.31,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7,499</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27,020</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128,082</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55.22</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47.65 – 70.85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20.5%</w:t>
            </w:r>
          </w:p>
        </w:tc>
        <w:tc>
          <w:tcPr>
            <w:tcW w:type="dxa" w:w="1426"/>
          </w:tcPr>
          <w:p>
            <w:pPr>
              <w:spacing w:after="20"/>
              <w:jc w:val="right"/>
            </w:pPr>
            <w:r>
              <w:rPr>
                <w:color w:val="1C3A36"/>
                <w:sz w:val="16"/>
              </w:rPr>
              <w:t>19.9%</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18.8%</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26.9%</w:t>
            </w:r>
          </w:p>
        </w:tc>
        <w:tc>
          <w:tcPr>
            <w:tcW w:type="dxa" w:w="1426"/>
          </w:tcPr>
          <w:p>
            <w:pPr>
              <w:spacing w:after="20"/>
              <w:jc w:val="right"/>
            </w:pPr>
            <w:r>
              <w:rPr>
                <w:color w:val="1C3A36"/>
                <w:sz w:val="16"/>
              </w:rPr>
              <w:t>23.3%</w:t>
            </w:r>
          </w:p>
        </w:tc>
        <w:tc>
          <w:tcPr>
            <w:tcW w:type="dxa" w:w="1426"/>
          </w:tcPr>
          <w:p>
            <w:pPr>
              <w:spacing w:after="20"/>
              <w:jc w:val="right"/>
            </w:pPr>
            <w:r>
              <w:rPr>
                <w:color w:val="1C3A36"/>
                <w:sz w:val="16"/>
              </w:rPr>
              <w:t>20.2%</w:t>
            </w:r>
          </w:p>
        </w:tc>
        <w:tc>
          <w:tcPr>
            <w:tcW w:type="dxa" w:w="1426"/>
          </w:tcPr>
          <w:p>
            <w:pPr>
              <w:spacing w:after="20"/>
              <w:jc w:val="right"/>
            </w:pPr>
            <w:r>
              <w:rPr>
                <w:color w:val="1C3A36"/>
                <w:sz w:val="16"/>
              </w:rPr>
              <w:t>17.8%</w:t>
            </w:r>
          </w:p>
        </w:tc>
        <w:tc>
          <w:tcPr>
            <w:tcW w:type="dxa" w:w="1426"/>
          </w:tcPr>
          <w:p>
            <w:pPr>
              <w:spacing w:after="20"/>
              <w:jc w:val="right"/>
            </w:pPr>
            <w:r>
              <w:rPr>
                <w:color w:val="1C3A36"/>
                <w:sz w:val="16"/>
              </w:rPr>
              <w:t>15.9%</w:t>
            </w:r>
          </w:p>
        </w:tc>
      </w:tr>
      <w:tr>
        <w:tc>
          <w:tcPr>
            <w:tcW w:type="dxa" w:w="2952"/>
          </w:tcPr>
          <w:p>
            <w:pPr>
              <w:spacing w:after="20"/>
            </w:pPr>
            <w:r>
              <w:rPr>
                <w:color w:val="1C3A36"/>
                <w:sz w:val="16"/>
              </w:rPr>
              <w:t>Spread</w:t>
            </w:r>
          </w:p>
        </w:tc>
        <w:tc>
          <w:tcPr>
            <w:tcW w:type="dxa" w:w="1426"/>
          </w:tcPr>
          <w:p>
            <w:pPr>
              <w:spacing w:after="20"/>
              <w:jc w:val="right"/>
            </w:pPr>
            <w:r>
              <w:rPr>
                <w:color w:val="1C3A36"/>
                <w:sz w:val="16"/>
              </w:rPr>
              <w:t>-6.5pp</w:t>
            </w:r>
          </w:p>
        </w:tc>
        <w:tc>
          <w:tcPr>
            <w:tcW w:type="dxa" w:w="1426"/>
          </w:tcPr>
          <w:p>
            <w:pPr>
              <w:spacing w:after="20"/>
              <w:jc w:val="right"/>
            </w:pPr>
            <w:r>
              <w:rPr>
                <w:color w:val="1C3A36"/>
                <w:sz w:val="16"/>
              </w:rPr>
              <w:t>-3.4pp</w:t>
            </w:r>
          </w:p>
        </w:tc>
        <w:tc>
          <w:tcPr>
            <w:tcW w:type="dxa" w:w="1426"/>
          </w:tcPr>
          <w:p>
            <w:pPr>
              <w:spacing w:after="20"/>
              <w:jc w:val="right"/>
            </w:pPr>
            <w:r>
              <w:rPr>
                <w:color w:val="1C3A36"/>
                <w:sz w:val="16"/>
              </w:rPr>
              <w:t>-0.8pp</w:t>
            </w:r>
          </w:p>
        </w:tc>
        <w:tc>
          <w:tcPr>
            <w:tcW w:type="dxa" w:w="1426"/>
          </w:tcPr>
          <w:p>
            <w:pPr>
              <w:spacing w:after="20"/>
              <w:jc w:val="right"/>
            </w:pPr>
            <w:r>
              <w:rPr>
                <w:color w:val="1C3A36"/>
                <w:sz w:val="16"/>
              </w:rPr>
              <w:t>+1.3pp</w:t>
            </w:r>
          </w:p>
        </w:tc>
        <w:tc>
          <w:tcPr>
            <w:tcW w:type="dxa" w:w="1426"/>
          </w:tcPr>
          <w:p>
            <w:pPr>
              <w:spacing w:after="20"/>
              <w:jc w:val="right"/>
            </w:pPr>
            <w:r>
              <w:rPr>
                <w:color w:val="1C3A36"/>
                <w:sz w:val="16"/>
              </w:rPr>
              <w:t>+2.9pp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-38</w:t>
            </w:r>
          </w:p>
        </w:tc>
        <w:tc>
          <w:tcPr>
            <w:tcW w:type="dxa" w:w="1426"/>
            <w:shd w:val="clear" w:color="auto" w:fill="F6F1E6"/>
          </w:tcPr>
          <w:p>
            <w:pPr>
              <w:spacing w:after="20"/>
              <w:jc w:val="right"/>
            </w:pPr>
            <w:r>
              <w:rPr>
                <w:b/>
                <w:color w:val="1C3A36"/>
                <w:sz w:val="16"/>
              </w:rPr>
              <w:t>187</w:t>
            </w:r>
          </w:p>
        </w:tc>
        <w:tc>
          <w:tcPr>
            <w:tcW w:type="dxa" w:w="1426"/>
            <w:shd w:val="clear" w:color="auto" w:fill="F6F1E6"/>
          </w:tcPr>
          <w:p>
            <w:pPr>
              <w:spacing w:after="20"/>
              <w:jc w:val="right"/>
            </w:pPr>
            <w:r>
              <w:rPr>
                <w:b/>
                <w:color w:val="1C3A36"/>
                <w:sz w:val="16"/>
              </w:rPr>
              <w:t>2,595</w:t>
            </w:r>
          </w:p>
        </w:tc>
        <w:tc>
          <w:tcPr>
            <w:tcW w:type="dxa" w:w="1426"/>
            <w:shd w:val="clear" w:color="auto" w:fill="F6F1E6"/>
          </w:tcPr>
          <w:p>
            <w:pPr>
              <w:spacing w:after="20"/>
              <w:jc w:val="right"/>
            </w:pPr>
            <w:r>
              <w:rPr>
                <w:b/>
                <w:color w:val="1C3A36"/>
                <w:sz w:val="16"/>
              </w:rPr>
              <w:t>5,724</w:t>
            </w:r>
          </w:p>
        </w:tc>
        <w:tc>
          <w:tcPr>
            <w:tcW w:type="dxa" w:w="1426"/>
            <w:shd w:val="clear" w:color="auto" w:fill="F6F1E6"/>
          </w:tcPr>
          <w:p>
            <w:pPr>
              <w:spacing w:after="20"/>
              <w:jc w:val="right"/>
            </w:pPr>
            <w:r>
              <w:rPr>
                <w:b/>
                <w:color w:val="1C3A36"/>
                <w:sz w:val="16"/>
              </w:rPr>
              <w:t>8,852</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(128,082) and the DCF's (138,203) differ by 10,122: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20%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74.31; the vertical line is the market price of 130.00.</w:t>
      </w:r>
    </w:p>
    <w:p>
      <w:pPr>
        <w:spacing w:after="120" w:before="0"/>
      </w:pPr>
      <w:r>
        <w:rPr>
          <w:b w:val="0"/>
          <w:i w:val="0"/>
          <w:color w:val="1C3A36"/>
          <w:sz w:val="21"/>
        </w:rPr>
        <w:t>The panel spans EGP 55.22 to 151.42 — a factor of 2.7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74.31 sits -43% against the market price and +41% against the study's own central of 52.70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17.6%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7%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84%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