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8 August 2026  ·  Reporting and valuation currency: Egyptian pounds  ·  Anchor price EGP 13.98 at the close of 2026-08-06</w:t>
      </w:r>
    </w:p>
    <w:p>
      <w:pPr>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Four lenses give a field, not a point. Where they disagree, the disagreement is the information — section 4 isolates which assumption drives which gap.</w:t>
            </w:r>
          </w:p>
        </w:tc>
      </w:tr>
    </w:tbl>
    <w:p>
      <w:pPr>
        <w:spacing w:after="40"/>
      </w:pPr>
    </w:p>
    <w:p>
      <w:pPr>
        <w:spacing w:after="120" w:before="280"/>
      </w:pPr>
      <w:r>
        <w:rPr>
          <w:b/>
          <w:i w:val="0"/>
          <w:color w:val="1C3A36"/>
          <w:sz w:val="30"/>
        </w:rPr>
        <w:t>Headline</w:t>
      </w:r>
    </w:p>
    <w:p>
      <w:pPr>
        <w:spacing w:after="120" w:before="0"/>
      </w:pPr>
      <w:r>
        <w:rPr>
          <w:b/>
          <w:i w:val="0"/>
          <w:color w:val="1C3A36"/>
          <w:sz w:val="21"/>
        </w:rPr>
        <w:t>Four lenses put this company between EGP 0.00 and EGP 6.91 a share. It trades at EGP 13.98. The gap is not a rounding difference and it does not close under any single assumption: the cheapest lens to satisfy — a peer multiple on forward operating profit — still lands at EGP 6.91, and that lens reaches its answer only by never asking what the capital programme does to cash.</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10.0%, against a sovereign ten-year yield of 23.0% on the same day. That is the disagreement stated precisely rather than argued.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944"/>
        <w:gridCol w:w="1944"/>
        <w:gridCol w:w="3312"/>
      </w:tblGrid>
      <w:tr>
        <w:tc>
          <w:tcPr>
            <w:tcW w:type="dxa" w:w="2880"/>
            <w:shd w:val="clear" w:color="auto" w:fill="EAF0EE"/>
          </w:tcPr>
          <w:p>
            <w:pPr>
              <w:spacing w:after="20"/>
            </w:pPr>
            <w:r>
              <w:rPr>
                <w:b/>
                <w:color w:val="1C3A36"/>
                <w:sz w:val="17"/>
              </w:rPr>
              <w:t>Lens</w:t>
            </w:r>
          </w:p>
        </w:tc>
        <w:tc>
          <w:tcPr>
            <w:tcW w:type="dxa" w:w="1944"/>
            <w:shd w:val="clear" w:color="auto" w:fill="EAF0EE"/>
          </w:tcPr>
          <w:p>
            <w:pPr>
              <w:spacing w:after="20"/>
            </w:pPr>
            <w:r>
              <w:rPr>
                <w:b/>
                <w:color w:val="1C3A36"/>
                <w:sz w:val="17"/>
              </w:rPr>
              <w:t>Programme carried through</w:t>
            </w:r>
          </w:p>
        </w:tc>
        <w:tc>
          <w:tcPr>
            <w:tcW w:type="dxa" w:w="1944"/>
            <w:shd w:val="clear" w:color="auto" w:fill="EAF0EE"/>
          </w:tcPr>
          <w:p>
            <w:pPr>
              <w:spacing w:after="20"/>
            </w:pPr>
            <w:r>
              <w:rPr>
                <w:b/>
                <w:color w:val="1C3A36"/>
                <w:sz w:val="17"/>
              </w:rPr>
              <w:t>Programme stopped</w:t>
            </w:r>
          </w:p>
        </w:tc>
        <w:tc>
          <w:tcPr>
            <w:tcW w:type="dxa" w:w="3312"/>
            <w:shd w:val="clear" w:color="auto" w:fill="EAF0EE"/>
          </w:tcPr>
          <w:p>
            <w:pPr>
              <w:spacing w:after="20"/>
            </w:pPr>
            <w:r>
              <w:rPr>
                <w:b/>
                <w:color w:val="1C3A36"/>
                <w:sz w:val="17"/>
              </w:rPr>
              <w:t>What it measures</w:t>
            </w:r>
          </w:p>
        </w:tc>
      </w:tr>
      <w:tr>
        <w:tc>
          <w:tcPr>
            <w:tcW w:type="dxa" w:w="2880"/>
          </w:tcPr>
          <w:p>
            <w:pPr>
              <w:spacing w:after="20"/>
            </w:pPr>
            <w:r>
              <w:rPr>
                <w:color w:val="1C3A36"/>
                <w:sz w:val="17"/>
              </w:rPr>
              <w:t>Cash flow — primary</w:t>
            </w:r>
          </w:p>
        </w:tc>
        <w:tc>
          <w:tcPr>
            <w:tcW w:type="dxa" w:w="1944"/>
          </w:tcPr>
          <w:p>
            <w:pPr>
              <w:spacing w:after="20"/>
              <w:jc w:val="right"/>
            </w:pPr>
            <w:r>
              <w:rPr>
                <w:color w:val="1C3A36"/>
                <w:sz w:val="17"/>
              </w:rPr>
              <w:t>-1.30</w:t>
            </w:r>
          </w:p>
        </w:tc>
        <w:tc>
          <w:tcPr>
            <w:tcW w:type="dxa" w:w="1944"/>
          </w:tcPr>
          <w:p>
            <w:pPr>
              <w:spacing w:after="20"/>
              <w:jc w:val="right"/>
            </w:pPr>
            <w:r>
              <w:rPr>
                <w:color w:val="1C3A36"/>
                <w:sz w:val="17"/>
              </w:rPr>
              <w:t>2.19</w:t>
            </w:r>
          </w:p>
        </w:tc>
        <w:tc>
          <w:tcPr>
            <w:tcW w:type="dxa" w:w="3312"/>
          </w:tcPr>
          <w:p>
            <w:pPr>
              <w:spacing w:after="20"/>
            </w:pPr>
            <w:r>
              <w:rPr>
                <w:color w:val="1C3A36"/>
                <w:sz w:val="17"/>
              </w:rPr>
              <w:t>Free cash flow to the firm on a glided cost of capital</w:t>
            </w:r>
          </w:p>
        </w:tc>
      </w:tr>
      <w:tr>
        <w:tc>
          <w:tcPr>
            <w:tcW w:type="dxa" w:w="2880"/>
          </w:tcPr>
          <w:p>
            <w:pPr>
              <w:spacing w:after="20"/>
            </w:pPr>
            <w:r>
              <w:rPr>
                <w:color w:val="1C3A36"/>
                <w:sz w:val="17"/>
              </w:rPr>
              <w:t>Book value and sustainable return</w:t>
            </w:r>
          </w:p>
        </w:tc>
        <w:tc>
          <w:tcPr>
            <w:tcW w:type="dxa" w:w="1944"/>
          </w:tcPr>
          <w:p>
            <w:pPr>
              <w:spacing w:after="20"/>
              <w:jc w:val="right"/>
            </w:pPr>
            <w:r>
              <w:rPr>
                <w:color w:val="1C3A36"/>
                <w:sz w:val="17"/>
              </w:rPr>
              <w:t>0.00</w:t>
            </w:r>
          </w:p>
        </w:tc>
        <w:tc>
          <w:tcPr>
            <w:tcW w:type="dxa" w:w="1944"/>
          </w:tcPr>
          <w:p>
            <w:pPr>
              <w:spacing w:after="20"/>
              <w:jc w:val="right"/>
            </w:pPr>
            <w:r>
              <w:rPr>
                <w:color w:val="1C3A36"/>
                <w:sz w:val="17"/>
              </w:rPr>
              <w:t>0.00</w:t>
            </w:r>
          </w:p>
        </w:tc>
        <w:tc>
          <w:tcPr>
            <w:tcW w:type="dxa" w:w="3312"/>
          </w:tcPr>
          <w:p>
            <w:pPr>
              <w:spacing w:after="20"/>
            </w:pPr>
            <w:r>
              <w:rPr>
                <w:color w:val="1C3A36"/>
                <w:sz w:val="17"/>
              </w:rPr>
              <w:t>Book equity at the multiple its own return justifies</w:t>
            </w:r>
          </w:p>
        </w:tc>
      </w:tr>
      <w:tr>
        <w:tc>
          <w:tcPr>
            <w:tcW w:type="dxa" w:w="2880"/>
          </w:tcPr>
          <w:p>
            <w:pPr>
              <w:spacing w:after="20"/>
            </w:pPr>
            <w:r>
              <w:rPr>
                <w:color w:val="1C3A36"/>
                <w:sz w:val="17"/>
              </w:rPr>
              <w:t>Relative multiples</w:t>
            </w:r>
          </w:p>
        </w:tc>
        <w:tc>
          <w:tcPr>
            <w:tcW w:type="dxa" w:w="1944"/>
          </w:tcPr>
          <w:p>
            <w:pPr>
              <w:spacing w:after="20"/>
              <w:jc w:val="right"/>
            </w:pPr>
            <w:r>
              <w:rPr>
                <w:color w:val="1C3A36"/>
                <w:sz w:val="17"/>
              </w:rPr>
              <w:t>6.91</w:t>
            </w:r>
          </w:p>
        </w:tc>
        <w:tc>
          <w:tcPr>
            <w:tcW w:type="dxa" w:w="1944"/>
          </w:tcPr>
          <w:p>
            <w:pPr>
              <w:spacing w:after="20"/>
              <w:jc w:val="right"/>
            </w:pPr>
            <w:r>
              <w:rPr>
                <w:color w:val="1C3A36"/>
                <w:sz w:val="17"/>
              </w:rPr>
              <w:t>6.91</w:t>
            </w:r>
          </w:p>
        </w:tc>
        <w:tc>
          <w:tcPr>
            <w:tcW w:type="dxa" w:w="3312"/>
          </w:tcPr>
          <w:p>
            <w:pPr>
              <w:spacing w:after="20"/>
            </w:pPr>
            <w:r>
              <w:rPr>
                <w:color w:val="1C3A36"/>
                <w:sz w:val="17"/>
              </w:rPr>
              <w:t>Forward operating profit at the Egyptian industrial range</w:t>
            </w:r>
          </w:p>
        </w:tc>
      </w:tr>
      <w:tr>
        <w:tc>
          <w:tcPr>
            <w:tcW w:type="dxa" w:w="2880"/>
          </w:tcPr>
          <w:p>
            <w:pPr>
              <w:spacing w:after="20"/>
            </w:pPr>
            <w:r>
              <w:rPr>
                <w:color w:val="1C3A36"/>
                <w:sz w:val="17"/>
              </w:rPr>
              <w:t>Normalised earnings power</w:t>
            </w:r>
          </w:p>
        </w:tc>
        <w:tc>
          <w:tcPr>
            <w:tcW w:type="dxa" w:w="1944"/>
          </w:tcPr>
          <w:p>
            <w:pPr>
              <w:spacing w:after="20"/>
              <w:jc w:val="right"/>
            </w:pPr>
            <w:r>
              <w:rPr>
                <w:color w:val="1C3A36"/>
                <w:sz w:val="17"/>
              </w:rPr>
              <w:t>3.78</w:t>
            </w:r>
          </w:p>
        </w:tc>
        <w:tc>
          <w:tcPr>
            <w:tcW w:type="dxa" w:w="1944"/>
          </w:tcPr>
          <w:p>
            <w:pPr>
              <w:spacing w:after="20"/>
              <w:jc w:val="right"/>
            </w:pPr>
            <w:r>
              <w:rPr>
                <w:color w:val="1C3A36"/>
                <w:sz w:val="17"/>
              </w:rPr>
              <w:t>3.78</w:t>
            </w:r>
          </w:p>
        </w:tc>
        <w:tc>
          <w:tcPr>
            <w:tcW w:type="dxa" w:w="3312"/>
          </w:tcPr>
          <w:p>
            <w:pPr>
              <w:spacing w:after="20"/>
            </w:pPr>
            <w:r>
              <w:rPr>
                <w:color w:val="1C3A36"/>
                <w:sz w:val="17"/>
              </w:rPr>
              <w:t>Mid-cycle profit after tax at a justified multiple</w:t>
            </w:r>
          </w:p>
        </w:tc>
      </w:tr>
      <w:tr>
        <w:tc>
          <w:tcPr>
            <w:tcW w:type="dxa" w:w="2880"/>
            <w:shd w:val="clear" w:color="auto" w:fill="F6F1E6"/>
          </w:tcPr>
          <w:p>
            <w:pPr>
              <w:spacing w:after="20"/>
            </w:pPr>
            <w:r>
              <w:rPr>
                <w:b/>
                <w:color w:val="1C3A36"/>
                <w:sz w:val="17"/>
              </w:rPr>
              <w:t>THE FIELD</w:t>
            </w:r>
          </w:p>
        </w:tc>
        <w:tc>
          <w:tcPr>
            <w:tcW w:type="dxa" w:w="1944"/>
            <w:shd w:val="clear" w:color="auto" w:fill="F6F1E6"/>
          </w:tcPr>
          <w:p>
            <w:pPr>
              <w:spacing w:after="20"/>
              <w:jc w:val="right"/>
            </w:pPr>
            <w:r>
              <w:rPr>
                <w:b/>
                <w:color w:val="1C3A36"/>
                <w:sz w:val="17"/>
              </w:rPr>
              <w:t>0.00</w:t>
            </w:r>
          </w:p>
        </w:tc>
        <w:tc>
          <w:tcPr>
            <w:tcW w:type="dxa" w:w="1944"/>
            <w:shd w:val="clear" w:color="auto" w:fill="F6F1E6"/>
          </w:tcPr>
          <w:p>
            <w:pPr>
              <w:spacing w:after="20"/>
              <w:jc w:val="right"/>
            </w:pPr>
            <w:r>
              <w:rPr>
                <w:b/>
                <w:color w:val="1C3A36"/>
                <w:sz w:val="17"/>
              </w:rPr>
              <w:t>6.91</w:t>
            </w:r>
          </w:p>
        </w:tc>
        <w:tc>
          <w:tcPr>
            <w:tcW w:type="dxa" w:w="3312"/>
            <w:shd w:val="clear" w:color="auto" w:fill="F6F1E6"/>
          </w:tcPr>
          <w:p>
            <w:pPr>
              <w:spacing w:after="20"/>
            </w:pPr>
            <w:r>
              <w:rPr>
                <w:b/>
                <w:color w:val="1C3A36"/>
                <w:sz w:val="17"/>
              </w:rPr>
              <w:t>Low to high across all four lenses</w:t>
            </w:r>
          </w:p>
        </w:tc>
      </w:tr>
    </w:tbl>
    <w:p>
      <w:pPr>
        <w:spacing w:after="40"/>
      </w:pPr>
    </w:p>
    <w:p>
      <w:pPr>
        <w:spacing w:after="200" w:before="0"/>
      </w:pPr>
      <w:r>
        <w:rPr>
          <w:b w:val="0"/>
          <w:i/>
          <w:color w:val="6E7B77"/>
          <w:sz w:val="17"/>
        </w:rPr>
        <w:t>Table 1.  Egyptian pounds per share against a traded price of EGP 13.98. The two cash-flow columns are the contested judgement and are never averaged; the other three lenses are read against both.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c>
          <w:tcPr>
            <w:tcW w:type="dxa" w:w="4608"/>
          </w:tcPr>
          <w:p>
            <w:pPr>
              <w:spacing w:after="20"/>
            </w:pPr>
            <w:r>
              <w:rPr>
                <w:color w:val="1C3A36"/>
                <w:sz w:val="17"/>
              </w:rPr>
              <w:t>Discounted cash-flow lens</w:t>
            </w:r>
          </w:p>
        </w:tc>
        <w:tc>
          <w:tcPr>
            <w:tcW w:type="dxa" w:w="2736"/>
          </w:tcPr>
          <w:p>
            <w:pPr>
              <w:spacing w:after="20"/>
              <w:jc w:val="right"/>
            </w:pPr>
            <w:r>
              <w:rPr>
                <w:color w:val="1C3A36"/>
                <w:sz w:val="17"/>
              </w:rPr>
              <w:t>113.7%</w:t>
            </w:r>
          </w:p>
        </w:tc>
        <w:tc>
          <w:tcPr>
            <w:tcW w:type="dxa" w:w="2736"/>
          </w:tcPr>
          <w:p>
            <w:pPr>
              <w:spacing w:after="20"/>
              <w:jc w:val="right"/>
            </w:pPr>
            <w:r>
              <w:rPr>
                <w:color w:val="1C3A36"/>
                <w:sz w:val="17"/>
              </w:rPr>
              <w:t>34.1%</w:t>
            </w:r>
          </w:p>
        </w:tc>
      </w:tr>
    </w:tbl>
    <w:p>
      <w:pPr>
        <w:spacing w:after="40"/>
      </w:pPr>
    </w:p>
    <w:p>
      <w:pPr>
        <w:spacing w:after="200" w:before="0"/>
      </w:pPr>
      <w:r>
        <w:rPr>
          <w:b w:val="0"/>
          <w:i/>
          <w:color w:val="6E7B77"/>
          <w:sz w:val="17"/>
        </w:rPr>
        <w:t>Table 2.  Reported beside the cash-flow lens because on this company it is the number that decides the answer. Above one hundred per cent means the five explicit years contribute negative present value: the capital programme absorbs more cash than the plant generates, so the terminal block carries the whole enterprise value and then some.</w:t>
      </w:r>
    </w:p>
    <w:p>
      <w:pPr>
        <w:spacing w:after="40"/>
        <w:jc w:val="center"/>
      </w:pPr>
      <w:r>
        <w:drawing>
          <wp:inline xmlns:a="http://schemas.openxmlformats.org/drawingml/2006/main" xmlns:pic="http://schemas.openxmlformats.org/drawingml/2006/picture">
            <wp:extent cx="6309360" cy="2575249"/>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1.  The four lenses and the two sides of the contested judgement, against the traded price.</w:t>
      </w:r>
    </w:p>
    <w:p>
      <w:pPr>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c>
          <w:tcPr>
            <w:tcW w:type="dxa" w:w="2952"/>
          </w:tcPr>
          <w:p>
            <w:pPr>
              <w:spacing w:after="20"/>
            </w:pPr>
            <w:r>
              <w:rPr>
                <w:color w:val="1C3A36"/>
                <w:sz w:val="16"/>
              </w:rPr>
              <w:t>Revenue</w:t>
            </w:r>
          </w:p>
        </w:tc>
        <w:tc>
          <w:tcPr>
            <w:tcW w:type="dxa" w:w="1426"/>
          </w:tcPr>
          <w:p>
            <w:pPr>
              <w:spacing w:after="20"/>
              <w:jc w:val="right"/>
            </w:pPr>
            <w:r>
              <w:rPr>
                <w:color w:val="1C3A36"/>
                <w:sz w:val="16"/>
              </w:rPr>
              <w:t>11,014</w:t>
            </w:r>
          </w:p>
        </w:tc>
        <w:tc>
          <w:tcPr>
            <w:tcW w:type="dxa" w:w="1426"/>
          </w:tcPr>
          <w:p>
            <w:pPr>
              <w:spacing w:after="20"/>
              <w:jc w:val="right"/>
            </w:pPr>
            <w:r>
              <w:rPr>
                <w:color w:val="1C3A36"/>
                <w:sz w:val="16"/>
              </w:rPr>
              <w:t>11,101</w:t>
            </w:r>
          </w:p>
        </w:tc>
        <w:tc>
          <w:tcPr>
            <w:tcW w:type="dxa" w:w="1426"/>
          </w:tcPr>
          <w:p>
            <w:pPr>
              <w:spacing w:after="20"/>
              <w:jc w:val="right"/>
            </w:pPr>
            <w:r>
              <w:rPr>
                <w:color w:val="1C3A36"/>
                <w:sz w:val="16"/>
              </w:rPr>
              <w:t>11,160</w:t>
            </w:r>
          </w:p>
        </w:tc>
        <w:tc>
          <w:tcPr>
            <w:tcW w:type="dxa" w:w="1426"/>
          </w:tcPr>
          <w:p>
            <w:pPr>
              <w:spacing w:after="20"/>
              <w:jc w:val="right"/>
            </w:pPr>
            <w:r>
              <w:rPr>
                <w:color w:val="1C3A36"/>
                <w:sz w:val="16"/>
              </w:rPr>
              <w:t>11,387</w:t>
            </w:r>
          </w:p>
        </w:tc>
        <w:tc>
          <w:tcPr>
            <w:tcW w:type="dxa" w:w="1426"/>
          </w:tcPr>
          <w:p>
            <w:pPr>
              <w:spacing w:after="20"/>
              <w:jc w:val="right"/>
            </w:pPr>
            <w:r>
              <w:rPr>
                <w:color w:val="1C3A36"/>
                <w:sz w:val="16"/>
              </w:rPr>
              <w:t>11,822</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4,495</w:t>
            </w:r>
          </w:p>
        </w:tc>
        <w:tc>
          <w:tcPr>
            <w:tcW w:type="dxa" w:w="1426"/>
            <w:shd w:val="clear" w:color="auto" w:fill="F6F1E6"/>
          </w:tcPr>
          <w:p>
            <w:pPr>
              <w:spacing w:after="20"/>
              <w:jc w:val="right"/>
            </w:pPr>
            <w:r>
              <w:rPr>
                <w:b/>
                <w:color w:val="1C3A36"/>
                <w:sz w:val="16"/>
              </w:rPr>
              <w:t>4,169</w:t>
            </w:r>
          </w:p>
        </w:tc>
        <w:tc>
          <w:tcPr>
            <w:tcW w:type="dxa" w:w="1426"/>
            <w:shd w:val="clear" w:color="auto" w:fill="F6F1E6"/>
          </w:tcPr>
          <w:p>
            <w:pPr>
              <w:spacing w:after="20"/>
              <w:jc w:val="right"/>
            </w:pPr>
            <w:r>
              <w:rPr>
                <w:b/>
                <w:color w:val="1C3A36"/>
                <w:sz w:val="16"/>
              </w:rPr>
              <w:t>3,803</w:t>
            </w:r>
          </w:p>
        </w:tc>
        <w:tc>
          <w:tcPr>
            <w:tcW w:type="dxa" w:w="1426"/>
            <w:shd w:val="clear" w:color="auto" w:fill="F6F1E6"/>
          </w:tcPr>
          <w:p>
            <w:pPr>
              <w:spacing w:after="20"/>
              <w:jc w:val="right"/>
            </w:pPr>
            <w:r>
              <w:rPr>
                <w:b/>
                <w:color w:val="1C3A36"/>
                <w:sz w:val="16"/>
              </w:rPr>
              <w:t>3,582</w:t>
            </w:r>
          </w:p>
        </w:tc>
        <w:tc>
          <w:tcPr>
            <w:tcW w:type="dxa" w:w="1426"/>
            <w:shd w:val="clear" w:color="auto" w:fill="F6F1E6"/>
          </w:tcPr>
          <w:p>
            <w:pPr>
              <w:spacing w:after="20"/>
              <w:jc w:val="right"/>
            </w:pPr>
            <w:r>
              <w:rPr>
                <w:b/>
                <w:color w:val="1C3A36"/>
                <w:sz w:val="16"/>
              </w:rPr>
              <w:t>3,534</w:t>
            </w:r>
          </w:p>
        </w:tc>
      </w:tr>
      <w:t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906</w:t>
            </w:r>
          </w:p>
        </w:tc>
        <w:tc>
          <w:tcPr>
            <w:tcW w:type="dxa" w:w="1426"/>
          </w:tcPr>
          <w:p>
            <w:pPr>
              <w:spacing w:after="20"/>
              <w:jc w:val="right"/>
            </w:pPr>
            <w:r>
              <w:rPr>
                <w:color w:val="1C3A36"/>
                <w:sz w:val="16"/>
              </w:rPr>
              <w:t>921</w:t>
            </w:r>
          </w:p>
        </w:tc>
        <w:tc>
          <w:tcPr>
            <w:tcW w:type="dxa" w:w="1426"/>
          </w:tcPr>
          <w:p>
            <w:pPr>
              <w:spacing w:after="20"/>
              <w:jc w:val="right"/>
            </w:pPr>
            <w:r>
              <w:rPr>
                <w:color w:val="1C3A36"/>
                <w:sz w:val="16"/>
              </w:rPr>
              <w:t>937</w:t>
            </w:r>
          </w:p>
        </w:tc>
        <w:tc>
          <w:tcPr>
            <w:tcW w:type="dxa" w:w="1426"/>
          </w:tcPr>
          <w:p>
            <w:pPr>
              <w:spacing w:after="20"/>
              <w:jc w:val="right"/>
            </w:pPr>
            <w:r>
              <w:rPr>
                <w:color w:val="1C3A36"/>
                <w:sz w:val="16"/>
              </w:rPr>
              <w:t>952</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3,605</w:t>
            </w:r>
          </w:p>
        </w:tc>
        <w:tc>
          <w:tcPr>
            <w:tcW w:type="dxa" w:w="1426"/>
            <w:shd w:val="clear" w:color="auto" w:fill="F6F1E6"/>
          </w:tcPr>
          <w:p>
            <w:pPr>
              <w:spacing w:after="20"/>
              <w:jc w:val="right"/>
            </w:pPr>
            <w:r>
              <w:rPr>
                <w:b/>
                <w:color w:val="1C3A36"/>
                <w:sz w:val="16"/>
              </w:rPr>
              <w:t>3,263</w:t>
            </w:r>
          </w:p>
        </w:tc>
        <w:tc>
          <w:tcPr>
            <w:tcW w:type="dxa" w:w="1426"/>
            <w:shd w:val="clear" w:color="auto" w:fill="F6F1E6"/>
          </w:tcPr>
          <w:p>
            <w:pPr>
              <w:spacing w:after="20"/>
              <w:jc w:val="right"/>
            </w:pPr>
            <w:r>
              <w:rPr>
                <w:b/>
                <w:color w:val="1C3A36"/>
                <w:sz w:val="16"/>
              </w:rPr>
              <w:t>2,882</w:t>
            </w:r>
          </w:p>
        </w:tc>
        <w:tc>
          <w:tcPr>
            <w:tcW w:type="dxa" w:w="1426"/>
            <w:shd w:val="clear" w:color="auto" w:fill="F6F1E6"/>
          </w:tcPr>
          <w:p>
            <w:pPr>
              <w:spacing w:after="20"/>
              <w:jc w:val="right"/>
            </w:pPr>
            <w:r>
              <w:rPr>
                <w:b/>
                <w:color w:val="1C3A36"/>
                <w:sz w:val="16"/>
              </w:rPr>
              <w:t>2,645</w:t>
            </w:r>
          </w:p>
        </w:tc>
        <w:tc>
          <w:tcPr>
            <w:tcW w:type="dxa" w:w="1426"/>
            <w:shd w:val="clear" w:color="auto" w:fill="F6F1E6"/>
          </w:tcPr>
          <w:p>
            <w:pPr>
              <w:spacing w:after="20"/>
              <w:jc w:val="right"/>
            </w:pPr>
            <w:r>
              <w:rPr>
                <w:b/>
                <w:color w:val="1C3A36"/>
                <w:sz w:val="16"/>
              </w:rPr>
              <w:t>2,582</w:t>
            </w:r>
          </w:p>
        </w:tc>
      </w:tr>
      <w:tr>
        <w:tc>
          <w:tcPr>
            <w:tcW w:type="dxa" w:w="2952"/>
          </w:tcPr>
          <w:p>
            <w:pPr>
              <w:spacing w:after="20"/>
            </w:pPr>
            <w:r>
              <w:rPr>
                <w:color w:val="1C3A36"/>
                <w:sz w:val="16"/>
              </w:rPr>
              <w:t>NOPAT — EBIT after tax</w:t>
            </w:r>
          </w:p>
        </w:tc>
        <w:tc>
          <w:tcPr>
            <w:tcW w:type="dxa" w:w="1426"/>
          </w:tcPr>
          <w:p>
            <w:pPr>
              <w:spacing w:after="20"/>
              <w:jc w:val="right"/>
            </w:pPr>
            <w:r>
              <w:rPr>
                <w:color w:val="1C3A36"/>
                <w:sz w:val="16"/>
              </w:rPr>
              <w:t>2,794</w:t>
            </w:r>
          </w:p>
        </w:tc>
        <w:tc>
          <w:tcPr>
            <w:tcW w:type="dxa" w:w="1426"/>
          </w:tcPr>
          <w:p>
            <w:pPr>
              <w:spacing w:after="20"/>
              <w:jc w:val="right"/>
            </w:pPr>
            <w:r>
              <w:rPr>
                <w:color w:val="1C3A36"/>
                <w:sz w:val="16"/>
              </w:rPr>
              <w:t>2,529</w:t>
            </w:r>
          </w:p>
        </w:tc>
        <w:tc>
          <w:tcPr>
            <w:tcW w:type="dxa" w:w="1426"/>
          </w:tcPr>
          <w:p>
            <w:pPr>
              <w:spacing w:after="20"/>
              <w:jc w:val="right"/>
            </w:pPr>
            <w:r>
              <w:rPr>
                <w:color w:val="1C3A36"/>
                <w:sz w:val="16"/>
              </w:rPr>
              <w:t>2,233</w:t>
            </w:r>
          </w:p>
        </w:tc>
        <w:tc>
          <w:tcPr>
            <w:tcW w:type="dxa" w:w="1426"/>
          </w:tcPr>
          <w:p>
            <w:pPr>
              <w:spacing w:after="20"/>
              <w:jc w:val="right"/>
            </w:pPr>
            <w:r>
              <w:rPr>
                <w:color w:val="1C3A36"/>
                <w:sz w:val="16"/>
              </w:rPr>
              <w:t>2,050</w:t>
            </w:r>
          </w:p>
        </w:tc>
        <w:tc>
          <w:tcPr>
            <w:tcW w:type="dxa" w:w="1426"/>
          </w:tcPr>
          <w:p>
            <w:pPr>
              <w:spacing w:after="20"/>
              <w:jc w:val="right"/>
            </w:pPr>
            <w:r>
              <w:rPr>
                <w:color w:val="1C3A36"/>
                <w:sz w:val="16"/>
              </w:rPr>
              <w:t>2,001</w:t>
            </w:r>
          </w:p>
        </w:tc>
      </w:tr>
      <w:tr>
        <w:tc>
          <w:tcPr>
            <w:tcW w:type="dxa" w:w="2952"/>
          </w:tcPr>
          <w:p>
            <w:pPr>
              <w:spacing w:after="20"/>
            </w:pPr>
            <w:r>
              <w:rPr>
                <w:color w:val="1C3A36"/>
                <w:sz w:val="16"/>
              </w:rPr>
              <w:t>Add back depreciation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906</w:t>
            </w:r>
          </w:p>
        </w:tc>
        <w:tc>
          <w:tcPr>
            <w:tcW w:type="dxa" w:w="1426"/>
          </w:tcPr>
          <w:p>
            <w:pPr>
              <w:spacing w:after="20"/>
              <w:jc w:val="right"/>
            </w:pPr>
            <w:r>
              <w:rPr>
                <w:color w:val="1C3A36"/>
                <w:sz w:val="16"/>
              </w:rPr>
              <w:t>921</w:t>
            </w:r>
          </w:p>
        </w:tc>
        <w:tc>
          <w:tcPr>
            <w:tcW w:type="dxa" w:w="1426"/>
          </w:tcPr>
          <w:p>
            <w:pPr>
              <w:spacing w:after="20"/>
              <w:jc w:val="right"/>
            </w:pPr>
            <w:r>
              <w:rPr>
                <w:color w:val="1C3A36"/>
                <w:sz w:val="16"/>
              </w:rPr>
              <w:t>937</w:t>
            </w:r>
          </w:p>
        </w:tc>
        <w:tc>
          <w:tcPr>
            <w:tcW w:type="dxa" w:w="1426"/>
          </w:tcPr>
          <w:p>
            <w:pPr>
              <w:spacing w:after="20"/>
              <w:jc w:val="right"/>
            </w:pPr>
            <w:r>
              <w:rPr>
                <w:color w:val="1C3A36"/>
                <w:sz w:val="16"/>
              </w:rPr>
              <w:t>952</w:t>
            </w:r>
          </w:p>
        </w:tc>
      </w:tr>
      <w:tr>
        <w:tc>
          <w:tcPr>
            <w:tcW w:type="dxa" w:w="2952"/>
          </w:tcPr>
          <w:p>
            <w:pPr>
              <w:spacing w:after="20"/>
            </w:pPr>
            <w:r>
              <w:rPr>
                <w:color w:val="1C3A36"/>
                <w:sz w:val="16"/>
              </w:rPr>
              <w:t>Less capital expenditure</w:t>
            </w:r>
          </w:p>
        </w:tc>
        <w:tc>
          <w:tcPr>
            <w:tcW w:type="dxa" w:w="1426"/>
          </w:tcPr>
          <w:p>
            <w:pPr>
              <w:spacing w:after="20"/>
              <w:jc w:val="right"/>
            </w:pPr>
            <w:r>
              <w:rPr>
                <w:color w:val="1C3A36"/>
                <w:sz w:val="16"/>
              </w:rPr>
              <w:t>-3,330</w:t>
            </w:r>
          </w:p>
        </w:tc>
        <w:tc>
          <w:tcPr>
            <w:tcW w:type="dxa" w:w="1426"/>
          </w:tcPr>
          <w:p>
            <w:pPr>
              <w:spacing w:after="20"/>
              <w:jc w:val="right"/>
            </w:pPr>
            <w:r>
              <w:rPr>
                <w:color w:val="1C3A36"/>
                <w:sz w:val="16"/>
              </w:rPr>
              <w:t>-3,833</w:t>
            </w:r>
          </w:p>
        </w:tc>
        <w:tc>
          <w:tcPr>
            <w:tcW w:type="dxa" w:w="1426"/>
          </w:tcPr>
          <w:p>
            <w:pPr>
              <w:spacing w:after="20"/>
              <w:jc w:val="right"/>
            </w:pPr>
            <w:r>
              <w:rPr>
                <w:color w:val="1C3A36"/>
                <w:sz w:val="16"/>
              </w:rPr>
              <w:t>-3,835</w:t>
            </w:r>
          </w:p>
        </w:tc>
        <w:tc>
          <w:tcPr>
            <w:tcW w:type="dxa" w:w="1426"/>
          </w:tcPr>
          <w:p>
            <w:pPr>
              <w:spacing w:after="20"/>
              <w:jc w:val="right"/>
            </w:pPr>
            <w:r>
              <w:rPr>
                <w:color w:val="1C3A36"/>
                <w:sz w:val="16"/>
              </w:rPr>
              <w:t>-3,342</w:t>
            </w:r>
          </w:p>
        </w:tc>
        <w:tc>
          <w:tcPr>
            <w:tcW w:type="dxa" w:w="1426"/>
          </w:tcPr>
          <w:p>
            <w:pPr>
              <w:spacing w:after="20"/>
              <w:jc w:val="right"/>
            </w:pPr>
            <w:r>
              <w:rPr>
                <w:color w:val="1C3A36"/>
                <w:sz w:val="16"/>
              </w:rPr>
              <w:t>-2,355</w:t>
            </w:r>
          </w:p>
        </w:tc>
      </w:tr>
      <w:tr>
        <w:tc>
          <w:tcPr>
            <w:tcW w:type="dxa" w:w="2952"/>
          </w:tcPr>
          <w:p>
            <w:pPr>
              <w:spacing w:after="20"/>
            </w:pPr>
            <w:r>
              <w:rPr>
                <w:color w:val="1C3A36"/>
                <w:sz w:val="16"/>
              </w:rPr>
              <w:t>Less change in working capital</w:t>
            </w:r>
          </w:p>
        </w:tc>
        <w:tc>
          <w:tcPr>
            <w:tcW w:type="dxa" w:w="1426"/>
          </w:tcPr>
          <w:p>
            <w:pPr>
              <w:spacing w:after="20"/>
              <w:jc w:val="right"/>
            </w:pPr>
            <w:r>
              <w:rPr>
                <w:color w:val="1C3A36"/>
                <w:sz w:val="16"/>
              </w:rPr>
              <w:t>-94</w:t>
            </w:r>
          </w:p>
        </w:tc>
        <w:tc>
          <w:tcPr>
            <w:tcW w:type="dxa" w:w="1426"/>
          </w:tcPr>
          <w:p>
            <w:pPr>
              <w:spacing w:after="20"/>
              <w:jc w:val="right"/>
            </w:pPr>
            <w:r>
              <w:rPr>
                <w:color w:val="1C3A36"/>
                <w:sz w:val="16"/>
              </w:rPr>
              <w:t>-87</w:t>
            </w:r>
          </w:p>
        </w:tc>
        <w:tc>
          <w:tcPr>
            <w:tcW w:type="dxa" w:w="1426"/>
          </w:tcPr>
          <w:p>
            <w:pPr>
              <w:spacing w:after="20"/>
              <w:jc w:val="right"/>
            </w:pPr>
            <w:r>
              <w:rPr>
                <w:color w:val="1C3A36"/>
                <w:sz w:val="16"/>
              </w:rPr>
              <w:t>-86</w:t>
            </w:r>
          </w:p>
        </w:tc>
        <w:tc>
          <w:tcPr>
            <w:tcW w:type="dxa" w:w="1426"/>
          </w:tcPr>
          <w:p>
            <w:pPr>
              <w:spacing w:after="20"/>
              <w:jc w:val="right"/>
            </w:pPr>
            <w:r>
              <w:rPr>
                <w:color w:val="1C3A36"/>
                <w:sz w:val="16"/>
              </w:rPr>
              <w:t>-101</w:t>
            </w:r>
          </w:p>
        </w:tc>
        <w:tc>
          <w:tcPr>
            <w:tcW w:type="dxa" w:w="1426"/>
          </w:tcPr>
          <w:p>
            <w:pPr>
              <w:spacing w:after="20"/>
              <w:jc w:val="right"/>
            </w:pPr>
            <w:r>
              <w:rPr>
                <w:color w:val="1C3A36"/>
                <w:sz w:val="16"/>
              </w:rPr>
              <w:t>-123</w:t>
            </w:r>
          </w:p>
        </w:tc>
      </w:tr>
      <w:t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259</w:t>
            </w:r>
          </w:p>
        </w:tc>
        <w:tc>
          <w:tcPr>
            <w:tcW w:type="dxa" w:w="1426"/>
            <w:shd w:val="clear" w:color="auto" w:fill="F6F1E6"/>
          </w:tcPr>
          <w:p>
            <w:pPr>
              <w:spacing w:after="20"/>
              <w:jc w:val="right"/>
            </w:pPr>
            <w:r>
              <w:rPr>
                <w:b/>
                <w:color w:val="1C3A36"/>
                <w:sz w:val="16"/>
              </w:rPr>
              <w:t>-485</w:t>
            </w:r>
          </w:p>
        </w:tc>
        <w:tc>
          <w:tcPr>
            <w:tcW w:type="dxa" w:w="1426"/>
            <w:shd w:val="clear" w:color="auto" w:fill="F6F1E6"/>
          </w:tcPr>
          <w:p>
            <w:pPr>
              <w:spacing w:after="20"/>
              <w:jc w:val="right"/>
            </w:pPr>
            <w:r>
              <w:rPr>
                <w:b/>
                <w:color w:val="1C3A36"/>
                <w:sz w:val="16"/>
              </w:rPr>
              <w:t>-766</w:t>
            </w:r>
          </w:p>
        </w:tc>
        <w:tc>
          <w:tcPr>
            <w:tcW w:type="dxa" w:w="1426"/>
            <w:shd w:val="clear" w:color="auto" w:fill="F6F1E6"/>
          </w:tcPr>
          <w:p>
            <w:pPr>
              <w:spacing w:after="20"/>
              <w:jc w:val="right"/>
            </w:pPr>
            <w:r>
              <w:rPr>
                <w:b/>
                <w:color w:val="1C3A36"/>
                <w:sz w:val="16"/>
              </w:rPr>
              <w:t>-456</w:t>
            </w:r>
          </w:p>
        </w:tc>
        <w:tc>
          <w:tcPr>
            <w:tcW w:type="dxa" w:w="1426"/>
            <w:shd w:val="clear" w:color="auto" w:fill="F6F1E6"/>
          </w:tcPr>
          <w:p>
            <w:pPr>
              <w:spacing w:after="20"/>
              <w:jc w:val="right"/>
            </w:pPr>
            <w:r>
              <w:rPr>
                <w:b/>
                <w:color w:val="1C3A36"/>
                <w:sz w:val="16"/>
              </w:rPr>
              <w:t>475</w:t>
            </w:r>
          </w:p>
        </w:tc>
      </w:tr>
      <w:t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24.97%</w:t>
            </w:r>
          </w:p>
        </w:tc>
        <w:tc>
          <w:tcPr>
            <w:tcW w:type="dxa" w:w="1426"/>
          </w:tcPr>
          <w:p>
            <w:pPr>
              <w:spacing w:after="20"/>
              <w:jc w:val="right"/>
            </w:pPr>
            <w:r>
              <w:rPr>
                <w:color w:val="1C3A36"/>
                <w:sz w:val="16"/>
              </w:rPr>
              <w:t>24.05%</w:t>
            </w:r>
          </w:p>
        </w:tc>
        <w:tc>
          <w:tcPr>
            <w:tcW w:type="dxa" w:w="1426"/>
          </w:tcPr>
          <w:p>
            <w:pPr>
              <w:spacing w:after="20"/>
              <w:jc w:val="right"/>
            </w:pPr>
            <w:r>
              <w:rPr>
                <w:color w:val="1C3A36"/>
                <w:sz w:val="16"/>
              </w:rPr>
              <w:t>23.13%</w:t>
            </w:r>
          </w:p>
        </w:tc>
        <w:tc>
          <w:tcPr>
            <w:tcW w:type="dxa" w:w="1426"/>
          </w:tcPr>
          <w:p>
            <w:pPr>
              <w:spacing w:after="20"/>
              <w:jc w:val="right"/>
            </w:pPr>
            <w:r>
              <w:rPr>
                <w:color w:val="1C3A36"/>
                <w:sz w:val="16"/>
              </w:rPr>
              <w:t>22.21%</w:t>
            </w:r>
          </w:p>
        </w:tc>
        <w:tc>
          <w:tcPr>
            <w:tcW w:type="dxa" w:w="1426"/>
          </w:tcPr>
          <w:p>
            <w:pPr>
              <w:spacing w:after="20"/>
              <w:jc w:val="right"/>
            </w:pPr>
            <w:r>
              <w:rPr>
                <w:color w:val="1C3A36"/>
                <w:sz w:val="16"/>
              </w:rPr>
              <w:t>21.29%</w:t>
            </w:r>
          </w:p>
        </w:tc>
      </w:tr>
      <w:tr>
        <w:tc>
          <w:tcPr>
            <w:tcW w:type="dxa" w:w="2952"/>
          </w:tcPr>
          <w:p>
            <w:pPr>
              <w:spacing w:after="20"/>
            </w:pPr>
            <w:r>
              <w:rPr>
                <w:color w:val="1C3A36"/>
                <w:sz w:val="16"/>
              </w:rPr>
              <w:t>Discount factor</w:t>
            </w:r>
          </w:p>
        </w:tc>
        <w:tc>
          <w:tcPr>
            <w:tcW w:type="dxa" w:w="1426"/>
          </w:tcPr>
          <w:p>
            <w:pPr>
              <w:spacing w:after="20"/>
              <w:jc w:val="right"/>
            </w:pPr>
            <w:r>
              <w:rPr>
                <w:color w:val="1C3A36"/>
                <w:sz w:val="16"/>
              </w:rPr>
              <w:t>0.8002</w:t>
            </w:r>
          </w:p>
        </w:tc>
        <w:tc>
          <w:tcPr>
            <w:tcW w:type="dxa" w:w="1426"/>
          </w:tcPr>
          <w:p>
            <w:pPr>
              <w:spacing w:after="20"/>
              <w:jc w:val="right"/>
            </w:pPr>
            <w:r>
              <w:rPr>
                <w:color w:val="1C3A36"/>
                <w:sz w:val="16"/>
              </w:rPr>
              <w:t>0.6450</w:t>
            </w:r>
          </w:p>
        </w:tc>
        <w:tc>
          <w:tcPr>
            <w:tcW w:type="dxa" w:w="1426"/>
          </w:tcPr>
          <w:p>
            <w:pPr>
              <w:spacing w:after="20"/>
              <w:jc w:val="right"/>
            </w:pPr>
            <w:r>
              <w:rPr>
                <w:color w:val="1C3A36"/>
                <w:sz w:val="16"/>
              </w:rPr>
              <w:t>0.5239</w:t>
            </w:r>
          </w:p>
        </w:tc>
        <w:tc>
          <w:tcPr>
            <w:tcW w:type="dxa" w:w="1426"/>
          </w:tcPr>
          <w:p>
            <w:pPr>
              <w:spacing w:after="20"/>
              <w:jc w:val="right"/>
            </w:pPr>
            <w:r>
              <w:rPr>
                <w:color w:val="1C3A36"/>
                <w:sz w:val="16"/>
              </w:rPr>
              <w:t>0.4287</w:t>
            </w:r>
          </w:p>
        </w:tc>
        <w:tc>
          <w:tcPr>
            <w:tcW w:type="dxa" w:w="1426"/>
          </w:tcPr>
          <w:p>
            <w:pPr>
              <w:spacing w:after="20"/>
              <w:jc w:val="right"/>
            </w:pPr>
            <w:r>
              <w:rPr>
                <w:color w:val="1C3A36"/>
                <w:sz w:val="16"/>
              </w:rPr>
              <w:t>0.3534</w:t>
            </w:r>
          </w:p>
        </w:tc>
      </w:tr>
      <w:t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208</w:t>
            </w:r>
          </w:p>
        </w:tc>
        <w:tc>
          <w:tcPr>
            <w:tcW w:type="dxa" w:w="1426"/>
            <w:shd w:val="clear" w:color="auto" w:fill="F6F1E6"/>
          </w:tcPr>
          <w:p>
            <w:pPr>
              <w:spacing w:after="20"/>
              <w:jc w:val="right"/>
            </w:pPr>
            <w:r>
              <w:rPr>
                <w:b/>
                <w:color w:val="1C3A36"/>
                <w:sz w:val="16"/>
              </w:rPr>
              <w:t>-313</w:t>
            </w:r>
          </w:p>
        </w:tc>
        <w:tc>
          <w:tcPr>
            <w:tcW w:type="dxa" w:w="1426"/>
            <w:shd w:val="clear" w:color="auto" w:fill="F6F1E6"/>
          </w:tcPr>
          <w:p>
            <w:pPr>
              <w:spacing w:after="20"/>
              <w:jc w:val="right"/>
            </w:pPr>
            <w:r>
              <w:rPr>
                <w:b/>
                <w:color w:val="1C3A36"/>
                <w:sz w:val="16"/>
              </w:rPr>
              <w:t>-402</w:t>
            </w:r>
          </w:p>
        </w:tc>
        <w:tc>
          <w:tcPr>
            <w:tcW w:type="dxa" w:w="1426"/>
            <w:shd w:val="clear" w:color="auto" w:fill="F6F1E6"/>
          </w:tcPr>
          <w:p>
            <w:pPr>
              <w:spacing w:after="20"/>
              <w:jc w:val="right"/>
            </w:pPr>
            <w:r>
              <w:rPr>
                <w:b/>
                <w:color w:val="1C3A36"/>
                <w:sz w:val="16"/>
              </w:rPr>
              <w:t>-195</w:t>
            </w:r>
          </w:p>
        </w:tc>
        <w:tc>
          <w:tcPr>
            <w:tcW w:type="dxa" w:w="1426"/>
            <w:shd w:val="clear" w:color="auto" w:fill="F6F1E6"/>
          </w:tcPr>
          <w:p>
            <w:pPr>
              <w:spacing w:after="20"/>
              <w:jc w:val="right"/>
            </w:pPr>
            <w:r>
              <w:rPr>
                <w:b/>
                <w:color w:val="1C3A36"/>
                <w:sz w:val="16"/>
              </w:rPr>
              <w:t>168</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-534</w:t>
            </w:r>
          </w:p>
        </w:tc>
        <w:tc>
          <w:tcPr>
            <w:tcW w:type="dxa" w:w="2808"/>
          </w:tcPr>
          <w:p>
            <w:pPr>
              <w:spacing w:after="20"/>
              <w:jc w:val="right"/>
            </w:pPr>
            <w:r>
              <w:rPr>
                <w:color w:val="1C3A36"/>
                <w:sz w:val="17"/>
              </w:rPr>
              <w:t>7,150</w:t>
            </w:r>
          </w:p>
        </w:tc>
      </w:tr>
      <w:t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4,440</w:t>
            </w:r>
          </w:p>
        </w:tc>
        <w:tc>
          <w:tcPr>
            <w:tcW w:type="dxa" w:w="2808"/>
          </w:tcPr>
          <w:p>
            <w:pPr>
              <w:spacing w:after="20"/>
              <w:jc w:val="right"/>
            </w:pPr>
            <w:r>
              <w:rPr>
                <w:color w:val="1C3A36"/>
                <w:sz w:val="17"/>
              </w:rPr>
              <w:t>3,702</w:t>
            </w:r>
          </w:p>
        </w:tc>
      </w:tr>
      <w:t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3,906</w:t>
            </w:r>
          </w:p>
        </w:tc>
        <w:tc>
          <w:tcPr>
            <w:tcW w:type="dxa" w:w="2808"/>
            <w:shd w:val="clear" w:color="auto" w:fill="F6F1E6"/>
          </w:tcPr>
          <w:p>
            <w:pPr>
              <w:spacing w:after="20"/>
              <w:jc w:val="right"/>
            </w:pPr>
            <w:r>
              <w:rPr>
                <w:b/>
                <w:color w:val="1C3A36"/>
                <w:sz w:val="17"/>
              </w:rPr>
              <w:t>10,853</w:t>
            </w:r>
          </w:p>
        </w:tc>
      </w:tr>
      <w:t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113.7%</w:t>
            </w:r>
          </w:p>
        </w:tc>
        <w:tc>
          <w:tcPr>
            <w:tcW w:type="dxa" w:w="2808"/>
            <w:shd w:val="clear" w:color="auto" w:fill="F6F1E6"/>
          </w:tcPr>
          <w:p>
            <w:pPr>
              <w:spacing w:after="20"/>
              <w:jc w:val="right"/>
            </w:pPr>
            <w:r>
              <w:rPr>
                <w:b/>
                <w:color w:val="1C3A36"/>
                <w:sz w:val="17"/>
              </w:rPr>
              <w:t>34.1%</w:t>
            </w:r>
          </w:p>
        </w:tc>
      </w:tr>
      <w:t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-2,589</w:t>
            </w:r>
          </w:p>
        </w:tc>
        <w:tc>
          <w:tcPr>
            <w:tcW w:type="dxa" w:w="2808"/>
            <w:shd w:val="clear" w:color="auto" w:fill="F6F1E6"/>
          </w:tcPr>
          <w:p>
            <w:pPr>
              <w:spacing w:after="20"/>
              <w:jc w:val="right"/>
            </w:pPr>
            <w:r>
              <w:rPr>
                <w:b/>
                <w:color w:val="1C3A36"/>
                <w:sz w:val="17"/>
              </w:rPr>
              <w:t>4,358</w:t>
            </w:r>
          </w:p>
        </w:tc>
      </w:tr>
      <w:t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-1.30</w:t>
            </w:r>
          </w:p>
        </w:tc>
        <w:tc>
          <w:tcPr>
            <w:tcW w:type="dxa" w:w="2808"/>
            <w:shd w:val="clear" w:color="auto" w:fill="F6F1E6"/>
          </w:tcPr>
          <w:p>
            <w:pPr>
              <w:spacing w:after="20"/>
              <w:jc w:val="right"/>
            </w:pPr>
            <w:r>
              <w:rPr>
                <w:b/>
                <w:color w:val="1C3A36"/>
                <w:sz w:val="17"/>
              </w:rPr>
              <w:t>2.19</w:t>
            </w:r>
          </w:p>
        </w:tc>
      </w:tr>
    </w:tbl>
    <w:p>
      <w:pPr>
        <w:spacing w:after="40"/>
      </w:pPr>
    </w:p>
    <w:p>
      <w:pPr>
        <w:spacing w:after="200" w:before="0"/>
      </w:pPr>
      <w:r>
        <w:rPr>
          <w:b w:val="0"/>
          <w:i/>
          <w:color w:val="6E7B77"/>
          <w:sz w:val="17"/>
        </w:rPr>
        <w:t>Table 5.  Net debt is larger than the enterprise value the cash flows support in the carried-through column. That is why the equity value there is negative, and it is stated rather than clipped to zero.</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c>
          <w:tcPr>
            <w:tcW w:type="dxa" w:w="6336"/>
          </w:tcPr>
          <w:p>
            <w:pPr>
              <w:spacing w:after="20"/>
            </w:pPr>
            <w:r>
              <w:rPr>
                <w:color w:val="1C3A36"/>
                <w:sz w:val="17"/>
              </w:rPr>
              <w:t>Cost of equity</w:t>
            </w:r>
          </w:p>
        </w:tc>
        <w:tc>
          <w:tcPr>
            <w:tcW w:type="dxa" w:w="3600"/>
          </w:tcPr>
          <w:p>
            <w:pPr>
              <w:spacing w:after="20"/>
              <w:jc w:val="right"/>
            </w:pPr>
            <w:r>
              <w:rPr>
                <w:color w:val="1C3A36"/>
                <w:sz w:val="17"/>
              </w:rPr>
              <w:t>31.30%</w:t>
            </w:r>
          </w:p>
        </w:tc>
      </w:tr>
      <w:t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1.71x</w:t>
            </w:r>
          </w:p>
        </w:tc>
      </w:tr>
    </w:tbl>
    <w:p>
      <w:pPr>
        <w:spacing w:after="40"/>
      </w:pPr>
    </w:p>
    <w:p>
      <w:pPr>
        <w:spacing w:after="200" w:before="0"/>
      </w:pPr>
      <w:r>
        <w:rPr>
          <w:b w:val="0"/>
          <w:i/>
          <w:color w:val="6E7B77"/>
          <w:sz w:val="17"/>
        </w:rPr>
        <w:t>Table 6.  The justified multiple of book is negative before flooring, and that is the finding rather than a rounding artefact: a sustainable return of 6.9% does not cover even nominal maintenance growth of 7.0%, let alone a 31.30% cost of equity. On this lens the book is worth nothing beyond what the assets would fetch, and the market pays 1.71 times it.</w:t>
      </w:r>
    </w:p>
    <w:p>
      <w:pPr>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3.0 and 6.0 times operating profit before depreciation. On forward EBITDA of EGP 4,495 million the mid-point implies an enterprise value of EGP 20,228 million and, after the debt and the non-operating stack, EGP 6.91 a share — a range of EGP 3.52 to EGP 10.31 across the band.</w:t>
      </w:r>
    </w:p>
    <w:p>
      <w:pPr>
        <w:spacing w:after="120" w:before="0"/>
      </w:pPr>
      <w:r>
        <w:rPr>
          <w:b/>
          <w:i w:val="0"/>
          <w:color w:val="1C3A36"/>
          <w:sz w:val="21"/>
        </w:rPr>
        <w:t>The two numbers worth putting side by side are these: at the traded price the shares change hands at 8.4 times that same forward EBITDA, while the cash-flow lens values them at 0.9 times. One is above the Egyptian industrial band and the other below it. That is the whole disagreement in a single number, and it is reported rather than resolved.</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c>
          <w:tcPr>
            <w:tcW w:type="dxa" w:w="6336"/>
          </w:tcPr>
          <w:p>
            <w:pPr>
              <w:spacing w:after="20"/>
            </w:pPr>
            <w:r>
              <w:rPr>
                <w:color w:val="1C3A36"/>
                <w:sz w:val="17"/>
              </w:rPr>
              <w:t>Mid-cycle revenue</w:t>
            </w:r>
          </w:p>
        </w:tc>
        <w:tc>
          <w:tcPr>
            <w:tcW w:type="dxa" w:w="3600"/>
          </w:tcPr>
          <w:p>
            <w:pPr>
              <w:spacing w:after="20"/>
              <w:jc w:val="right"/>
            </w:pPr>
            <w:r>
              <w:rPr>
                <w:color w:val="1C3A36"/>
                <w:sz w:val="17"/>
              </w:rPr>
              <w:t>9,404</w:t>
            </w:r>
          </w:p>
        </w:tc>
      </w:tr>
      <w:tr>
        <w:tc>
          <w:tcPr>
            <w:tcW w:type="dxa" w:w="6336"/>
          </w:tcPr>
          <w:p>
            <w:pPr>
              <w:spacing w:after="20"/>
            </w:pPr>
            <w:r>
              <w:rPr>
                <w:color w:val="1C3A36"/>
                <w:sz w:val="17"/>
              </w:rPr>
              <w:t>Natural gas</w:t>
            </w:r>
          </w:p>
        </w:tc>
        <w:tc>
          <w:tcPr>
            <w:tcW w:type="dxa" w:w="3600"/>
          </w:tcPr>
          <w:p>
            <w:pPr>
              <w:spacing w:after="20"/>
              <w:jc w:val="right"/>
            </w:pPr>
            <w:r>
              <w:rPr>
                <w:color w:val="1C3A36"/>
                <w:sz w:val="17"/>
              </w:rPr>
              <w:t>-3,877</w:t>
            </w:r>
          </w:p>
        </w:tc>
      </w:tr>
      <w:t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2,697</w:t>
            </w:r>
          </w:p>
        </w:tc>
      </w:tr>
      <w:t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1,400</w:t>
            </w:r>
          </w:p>
        </w:tc>
      </w:tr>
      <w:t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13,996</w:t>
            </w:r>
          </w:p>
        </w:tc>
      </w:tr>
      <w:t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3.78</w:t>
            </w:r>
          </w:p>
        </w:tc>
      </w:tr>
      <w:tr>
        <w:tc>
          <w:tcPr>
            <w:tcW w:type="dxa" w:w="6336"/>
          </w:tcPr>
          <w:p>
            <w:pPr>
              <w:spacing w:after="20"/>
            </w:pPr>
            <w:r>
              <w:rPr>
                <w:color w:val="1C3A36"/>
                <w:sz w:val="17"/>
              </w:rPr>
              <w:t>At eight times (EGP)</w:t>
            </w:r>
          </w:p>
        </w:tc>
        <w:tc>
          <w:tcPr>
            <w:tcW w:type="dxa" w:w="3600"/>
          </w:tcPr>
          <w:p>
            <w:pPr>
              <w:spacing w:after="20"/>
              <w:jc w:val="right"/>
            </w:pPr>
            <w:r>
              <w:rPr>
                <w:color w:val="1C3A36"/>
                <w:sz w:val="17"/>
              </w:rPr>
              <w:t>2.37</w:t>
            </w:r>
          </w:p>
        </w:tc>
      </w:tr>
      <w:tr>
        <w:tc>
          <w:tcPr>
            <w:tcW w:type="dxa" w:w="6336"/>
          </w:tcPr>
          <w:p>
            <w:pPr>
              <w:spacing w:after="20"/>
            </w:pPr>
            <w:r>
              <w:rPr>
                <w:color w:val="1C3A36"/>
                <w:sz w:val="17"/>
              </w:rPr>
              <w:t>At twelve times (EGP)</w:t>
            </w:r>
          </w:p>
        </w:tc>
        <w:tc>
          <w:tcPr>
            <w:tcW w:type="dxa" w:w="3600"/>
          </w:tcPr>
          <w:p>
            <w:pPr>
              <w:spacing w:after="20"/>
              <w:jc w:val="right"/>
            </w:pPr>
            <w:r>
              <w:rPr>
                <w:color w:val="1C3A36"/>
                <w:sz w:val="17"/>
              </w:rPr>
              <w:t>5.19</w:t>
            </w:r>
          </w:p>
        </w:tc>
      </w:tr>
    </w:tbl>
    <w:p>
      <w:pPr>
        <w:spacing w:after="40"/>
      </w:pPr>
    </w:p>
    <w:p>
      <w:pPr>
        <w:spacing w:after="200" w:before="0"/>
      </w:pPr>
      <w:r>
        <w:rPr>
          <w:b w:val="0"/>
          <w:i/>
          <w:color w:val="6E7B77"/>
          <w:sz w:val="17"/>
        </w:rPr>
        <w:t>Table 7.  A mature single-asset industrial in a high-inflation economy does not deserve more than ten times, and the band either side is shown.</w:t>
      </w:r>
    </w:p>
    <w:p>
      <w:pPr>
        <w:spacing w:after="80" w:before="200"/>
      </w:pPr>
      <w:r>
        <w:rPr>
          <w:b/>
          <w:i w:val="0"/>
          <w:color w:val="1C3A36"/>
          <w:sz w:val="24"/>
        </w:rPr>
        <w:t>1.5  Synthesis — four lenses, one field</w:t>
      </w:r>
    </w:p>
    <w:p>
      <w:pPr>
        <w:spacing w:after="120" w:before="0"/>
      </w:pPr>
      <w:r>
        <w:rPr>
          <w:b w:val="0"/>
          <w:i w:val="0"/>
          <w:color w:val="1C3A36"/>
          <w:sz w:val="21"/>
        </w:rPr>
        <w:t>The field runs from EGP 0.00 to EGP 6.91 a share. It is a wide field, and the width is honest: the lenses disagree because they ask different questions of a company whose asset base is changing underneath its earnings. What none of them does is reach EGP 13.98.</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lens sits at zero because a 6.9% sustainable return on equity does not clear a 31.30% cost of equity — a company earning below its cost of capital destroys value by growing, which is the same finding the capital programme produces from a different direction.</w:t>
      </w:r>
    </w:p>
    <w:p>
      <w:pPr>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440</w:t>
            </w:r>
          </w:p>
        </w:tc>
      </w:tr>
      <w:tr>
        <w:tc>
          <w:tcPr>
            <w:tcW w:type="dxa" w:w="2304"/>
          </w:tcPr>
          <w:p>
            <w:pPr>
              <w:spacing w:after="20"/>
            </w:pPr>
            <w:r>
              <w:rPr>
                <w:color w:val="1C3A36"/>
                <w:sz w:val="17"/>
              </w:rPr>
              <w:t>Exchange rate (EGP/US$)</w:t>
            </w:r>
          </w:p>
        </w:tc>
        <w:tc>
          <w:tcPr>
            <w:tcW w:type="dxa" w:w="3960"/>
          </w:tcPr>
          <w:p>
            <w:pPr>
              <w:spacing w:after="20"/>
            </w:pPr>
            <w:r>
              <w:rPr>
                <w:color w:val="1C3A36"/>
                <w:sz w:val="17"/>
              </w:rPr>
              <w:t>Spot, depreciating 4.5% a year</w:t>
            </w:r>
          </w:p>
        </w:tc>
        <w:tc>
          <w:tcPr>
            <w:tcW w:type="dxa" w:w="1843"/>
          </w:tcPr>
          <w:p>
            <w:pPr>
              <w:spacing w:after="20"/>
              <w:jc w:val="right"/>
            </w:pPr>
            <w:r>
              <w:rPr>
                <w:color w:val="1C3A36"/>
                <w:sz w:val="17"/>
              </w:rPr>
              <w:t>51.90</w:t>
            </w:r>
          </w:p>
        </w:tc>
        <w:tc>
          <w:tcPr>
            <w:tcW w:type="dxa" w:w="1843"/>
          </w:tcPr>
          <w:p>
            <w:pPr>
              <w:spacing w:after="20"/>
              <w:jc w:val="right"/>
            </w:pPr>
            <w:r>
              <w:rPr>
                <w:color w:val="1C3A36"/>
                <w:sz w:val="17"/>
              </w:rPr>
              <w:t>61.90</w:t>
            </w:r>
          </w:p>
        </w:tc>
      </w:tr>
      <w:t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8.58</w:t>
            </w:r>
          </w:p>
        </w:tc>
        <w:tc>
          <w:tcPr>
            <w:tcW w:type="dxa" w:w="1843"/>
          </w:tcPr>
          <w:p>
            <w:pPr>
              <w:spacing w:after="20"/>
              <w:jc w:val="right"/>
            </w:pPr>
            <w:r>
              <w:rPr>
                <w:color w:val="1C3A36"/>
                <w:sz w:val="17"/>
              </w:rPr>
              <w:t>10.23</w:t>
            </w:r>
          </w:p>
        </w:tc>
      </w:tr>
      <w:t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10.0%</w:t>
            </w:r>
          </w:p>
        </w:tc>
        <w:tc>
          <w:tcPr>
            <w:tcW w:type="dxa" w:w="1843"/>
          </w:tcPr>
          <w:p>
            <w:pPr>
              <w:spacing w:after="20"/>
              <w:jc w:val="right"/>
            </w:pPr>
            <w:r>
              <w:rPr>
                <w:color w:val="1C3A36"/>
                <w:sz w:val="17"/>
              </w:rPr>
              <w:t>7.0%</w:t>
            </w:r>
          </w:p>
        </w:tc>
      </w:tr>
      <w:t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45.2%</w:t>
            </w:r>
          </w:p>
        </w:tc>
        <w:tc>
          <w:tcPr>
            <w:tcW w:type="dxa" w:w="1843"/>
            <w:shd w:val="clear" w:color="auto" w:fill="F6F1E6"/>
          </w:tcPr>
          <w:p>
            <w:pPr>
              <w:spacing w:after="20"/>
              <w:jc w:val="right"/>
            </w:pPr>
            <w:r>
              <w:rPr>
                <w:b/>
                <w:color w:val="1C3A36"/>
                <w:sz w:val="17"/>
              </w:rPr>
              <w:t>36.2%</w:t>
            </w:r>
          </w:p>
        </w:tc>
      </w:tr>
      <w:t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40.8%</w:t>
            </w:r>
          </w:p>
        </w:tc>
        <w:tc>
          <w:tcPr>
            <w:tcW w:type="dxa" w:w="1843"/>
            <w:shd w:val="clear" w:color="auto" w:fill="F6F1E6"/>
          </w:tcPr>
          <w:p>
            <w:pPr>
              <w:spacing w:after="20"/>
              <w:jc w:val="right"/>
            </w:pPr>
            <w:r>
              <w:rPr>
                <w:b/>
                <w:color w:val="1C3A36"/>
                <w:sz w:val="17"/>
              </w:rPr>
              <w:t>29.9%</w:t>
            </w:r>
          </w:p>
        </w:tc>
      </w:tr>
    </w:tbl>
    <w:p>
      <w:pPr>
        <w:spacing w:after="40"/>
      </w:pPr>
    </w:p>
    <w:p>
      <w:pPr>
        <w:spacing w:after="200" w:before="0"/>
      </w:pPr>
      <w:r>
        <w:rPr>
          <w:b w:val="0"/>
          <w:i/>
          <w:color w:val="6E7B77"/>
          <w:sz w:val="17"/>
        </w:rPr>
        <w:t>Table 8.  Each cost class escalates on its own driver and never on one blended index: gas is a globally traded input and escalates on its dollar price through the exchange rate, while wages, inland haulage and administration escalate on Egyptian consumer prices and the subsidised price follows its own administered path.</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3_revenu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Revenue built channel by channel.</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6_coststack.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Where a tonne of urea costs its money. Gas dominates, which is why the gas price and the consumption rate are treated as crux variables.</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27.8 billion. EGP 5,654 million sat in construction at 31 March 2026 and the auditor put physical progress at 12.9% against a 37.0% plan.</w:t>
      </w:r>
    </w:p>
    <w:p>
      <w:pPr>
        <w:spacing w:after="120" w:before="0"/>
      </w:pPr>
      <w:r>
        <w:rPr>
          <w:b/>
          <w:i w:val="0"/>
          <w:color w:val="1C3A36"/>
          <w:sz w:val="21"/>
        </w:rPr>
        <w:t>Carried through, the programme is worth EGP -1.30 a share. Stopped, EGP 2.19. The difference, EGP 3.50 a share or EGP 6,947 million of equity, is the cost of the programme to shareholders on this model's assumptions. What decides it is whether the plant, once built, earns a return above the capital sunk into it. On the disclosed cost and the derived nameplate it does not.</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3.55%</w:t>
            </w:r>
          </w:p>
        </w:tc>
        <w:tc>
          <w:tcPr>
            <w:tcW w:type="dxa" w:w="4248"/>
          </w:tcPr>
          <w:p>
            <w:pPr>
              <w:spacing w:after="20"/>
            </w:pPr>
            <w:r>
              <w:rPr>
                <w:color w:val="1C3A36"/>
                <w:sz w:val="17"/>
              </w:rPr>
              <w:t>Country-premium workbook, Egypt row</w:t>
            </w:r>
          </w:p>
        </w:tc>
      </w:tr>
      <w:t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19.45%</w:t>
            </w:r>
          </w:p>
        </w:tc>
        <w:tc>
          <w:tcPr>
            <w:tcW w:type="dxa" w:w="4248"/>
            <w:shd w:val="clear" w:color="auto" w:fill="F6F1E6"/>
          </w:tcPr>
          <w:p>
            <w:pPr>
              <w:spacing w:after="20"/>
            </w:pPr>
            <w:r>
              <w:rPr>
                <w:b/>
                <w:color w:val="1C3A36"/>
                <w:sz w:val="17"/>
              </w:rPr>
              <w:t>Built, not quoted</w:t>
            </w:r>
          </w:p>
        </w:tc>
      </w:tr>
      <w:t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9.42%</w:t>
            </w:r>
          </w:p>
        </w:tc>
        <w:tc>
          <w:tcPr>
            <w:tcW w:type="dxa" w:w="4248"/>
          </w:tcPr>
          <w:p>
            <w:pPr>
              <w:spacing w:after="20"/>
            </w:pPr>
            <w:r>
              <w:rPr>
                <w:color w:val="1C3A36"/>
                <w:sz w:val="17"/>
              </w:rPr>
              <w:t>Mature-market 4.23% plus the Egypt country premium</w:t>
            </w:r>
          </w:p>
        </w:tc>
      </w:tr>
      <w:tr>
        <w:tc>
          <w:tcPr>
            <w:tcW w:type="dxa" w:w="2664"/>
          </w:tcPr>
          <w:p>
            <w:pPr>
              <w:spacing w:after="20"/>
            </w:pPr>
            <w:r>
              <w:rPr>
                <w:color w:val="1C3A36"/>
                <w:sz w:val="17"/>
              </w:rPr>
              <w:t>Beta</w:t>
            </w:r>
          </w:p>
        </w:tc>
        <w:tc>
          <w:tcPr>
            <w:tcW w:type="dxa" w:w="1512"/>
          </w:tcPr>
          <w:p>
            <w:pPr>
              <w:spacing w:after="20"/>
              <w:jc w:val="right"/>
            </w:pPr>
            <w:r>
              <w:rPr>
                <w:color w:val="1C3A36"/>
                <w:sz w:val="17"/>
              </w:rPr>
              <w:t>1.053</w:t>
            </w:r>
          </w:p>
        </w:tc>
        <w:tc>
          <w:tcPr>
            <w:tcW w:type="dxa" w:w="1512"/>
          </w:tcPr>
          <w:p>
            <w:pPr>
              <w:spacing w:after="20"/>
              <w:jc w:val="right"/>
            </w:pPr>
            <w:r>
              <w:rPr>
                <w:color w:val="1C3A36"/>
                <w:sz w:val="17"/>
              </w:rPr>
              <w:t>1.053</w:t>
            </w:r>
          </w:p>
        </w:tc>
        <w:tc>
          <w:tcPr>
            <w:tcW w:type="dxa" w:w="4248"/>
          </w:tcPr>
          <w:p>
            <w:pPr>
              <w:spacing w:after="20"/>
            </w:pPr>
            <w:r>
              <w:rPr>
                <w:color w:val="1C3A36"/>
                <w:sz w:val="17"/>
              </w:rPr>
              <w:t>Own-stock weekly regression, 257 observations, R-squared 0.283, standard error 0.105</w:t>
            </w:r>
          </w:p>
        </w:tc>
      </w:tr>
      <w:t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31.30%</w:t>
            </w:r>
          </w:p>
        </w:tc>
        <w:tc>
          <w:tcPr>
            <w:tcW w:type="dxa" w:w="1512"/>
            <w:shd w:val="clear" w:color="auto" w:fill="F6F1E6"/>
          </w:tcPr>
          <w:p>
            <w:pPr>
              <w:spacing w:after="20"/>
              <w:jc w:val="right"/>
            </w:pPr>
            <w:r>
              <w:rPr>
                <w:b/>
                <w:color w:val="1C3A36"/>
                <w:sz w:val="17"/>
              </w:rPr>
              <w:t>29.37%</w:t>
            </w:r>
          </w:p>
        </w:tc>
        <w:tc>
          <w:tcPr>
            <w:tcW w:type="dxa" w:w="4248"/>
            <w:shd w:val="clear" w:color="auto" w:fill="F6F1E6"/>
          </w:tcPr>
          <w:p>
            <w:pPr>
              <w:spacing w:after="20"/>
            </w:pPr>
            <w:r>
              <w:rPr>
                <w:b/>
                <w:color w:val="1C3A36"/>
                <w:sz w:val="17"/>
              </w:rPr>
            </w:r>
          </w:p>
        </w:tc>
      </w:tr>
      <w:tr>
        <w:tc>
          <w:tcPr>
            <w:tcW w:type="dxa" w:w="2664"/>
          </w:tcPr>
          <w:p>
            <w:pPr>
              <w:spacing w:after="20"/>
            </w:pPr>
            <w:r>
              <w:rPr>
                <w:color w:val="1C3A36"/>
                <w:sz w:val="17"/>
              </w:rPr>
              <w:t>Cost of debt after tax</w:t>
            </w:r>
          </w:p>
        </w:tc>
        <w:tc>
          <w:tcPr>
            <w:tcW w:type="dxa" w:w="1512"/>
          </w:tcPr>
          <w:p>
            <w:pPr>
              <w:spacing w:after="20"/>
              <w:jc w:val="right"/>
            </w:pPr>
            <w:r>
              <w:rPr>
                <w:color w:val="1C3A36"/>
                <w:sz w:val="17"/>
              </w:rPr>
              <w:t>12.97%</w:t>
            </w:r>
          </w:p>
        </w:tc>
        <w:tc>
          <w:tcPr>
            <w:tcW w:type="dxa" w:w="1512"/>
          </w:tcPr>
          <w:p>
            <w:pPr>
              <w:spacing w:after="20"/>
              <w:jc w:val="right"/>
            </w:pPr>
            <w:r>
              <w:rPr>
                <w:color w:val="1C3A36"/>
                <w:sz w:val="17"/>
              </w:rPr>
              <w:t>12.97%</w:t>
            </w:r>
          </w:p>
        </w:tc>
        <w:tc>
          <w:tcPr>
            <w:tcW w:type="dxa" w:w="4248"/>
          </w:tcPr>
          <w:p>
            <w:pPr>
              <w:spacing w:after="20"/>
            </w:pPr>
            <w:r>
              <w:rPr>
                <w:color w:val="1C3A36"/>
                <w:sz w:val="17"/>
              </w:rPr>
              <w:t>99.7% dollar, carried at local-equivalent cost</w:t>
            </w:r>
          </w:p>
        </w:tc>
      </w:tr>
      <w:tr>
        <w:tc>
          <w:tcPr>
            <w:tcW w:type="dxa" w:w="2664"/>
          </w:tcPr>
          <w:p>
            <w:pPr>
              <w:spacing w:after="20"/>
            </w:pPr>
            <w:r>
              <w:rPr>
                <w:color w:val="1C3A36"/>
                <w:sz w:val="17"/>
              </w:rPr>
              <w:t>Weights, equity and debt</w:t>
            </w:r>
          </w:p>
        </w:tc>
        <w:tc>
          <w:tcPr>
            <w:tcW w:type="dxa" w:w="1512"/>
          </w:tcPr>
          <w:p>
            <w:pPr>
              <w:spacing w:after="20"/>
              <w:jc w:val="right"/>
            </w:pPr>
            <w:r>
              <w:rPr>
                <w:color w:val="1C3A36"/>
                <w:sz w:val="17"/>
              </w:rPr>
              <w:t>65.5% / 34.5%</w:t>
            </w:r>
          </w:p>
        </w:tc>
        <w:tc>
          <w:tcPr>
            <w:tcW w:type="dxa" w:w="1512"/>
          </w:tcPr>
          <w:p>
            <w:pPr>
              <w:spacing w:after="20"/>
              <w:jc w:val="right"/>
            </w:pPr>
            <w:r>
              <w:rPr>
                <w:color w:val="1C3A36"/>
                <w:sz w:val="17"/>
              </w:rPr>
              <w:t>65.5% / 34.5%</w:t>
            </w:r>
          </w:p>
        </w:tc>
        <w:tc>
          <w:tcPr>
            <w:tcW w:type="dxa" w:w="4248"/>
          </w:tcPr>
          <w:p>
            <w:pPr>
              <w:spacing w:after="20"/>
            </w:pPr>
            <w:r>
              <w:rPr>
                <w:color w:val="1C3A36"/>
                <w:sz w:val="17"/>
              </w:rPr>
              <w:t>Market-value equity, never book</w:t>
            </w:r>
          </w:p>
        </w:tc>
      </w:tr>
      <w:t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24.97%</w:t>
            </w:r>
          </w:p>
        </w:tc>
        <w:tc>
          <w:tcPr>
            <w:tcW w:type="dxa" w:w="1512"/>
            <w:shd w:val="clear" w:color="auto" w:fill="F6F1E6"/>
          </w:tcPr>
          <w:p>
            <w:pPr>
              <w:spacing w:after="20"/>
              <w:jc w:val="right"/>
            </w:pPr>
            <w:r>
              <w:rPr>
                <w:b/>
                <w:color w:val="1C3A36"/>
                <w:sz w:val="17"/>
              </w:rPr>
              <w:t>23.71%</w:t>
            </w:r>
          </w:p>
        </w:tc>
        <w:tc>
          <w:tcPr>
            <w:tcW w:type="dxa" w:w="4248"/>
            <w:shd w:val="clear" w:color="auto" w:fill="F6F1E6"/>
          </w:tcPr>
          <w:p>
            <w:pPr>
              <w:spacing w:after="20"/>
            </w:pPr>
            <w:r>
              <w:rPr>
                <w:b/>
                <w:color w:val="1C3A36"/>
                <w:sz w:val="17"/>
              </w:rPr>
              <w:t>The rating basis is carried into the valuation as the more conservative</w:t>
            </w:r>
          </w:p>
        </w:tc>
      </w:tr>
    </w:tbl>
    <w:p>
      <w:pPr>
        <w:spacing w:after="40"/>
      </w:pPr>
    </w:p>
    <w:p>
      <w:pPr>
        <w:spacing w:after="200" w:before="0"/>
      </w:pPr>
      <w:r>
        <w:rPr>
          <w:b w:val="0"/>
          <w:i/>
          <w:color w:val="6E7B77"/>
          <w:sz w:val="17"/>
        </w:rPr>
        <w:t>Table 9.  The cost of capital, built rather than assumed, on both premium bases.</w:t>
      </w:r>
    </w:p>
    <w:p>
      <w:pPr>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by a 4.5% expected depreciation to a local-equivalent 16.73% — and the same wedge drives the currency path in the revenue build, so the two cannot quietly disagree.</w:t>
      </w:r>
    </w:p>
    <w:p>
      <w:pPr>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7.0% target. Capitalising one at the other is a units mismatch, and on a company whose value sits in its terminal year it would be the largest error in the study. The rate therefore glides to a terminal rate built from its own components: 7.0% inflation compounded with a 3.5% real rate gives a normalised risk-free rate of 10.75%, and the terminal cost of capital is 20.36%. Discount factors compound the glide year by year rather than raising one rate to a power.</w:t>
      </w:r>
    </w:p>
    <w:p>
      <w:pPr>
        <w:spacing w:after="40"/>
        <w:jc w:val="center"/>
      </w:pPr>
      <w:r>
        <w:drawing>
          <wp:inline xmlns:a="http://schemas.openxmlformats.org/drawingml/2006/main" xmlns:pic="http://schemas.openxmlformats.org/drawingml/2006/picture">
            <wp:extent cx="6309360" cy="2575249"/>
            <wp:docPr id="6" name="Picture 6"/>
            <wp:cNvGraphicFramePr>
              <a:graphicFrameLocks noChangeAspect="1"/>
            </wp:cNvGraphicFramePr>
            <a:graphic>
              <a:graphicData uri="http://schemas.openxmlformats.org/drawingml/2006/picture">
                <pic:pic>
                  <pic:nvPicPr>
                    <pic:cNvPr id="0" name="fig7_glide.png"/>
                    <pic:cNvPicPr/>
                  </pic:nvPicPr>
                  <pic:blipFill>
                    <a:blip r:embed="rId14"/>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6.  The rate glides from its spot build to a terminal rate made from its own parts. The dotted line is the rate the traded price implies.</w:t>
      </w: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7" name="Picture 7"/>
            <wp:cNvGraphicFramePr>
              <a:graphicFrameLocks noChangeAspect="1"/>
            </wp:cNvGraphicFramePr>
            <a:graphic>
              <a:graphicData uri="http://schemas.openxmlformats.org/drawingml/2006/picture">
                <pic:pic>
                  <pic:nvPicPr>
                    <pic:cNvPr id="0" name="fig5_crux.png"/>
                    <pic:cNvPicPr/>
                  </pic:nvPicPr>
                  <pic:blipFill>
                    <a:blip r:embed="rId15"/>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7.  Value per share across the two observable inputs that decide it. Every cell is a complete revaluation, not an interpolation.</w:t>
      </w:r>
    </w:p>
    <w:p>
      <w:pPr>
        <w:spacing w:after="120" w:before="0"/>
      </w:pPr>
      <w:r>
        <w:rPr>
          <w:b w:val="0"/>
          <w:i w:val="0"/>
          <w:color w:val="1C3A36"/>
          <w:sz w:val="21"/>
        </w:rPr>
        <w:t>No cell in that grid reaches the traded price. The highest is EGP 3.30, at a long-run export price above today's spot and a terminal rate below the sovereign's own short-term yield. Reaching EGP 13.98 requires leaving the grid altogether, which is what the reverse calculation in the headline does explicitly.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880"/>
        <w:gridCol w:w="3312"/>
      </w:tblGrid>
      <w:tr>
        <w:tc>
          <w:tcPr>
            <w:tcW w:type="dxa" w:w="3744"/>
            <w:shd w:val="clear" w:color="auto" w:fill="EAF0EE"/>
          </w:tcPr>
          <w:p>
            <w:pPr>
              <w:spacing w:after="20"/>
            </w:pPr>
            <w:r>
              <w:rPr>
                <w:b/>
                <w:color w:val="1C3A36"/>
                <w:sz w:val="17"/>
              </w:rPr>
              <w:t>What moves</w:t>
            </w:r>
          </w:p>
        </w:tc>
        <w:tc>
          <w:tcPr>
            <w:tcW w:type="dxa" w:w="2880"/>
            <w:shd w:val="clear" w:color="auto" w:fill="EAF0EE"/>
          </w:tcPr>
          <w:p>
            <w:pPr>
              <w:spacing w:after="20"/>
            </w:pPr>
            <w:r>
              <w:rPr>
                <w:b/>
                <w:color w:val="1C3A36"/>
                <w:sz w:val="17"/>
              </w:rPr>
              <w:t>Move</w:t>
            </w:r>
          </w:p>
        </w:tc>
        <w:tc>
          <w:tcPr>
            <w:tcW w:type="dxa" w:w="3312"/>
            <w:shd w:val="clear" w:color="auto" w:fill="EAF0EE"/>
          </w:tcPr>
          <w:p>
            <w:pPr>
              <w:spacing w:after="20"/>
            </w:pPr>
            <w:r>
              <w:rPr>
                <w:b/>
                <w:color w:val="1C3A36"/>
                <w:sz w:val="17"/>
              </w:rPr>
              <w:t>Effect on value per share</w:t>
            </w:r>
          </w:p>
        </w:tc>
      </w:tr>
      <w:tr>
        <w:tc>
          <w:tcPr>
            <w:tcW w:type="dxa" w:w="3744"/>
          </w:tcPr>
          <w:p>
            <w:pPr>
              <w:spacing w:after="20"/>
            </w:pPr>
            <w:r>
              <w:rPr>
                <w:color w:val="1C3A36"/>
                <w:sz w:val="17"/>
              </w:rPr>
              <w:t>Long-run export price</w:t>
            </w:r>
          </w:p>
        </w:tc>
        <w:tc>
          <w:tcPr>
            <w:tcW w:type="dxa" w:w="2880"/>
          </w:tcPr>
          <w:p>
            <w:pPr>
              <w:spacing w:after="20"/>
              <w:jc w:val="right"/>
            </w:pPr>
            <w:r>
              <w:rPr>
                <w:color w:val="1C3A36"/>
                <w:sz w:val="17"/>
              </w:rPr>
              <w:t>US$50 a tonne</w:t>
            </w:r>
          </w:p>
        </w:tc>
        <w:tc>
          <w:tcPr>
            <w:tcW w:type="dxa" w:w="3312"/>
          </w:tcPr>
          <w:p>
            <w:pPr>
              <w:spacing w:after="20"/>
              <w:jc w:val="right"/>
            </w:pPr>
            <w:r>
              <w:rPr>
                <w:color w:val="1C3A36"/>
                <w:sz w:val="17"/>
              </w:rPr>
              <w:t>about EGP 1.5</w:t>
            </w:r>
          </w:p>
        </w:tc>
      </w:tr>
      <w:tr>
        <w:tc>
          <w:tcPr>
            <w:tcW w:type="dxa" w:w="3744"/>
          </w:tcPr>
          <w:p>
            <w:pPr>
              <w:spacing w:after="20"/>
            </w:pPr>
            <w:r>
              <w:rPr>
                <w:color w:val="1C3A36"/>
                <w:sz w:val="17"/>
              </w:rPr>
              <w:t>Terminal cost of capital</w:t>
            </w:r>
          </w:p>
        </w:tc>
        <w:tc>
          <w:tcPr>
            <w:tcW w:type="dxa" w:w="2880"/>
          </w:tcPr>
          <w:p>
            <w:pPr>
              <w:spacing w:after="20"/>
              <w:jc w:val="right"/>
            </w:pPr>
            <w:r>
              <w:rPr>
                <w:color w:val="1C3A36"/>
                <w:sz w:val="17"/>
              </w:rPr>
              <w:t>One percentage point</w:t>
            </w:r>
          </w:p>
        </w:tc>
        <w:tc>
          <w:tcPr>
            <w:tcW w:type="dxa" w:w="3312"/>
          </w:tcPr>
          <w:p>
            <w:pPr>
              <w:spacing w:after="20"/>
              <w:jc w:val="right"/>
            </w:pPr>
            <w:r>
              <w:rPr>
                <w:color w:val="1C3A36"/>
                <w:sz w:val="17"/>
              </w:rPr>
              <w:t>about EGP 0.4</w:t>
            </w:r>
          </w:p>
        </w:tc>
      </w:tr>
      <w:tr>
        <w:tc>
          <w:tcPr>
            <w:tcW w:type="dxa" w:w="3744"/>
            <w:shd w:val="clear" w:color="auto" w:fill="F6F1E6"/>
          </w:tcPr>
          <w:p>
            <w:pPr>
              <w:spacing w:after="20"/>
            </w:pPr>
            <w:r>
              <w:rPr>
                <w:b/>
                <w:color w:val="1C3A36"/>
                <w:sz w:val="17"/>
              </w:rPr>
              <w:t>The capital programme</w:t>
            </w:r>
          </w:p>
        </w:tc>
        <w:tc>
          <w:tcPr>
            <w:tcW w:type="dxa" w:w="2880"/>
            <w:shd w:val="clear" w:color="auto" w:fill="F6F1E6"/>
          </w:tcPr>
          <w:p>
            <w:pPr>
              <w:spacing w:after="20"/>
              <w:jc w:val="right"/>
            </w:pPr>
            <w:r>
              <w:rPr>
                <w:b/>
                <w:color w:val="1C3A36"/>
                <w:sz w:val="17"/>
              </w:rPr>
              <w:t>Carried through against stopped</w:t>
            </w:r>
          </w:p>
        </w:tc>
        <w:tc>
          <w:tcPr>
            <w:tcW w:type="dxa" w:w="3312"/>
            <w:shd w:val="clear" w:color="auto" w:fill="F6F1E6"/>
          </w:tcPr>
          <w:p>
            <w:pPr>
              <w:spacing w:after="20"/>
              <w:jc w:val="right"/>
            </w:pPr>
            <w:r>
              <w:rPr>
                <w:b/>
                <w:color w:val="1C3A36"/>
                <w:sz w:val="17"/>
              </w:rPr>
              <w:t>EGP 3.50</w:t>
            </w:r>
          </w:p>
        </w:tc>
      </w:tr>
      <w:tr>
        <w:tc>
          <w:tcPr>
            <w:tcW w:type="dxa" w:w="3744"/>
          </w:tcPr>
          <w:p>
            <w:pPr>
              <w:spacing w:after="20"/>
            </w:pPr>
            <w:r>
              <w:rPr>
                <w:color w:val="1C3A36"/>
                <w:sz w:val="17"/>
              </w:rPr>
              <w:t>Gas consumption per tonne</w:t>
            </w:r>
          </w:p>
        </w:tc>
        <w:tc>
          <w:tcPr>
            <w:tcW w:type="dxa" w:w="2880"/>
          </w:tcPr>
          <w:p>
            <w:pPr>
              <w:spacing w:after="20"/>
              <w:jc w:val="right"/>
            </w:pPr>
            <w:r>
              <w:rPr>
                <w:color w:val="1C3A36"/>
                <w:sz w:val="17"/>
              </w:rPr>
              <w:t>Ten per cent</w:t>
            </w:r>
          </w:p>
        </w:tc>
        <w:tc>
          <w:tcPr>
            <w:tcW w:type="dxa" w:w="3312"/>
          </w:tcPr>
          <w:p>
            <w:pPr>
              <w:spacing w:after="20"/>
              <w:jc w:val="right"/>
            </w:pPr>
            <w:r>
              <w:rPr>
                <w:color w:val="1C3A36"/>
                <w:sz w:val="17"/>
              </w:rPr>
              <w:t>about EGP 0.8</w:t>
            </w:r>
          </w:p>
        </w:tc>
      </w:tr>
      <w:tr>
        <w:tc>
          <w:tcPr>
            <w:tcW w:type="dxa" w:w="3744"/>
          </w:tcPr>
          <w:p>
            <w:pPr>
              <w:spacing w:after="20"/>
            </w:pPr>
            <w:r>
              <w:rPr>
                <w:color w:val="1C3A36"/>
                <w:sz w:val="17"/>
              </w:rPr>
              <w:t>Project utilisation in the terminal year</w:t>
            </w:r>
          </w:p>
        </w:tc>
        <w:tc>
          <w:tcPr>
            <w:tcW w:type="dxa" w:w="2880"/>
          </w:tcPr>
          <w:p>
            <w:pPr>
              <w:spacing w:after="20"/>
              <w:jc w:val="right"/>
            </w:pPr>
            <w:r>
              <w:rPr>
                <w:color w:val="1C3A36"/>
                <w:sz w:val="17"/>
              </w:rPr>
              <w:t>Forty per cent higher</w:t>
            </w:r>
          </w:p>
        </w:tc>
        <w:tc>
          <w:tcPr>
            <w:tcW w:type="dxa" w:w="3312"/>
          </w:tcPr>
          <w:p>
            <w:pPr>
              <w:spacing w:after="20"/>
              <w:jc w:val="right"/>
            </w:pPr>
            <w:r>
              <w:rPr>
                <w:color w:val="1C3A36"/>
                <w:sz w:val="17"/>
              </w:rPr>
              <w:t>about EGP 0.2</w:t>
            </w:r>
          </w:p>
        </w:tc>
      </w:tr>
    </w:tbl>
    <w:p>
      <w:pPr>
        <w:spacing w:after="40"/>
      </w:pPr>
    </w:p>
    <w:p>
      <w:pPr>
        <w:spacing w:after="200" w:before="0"/>
      </w:pPr>
      <w:r>
        <w:rPr>
          <w:b w:val="0"/>
          <w:i/>
          <w:color w:val="6E7B77"/>
          <w:sz w:val="17"/>
        </w:rPr>
        <w:t>Table 10.  The capital programme dominates everything else on this company, which is why it and not the discount rate is the study's contested judgement.</w:t>
      </w:r>
    </w:p>
    <w:p>
      <w:pPr>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11.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8" name="Picture 8"/>
            <wp:cNvGraphicFramePr>
              <a:graphicFrameLocks noChangeAspect="1"/>
            </wp:cNvGraphicFramePr>
            <a:graphic>
              <a:graphicData uri="http://schemas.openxmlformats.org/drawingml/2006/picture">
                <pic:pic>
                  <pic:nvPicPr>
                    <pic:cNvPr id="0" name="fig11_technical.png"/>
                    <pic:cNvPicPr/>
                  </pic:nvPicPr>
                  <pic:blipFill>
                    <a:blip r:embed="rId16"/>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8.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w:t>
      </w:r>
    </w:p>
    <w:p>
      <w:pPr>
        <w:spacing w:after="40"/>
        <w:jc w:val="center"/>
      </w:pPr>
      <w:r>
        <w:drawing>
          <wp:inline xmlns:a="http://schemas.openxmlformats.org/drawingml/2006/main" xmlns:pic="http://schemas.openxmlformats.org/drawingml/2006/picture">
            <wp:extent cx="6309360" cy="2704011"/>
            <wp:docPr id="9" name="Picture 9"/>
            <wp:cNvGraphicFramePr>
              <a:graphicFrameLocks noChangeAspect="1"/>
            </wp:cNvGraphicFramePr>
            <a:graphic>
              <a:graphicData uri="http://schemas.openxmlformats.org/drawingml/2006/picture">
                <pic:pic>
                  <pic:nvPicPr>
                    <pic:cNvPr id="0" name="fig10_fan.png"/>
                    <pic:cNvPicPr/>
                  </pic:nvPicPr>
                  <pic:blipFill>
                    <a:blip r:embed="rId17"/>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9.  The distribution of the price to 2026-11-08.</w:t>
      </w:r>
    </w:p>
    <w:p>
      <w:pPr>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c>
          <w:tcPr>
            <w:tcW w:type="dxa" w:w="3456"/>
            <w:shd w:val="clear" w:color="auto" w:fill="F6F1E6"/>
          </w:tcPr>
          <w:p>
            <w:pPr>
              <w:spacing w:after="20"/>
            </w:pPr>
            <w:r>
              <w:rPr>
                <w:b/>
                <w:color w:val="1C3A36"/>
                <w:sz w:val="17"/>
              </w:rPr>
              <w:t>Probability the price ends above today's</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12.  Probability of touching each level at any point before the check date.</w:t>
      </w:r>
    </w:p>
    <w:p>
      <w:pPr>
        <w:spacing w:after="120" w:before="0"/>
      </w:pPr>
      <w:r>
        <w:rPr>
          <w:b w:val="0"/>
          <w:i w:val="0"/>
          <w:color w:val="1C3A36"/>
          <w:sz w:val="21"/>
        </w:rPr>
        <w:t>How this was tested, in plain terms. The same method was run backwards over the company's own price history in non-overlapping three-month windows and scored against a random walk that carries the same interest-rate drift. Over the 17 windows since the market's last structural break it beat that benchmark by 2.64 per cent on a proper scoring rule, and the advantage held across every resampling block size tested, so it is not an artefact of how the windows were cut. Outcomes fell inside the fifty, eighty and ninety per cent bands 64.7%, 88.2% and 94.1% of the time against the fifty, eighty and ninety they promise. A uniformity test on where each outcome landed within its predicted distribution returns a p-value of 0.625, which is to say the bands are neither too wide nor too narrow to a degree the data can detect. Over the last five years of windows the advantage was 2.04 per cent.</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c>
          <w:tcPr>
            <w:tcW w:type="dxa" w:w="2448"/>
          </w:tcPr>
          <w:p>
            <w:pPr>
              <w:spacing w:after="20"/>
            </w:pPr>
            <w:r>
              <w:rPr>
                <w:color w:val="1C3A36"/>
                <w:sz w:val="16"/>
              </w:rPr>
              <w:t>Cash flow — carried through</w:t>
            </w:r>
          </w:p>
        </w:tc>
        <w:tc>
          <w:tcPr>
            <w:tcW w:type="dxa" w:w="1224"/>
          </w:tcPr>
          <w:p>
            <w:pPr>
              <w:spacing w:after="20"/>
              <w:jc w:val="right"/>
            </w:pPr>
            <w:r>
              <w:rPr>
                <w:color w:val="1C3A36"/>
                <w:sz w:val="16"/>
              </w:rPr>
              <w:t>-1.30</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c>
          <w:tcPr>
            <w:tcW w:type="dxa" w:w="2448"/>
          </w:tcPr>
          <w:p>
            <w:pPr>
              <w:spacing w:after="20"/>
            </w:pPr>
            <w:r>
              <w:rPr>
                <w:color w:val="1C3A36"/>
                <w:sz w:val="16"/>
              </w:rPr>
              <w:t>Cash flow — stopped</w:t>
            </w:r>
          </w:p>
        </w:tc>
        <w:tc>
          <w:tcPr>
            <w:tcW w:type="dxa" w:w="1224"/>
          </w:tcPr>
          <w:p>
            <w:pPr>
              <w:spacing w:after="20"/>
              <w:jc w:val="right"/>
            </w:pPr>
            <w:r>
              <w:rPr>
                <w:color w:val="1C3A36"/>
                <w:sz w:val="16"/>
              </w:rPr>
              <w:t>2.19</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3.50</w:t>
            </w:r>
          </w:p>
        </w:tc>
      </w:tr>
      <w:tr>
        <w:tc>
          <w:tcPr>
            <w:tcW w:type="dxa" w:w="2448"/>
          </w:tcPr>
          <w:p>
            <w:pPr>
              <w:spacing w:after="20"/>
            </w:pPr>
            <w:r>
              <w:rPr>
                <w:color w:val="1C3A36"/>
                <w:sz w:val="16"/>
              </w:rPr>
              <w:t>Book value and sustainable return</w:t>
            </w:r>
          </w:p>
        </w:tc>
        <w:tc>
          <w:tcPr>
            <w:tcW w:type="dxa" w:w="1224"/>
          </w:tcPr>
          <w:p>
            <w:pPr>
              <w:spacing w:after="20"/>
              <w:jc w:val="right"/>
            </w:pPr>
            <w:r>
              <w:rPr>
                <w:color w:val="1C3A36"/>
                <w:sz w:val="16"/>
              </w:rPr>
              <w:t>0.00</w:t>
            </w:r>
          </w:p>
        </w:tc>
        <w:tc>
          <w:tcPr>
            <w:tcW w:type="dxa" w:w="3456"/>
          </w:tcPr>
          <w:p>
            <w:pPr>
              <w:spacing w:after="20"/>
            </w:pPr>
            <w:r>
              <w:rPr>
                <w:color w:val="1C3A36"/>
                <w:sz w:val="16"/>
              </w:rPr>
              <w:t>That the historic return on equity persists</w:t>
            </w:r>
          </w:p>
        </w:tc>
        <w:tc>
          <w:tcPr>
            <w:tcW w:type="dxa" w:w="2952"/>
          </w:tcPr>
          <w:p>
            <w:pPr>
              <w:spacing w:after="20"/>
            </w:pPr>
            <w:r>
              <w:rPr>
                <w:color w:val="1C3A36"/>
                <w:sz w:val="16"/>
              </w:rPr>
              <w:t>Nothing — it agrees, from the other direction, that the business does not earn its cost of capital</w:t>
            </w:r>
          </w:p>
        </w:tc>
      </w:tr>
      <w:tr>
        <w:tc>
          <w:tcPr>
            <w:tcW w:type="dxa" w:w="2448"/>
          </w:tcPr>
          <w:p>
            <w:pPr>
              <w:spacing w:after="20"/>
            </w:pPr>
            <w:r>
              <w:rPr>
                <w:color w:val="1C3A36"/>
                <w:sz w:val="16"/>
              </w:rPr>
              <w:t>Relative multiples</w:t>
            </w:r>
          </w:p>
        </w:tc>
        <w:tc>
          <w:tcPr>
            <w:tcW w:type="dxa" w:w="1224"/>
          </w:tcPr>
          <w:p>
            <w:pPr>
              <w:spacing w:after="20"/>
              <w:jc w:val="right"/>
            </w:pPr>
            <w:r>
              <w:rPr>
                <w:color w:val="1C3A36"/>
                <w:sz w:val="16"/>
              </w:rPr>
              <w:t>6.91</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c>
          <w:tcPr>
            <w:tcW w:type="dxa" w:w="2448"/>
          </w:tcPr>
          <w:p>
            <w:pPr>
              <w:spacing w:after="20"/>
            </w:pPr>
            <w:r>
              <w:rPr>
                <w:color w:val="1C3A36"/>
                <w:sz w:val="16"/>
              </w:rPr>
              <w:t>Normalised earnings power</w:t>
            </w:r>
          </w:p>
        </w:tc>
        <w:tc>
          <w:tcPr>
            <w:tcW w:type="dxa" w:w="1224"/>
          </w:tcPr>
          <w:p>
            <w:pPr>
              <w:spacing w:after="20"/>
              <w:jc w:val="right"/>
            </w:pPr>
            <w:r>
              <w:rPr>
                <w:color w:val="1C3A36"/>
                <w:sz w:val="16"/>
              </w:rPr>
              <w:t>3.78</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13.  The divergence is structured, not random. Every lens that lands above the cash-flow reading does so by not asking what the capital programme costs.</w:t>
      </w:r>
    </w:p>
    <w:p>
      <w:pPr>
        <w:spacing w:after="120" w:before="280"/>
      </w:pPr>
      <w:r>
        <w:rPr>
          <w:b/>
          <w:i w:val="0"/>
          <w:color w:val="1C3A36"/>
          <w:sz w:val="30"/>
        </w:rPr>
        <w:t>5  Catalysts</w:t>
      </w:r>
    </w:p>
    <w:p>
      <w:pPr>
        <w:pStyle w:val="ListBullet"/>
        <w:spacing w:after="60"/>
      </w:pPr>
      <w:r>
        <w:rPr>
          <w:b/>
          <w:color w:val="1C3A36"/>
          <w:sz w:val="21"/>
        </w:rPr>
        <w:t xml:space="preserve">Capacity disclosure.  </w:t>
      </w:r>
      <w:r>
        <w:rPr>
          <w:color w:val="1C3A36"/>
          <w:sz w:val="21"/>
        </w:rPr>
        <w:t>A dated disclosure of the new complex's nameplate capacity and commissioning schedule. The capacity used here is derived from the ammonia design plate because no filing states it, and is flagged as derived throughout.</w:t>
      </w:r>
    </w:p>
    <w:p>
      <w:pPr>
        <w:pStyle w:val="ListBullet"/>
        <w:spacing w:after="60"/>
      </w:pPr>
      <w:r>
        <w:rPr>
          <w:b/>
          <w:color w:val="1C3A36"/>
          <w:sz w:val="21"/>
        </w:rPr>
        <w:t xml:space="preserve">Execution.  </w:t>
      </w:r>
      <w:r>
        <w:rPr>
          <w:color w:val="1C3A36"/>
          <w:sz w:val="21"/>
        </w:rPr>
        <w:t>Physical progress moving back toward plan. It ran 12.9% against a 37% plan; a reported figure near plan would shorten the construction window and lift the terminal contribution.</w:t>
      </w:r>
    </w:p>
    <w:p>
      <w:pPr>
        <w:pStyle w:val="ListBullet"/>
        <w:spacing w:after="60"/>
      </w:pPr>
      <w:r>
        <w:rPr>
          <w:b/>
          <w:color w:val="1C3A36"/>
          <w:sz w:val="21"/>
        </w:rPr>
        <w:t xml:space="preserve">Gas.  </w:t>
      </w:r>
      <w:r>
        <w:rPr>
          <w:color w:val="1C3A36"/>
          <w:sz w:val="21"/>
        </w:rPr>
        <w:t>A structural fix to industrial gas supply. Every tonne not made is fixed cost with no revenue against it, and the stoppage cost is disclosed each year.</w:t>
      </w:r>
    </w:p>
    <w:p>
      <w:pPr>
        <w:pStyle w:val="ListBullet"/>
        <w:spacing w:after="60"/>
      </w:pPr>
      <w:r>
        <w:rPr>
          <w:b/>
          <w:color w:val="1C3A36"/>
          <w:sz w:val="21"/>
        </w:rPr>
        <w:t xml:space="preserve">Price regime.  </w:t>
      </w:r>
      <w:r>
        <w:rPr>
          <w:color w:val="1C3A36"/>
          <w:sz w:val="21"/>
        </w:rPr>
        <w:t>A move in the export price the market treats as permanent rather than as a war premium. The study assumes mean reversion; a decade above US$540 is a different company.</w:t>
      </w:r>
    </w:p>
    <w:p>
      <w:pPr>
        <w:pStyle w:val="ListBullet"/>
        <w:spacing w:after="60"/>
      </w:pPr>
      <w:r>
        <w:rPr>
          <w:b/>
          <w:color w:val="1C3A36"/>
          <w:sz w:val="21"/>
        </w:rPr>
        <w:t xml:space="preserve">Currency.  </w:t>
      </w:r>
      <w:r>
        <w:rPr>
          <w:color w:val="1C3A36"/>
          <w:sz w:val="21"/>
        </w:rPr>
        <w:t>Refinancing the dollar debt into pounds, or a genuine slowing of depreciation. The translation line swung the reported result by more than a billion pounds in a single quarter this year.</w:t>
      </w:r>
    </w:p>
    <w:p>
      <w:pPr>
        <w:pStyle w:val="ListBullet"/>
        <w:spacing w:after="60"/>
      </w:pPr>
      <w:r>
        <w:rPr>
          <w:b/>
          <w:color w:val="1C3A36"/>
          <w:sz w:val="21"/>
        </w:rPr>
        <w:t xml:space="preserve">A dividend.  </w:t>
      </w:r>
      <w:r>
        <w:rPr>
          <w:color w:val="1C3A36"/>
          <w:sz w:val="21"/>
        </w:rPr>
        <w:t>The first year in which distributable profit is actually distributed. Nothing has been paid in either of the last two years.</w:t>
      </w:r>
    </w:p>
    <w:p>
      <w:pPr>
        <w:spacing w:after="120" w:before="280"/>
      </w:pPr>
      <w:r>
        <w:rPr>
          <w:b/>
          <w:i w:val="0"/>
          <w:color w:val="1C3A36"/>
          <w:sz w:val="30"/>
        </w:rPr>
        <w:t>6  Reading the probability zones</w:t>
      </w:r>
    </w:p>
    <w:p>
      <w:pPr>
        <w:spacing w:after="120" w:before="0"/>
      </w:pPr>
      <w:r>
        <w:rPr>
          <w:b w:val="0"/>
          <w:i w:val="0"/>
          <w:color w:val="1C3A36"/>
          <w:sz w:val="21"/>
        </w:rPr>
        <w:t>Three zones, and what each would mean. Below EGP 13.03 — the twenty-fifth percentile of the three-month distribution — the price would be moving toward the upper end of what the four lenses support, and the gap this study reports would be closing from the price side rather than the value side. Between EGP 13.03 and EGP 16.43 is the ordinary range: half the simulated paths end there, and nothing in it would tell a reader anything about value. Above EGP 20.04 the market would be paying more than nineteen times forward operating profit before depreciation for a business earning 6.9% on equity.</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w:t>
      </w:r>
    </w:p>
    <w:p>
      <w:pPr>
        <w:spacing w:after="120" w:before="280"/>
      </w:pPr>
      <w:r>
        <w:rPr>
          <w:b/>
          <w:i w:val="0"/>
          <w:color w:val="1C3A36"/>
          <w:sz w:val="30"/>
        </w:rPr>
        <w:t>7  Caveats and what would change our mind</w:t>
      </w:r>
    </w:p>
    <w:p>
      <w:pPr>
        <w:spacing w:after="120" w:before="0"/>
      </w:pPr>
      <w:r>
        <w:rPr>
          <w:b w:val="0"/>
          <w:i w:val="0"/>
          <w:color w:val="1C3A36"/>
          <w:sz w:val="21"/>
        </w:rPr>
        <w:t>The auditor's reports on these statements are long and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w:t>
      </w:r>
    </w:p>
    <w:p>
      <w:pPr>
        <w:spacing w:after="120" w:before="0"/>
      </w:pPr>
      <w:r>
        <w:rPr>
          <w:b w:val="0"/>
          <w:i w:val="0"/>
          <w:color w:val="1C3A36"/>
          <w:sz w:val="21"/>
        </w:rPr>
        <w:t>The concentration risks are equally plain. One product, one site, one feedstock, one regulator setting both the domestic price and the export cap, and a single offtake agreement covering roughly two thirds of production. A six per cent free float means the traded price is set by a thin market, which is worth remembering when comparing it with any valuation.</w:t>
      </w:r>
    </w:p>
    <w:p>
      <w:pPr>
        <w:spacing w:after="120" w:before="0"/>
      </w:pPr>
      <w:r>
        <w:rPr>
          <w:b w:val="0"/>
          <w:i w:val="0"/>
          <w:color w:val="1C3A36"/>
          <w:sz w:val="21"/>
        </w:rPr>
        <w:t>What would change this view, in order of force: the capital programme completing near its approved cost with a disclosed capacity that earns above the cost of capital; a sustained export price regime above US$540; a refinancing that moves the debt into the currency the company actually earns; or evidence that Egyptian equity risk is genuinely priced below its sovereign, which would revalue every Egyptian equity and not only this one.</w:t>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11,014</w:t>
            </w:r>
          </w:p>
        </w:tc>
        <w:tc>
          <w:tcPr>
            <w:tcW w:type="dxa" w:w="893"/>
          </w:tcPr>
          <w:p>
            <w:pPr>
              <w:spacing w:after="20"/>
              <w:jc w:val="right"/>
            </w:pPr>
            <w:r>
              <w:rPr>
                <w:color w:val="1C3A36"/>
                <w:sz w:val="14"/>
              </w:rPr>
              <w:t>11,101</w:t>
            </w:r>
          </w:p>
        </w:tc>
        <w:tc>
          <w:tcPr>
            <w:tcW w:type="dxa" w:w="893"/>
          </w:tcPr>
          <w:p>
            <w:pPr>
              <w:spacing w:after="20"/>
              <w:jc w:val="right"/>
            </w:pPr>
            <w:r>
              <w:rPr>
                <w:color w:val="1C3A36"/>
                <w:sz w:val="14"/>
              </w:rPr>
              <w:t>11,160</w:t>
            </w:r>
          </w:p>
        </w:tc>
        <w:tc>
          <w:tcPr>
            <w:tcW w:type="dxa" w:w="893"/>
          </w:tcPr>
          <w:p>
            <w:pPr>
              <w:spacing w:after="20"/>
              <w:jc w:val="right"/>
            </w:pPr>
            <w:r>
              <w:rPr>
                <w:color w:val="1C3A36"/>
                <w:sz w:val="14"/>
              </w:rPr>
              <w:t>11,387</w:t>
            </w:r>
          </w:p>
        </w:tc>
        <w:tc>
          <w:tcPr>
            <w:tcW w:type="dxa" w:w="893"/>
          </w:tcPr>
          <w:p>
            <w:pPr>
              <w:spacing w:after="20"/>
              <w:jc w:val="right"/>
            </w:pPr>
            <w:r>
              <w:rPr>
                <w:color w:val="1C3A36"/>
                <w:sz w:val="14"/>
              </w:rPr>
              <w:t>11,822</w:t>
            </w:r>
          </w:p>
        </w:tc>
      </w:tr>
      <w:t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6,038</w:t>
            </w:r>
          </w:p>
        </w:tc>
        <w:tc>
          <w:tcPr>
            <w:tcW w:type="dxa" w:w="893"/>
          </w:tcPr>
          <w:p>
            <w:pPr>
              <w:spacing w:after="20"/>
              <w:jc w:val="right"/>
            </w:pPr>
            <w:r>
              <w:rPr>
                <w:color w:val="1C3A36"/>
                <w:sz w:val="14"/>
              </w:rPr>
              <w:t>6,394</w:t>
            </w:r>
          </w:p>
        </w:tc>
        <w:tc>
          <w:tcPr>
            <w:tcW w:type="dxa" w:w="893"/>
          </w:tcPr>
          <w:p>
            <w:pPr>
              <w:spacing w:after="20"/>
              <w:jc w:val="right"/>
            </w:pPr>
            <w:r>
              <w:rPr>
                <w:color w:val="1C3A36"/>
                <w:sz w:val="14"/>
              </w:rPr>
              <w:t>6,759</w:t>
            </w:r>
          </w:p>
        </w:tc>
        <w:tc>
          <w:tcPr>
            <w:tcW w:type="dxa" w:w="893"/>
          </w:tcPr>
          <w:p>
            <w:pPr>
              <w:spacing w:after="20"/>
              <w:jc w:val="right"/>
            </w:pPr>
            <w:r>
              <w:rPr>
                <w:color w:val="1C3A36"/>
                <w:sz w:val="14"/>
              </w:rPr>
              <w:t>7,135</w:t>
            </w:r>
          </w:p>
        </w:tc>
        <w:tc>
          <w:tcPr>
            <w:tcW w:type="dxa" w:w="893"/>
          </w:tcPr>
          <w:p>
            <w:pPr>
              <w:spacing w:after="20"/>
              <w:jc w:val="right"/>
            </w:pPr>
            <w:r>
              <w:rPr>
                <w:color w:val="1C3A36"/>
                <w:sz w:val="14"/>
              </w:rPr>
              <w:t>7,539</w:t>
            </w:r>
          </w:p>
        </w:tc>
      </w:tr>
      <w:t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4,976</w:t>
            </w:r>
          </w:p>
        </w:tc>
        <w:tc>
          <w:tcPr>
            <w:tcW w:type="dxa" w:w="893"/>
            <w:shd w:val="clear" w:color="auto" w:fill="F6F1E6"/>
          </w:tcPr>
          <w:p>
            <w:pPr>
              <w:spacing w:after="20"/>
              <w:jc w:val="right"/>
            </w:pPr>
            <w:r>
              <w:rPr>
                <w:b/>
                <w:color w:val="1C3A36"/>
                <w:sz w:val="14"/>
              </w:rPr>
              <w:t>4,707</w:t>
            </w:r>
          </w:p>
        </w:tc>
        <w:tc>
          <w:tcPr>
            <w:tcW w:type="dxa" w:w="893"/>
            <w:shd w:val="clear" w:color="auto" w:fill="F6F1E6"/>
          </w:tcPr>
          <w:p>
            <w:pPr>
              <w:spacing w:after="20"/>
              <w:jc w:val="right"/>
            </w:pPr>
            <w:r>
              <w:rPr>
                <w:b/>
                <w:color w:val="1C3A36"/>
                <w:sz w:val="14"/>
              </w:rPr>
              <w:t>4,401</w:t>
            </w:r>
          </w:p>
        </w:tc>
        <w:tc>
          <w:tcPr>
            <w:tcW w:type="dxa" w:w="893"/>
            <w:shd w:val="clear" w:color="auto" w:fill="F6F1E6"/>
          </w:tcPr>
          <w:p>
            <w:pPr>
              <w:spacing w:after="20"/>
              <w:jc w:val="right"/>
            </w:pPr>
            <w:r>
              <w:rPr>
                <w:b/>
                <w:color w:val="1C3A36"/>
                <w:sz w:val="14"/>
              </w:rPr>
              <w:t>4,252</w:t>
            </w:r>
          </w:p>
        </w:tc>
        <w:tc>
          <w:tcPr>
            <w:tcW w:type="dxa" w:w="893"/>
            <w:shd w:val="clear" w:color="auto" w:fill="F6F1E6"/>
          </w:tcPr>
          <w:p>
            <w:pPr>
              <w:spacing w:after="20"/>
              <w:jc w:val="right"/>
            </w:pPr>
            <w:r>
              <w:rPr>
                <w:b/>
                <w:color w:val="1C3A36"/>
                <w:sz w:val="14"/>
              </w:rPr>
              <w:t>4,283</w:t>
            </w:r>
          </w:p>
        </w:tc>
      </w:tr>
      <w:t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826</w:t>
            </w:r>
          </w:p>
        </w:tc>
        <w:tc>
          <w:tcPr>
            <w:tcW w:type="dxa" w:w="893"/>
          </w:tcPr>
          <w:p>
            <w:pPr>
              <w:spacing w:after="20"/>
              <w:jc w:val="right"/>
            </w:pPr>
            <w:r>
              <w:rPr>
                <w:color w:val="1C3A36"/>
                <w:sz w:val="14"/>
              </w:rPr>
              <w:t>894</w:t>
            </w:r>
          </w:p>
        </w:tc>
        <w:tc>
          <w:tcPr>
            <w:tcW w:type="dxa" w:w="893"/>
          </w:tcPr>
          <w:p>
            <w:pPr>
              <w:spacing w:after="20"/>
              <w:jc w:val="right"/>
            </w:pPr>
            <w:r>
              <w:rPr>
                <w:color w:val="1C3A36"/>
                <w:sz w:val="14"/>
              </w:rPr>
              <w:t>958</w:t>
            </w:r>
          </w:p>
        </w:tc>
        <w:tc>
          <w:tcPr>
            <w:tcW w:type="dxa" w:w="893"/>
          </w:tcPr>
          <w:p>
            <w:pPr>
              <w:spacing w:after="20"/>
              <w:jc w:val="right"/>
            </w:pPr>
            <w:r>
              <w:rPr>
                <w:color w:val="1C3A36"/>
                <w:sz w:val="14"/>
              </w:rPr>
              <w:t>1,023</w:t>
            </w:r>
          </w:p>
        </w:tc>
        <w:tc>
          <w:tcPr>
            <w:tcW w:type="dxa" w:w="893"/>
          </w:tcPr>
          <w:p>
            <w:pPr>
              <w:spacing w:after="20"/>
              <w:jc w:val="right"/>
            </w:pPr>
            <w:r>
              <w:rPr>
                <w:color w:val="1C3A36"/>
                <w:sz w:val="14"/>
              </w:rPr>
              <w:t>1,093</w:t>
            </w:r>
          </w:p>
        </w:tc>
      </w:tr>
      <w:t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396</w:t>
            </w:r>
          </w:p>
        </w:tc>
        <w:tc>
          <w:tcPr>
            <w:tcW w:type="dxa" w:w="893"/>
          </w:tcPr>
          <w:p>
            <w:pPr>
              <w:spacing w:after="20"/>
              <w:jc w:val="right"/>
            </w:pPr>
            <w:r>
              <w:rPr>
                <w:color w:val="1C3A36"/>
                <w:sz w:val="14"/>
              </w:rPr>
              <w:t>429</w:t>
            </w:r>
          </w:p>
        </w:tc>
        <w:tc>
          <w:tcPr>
            <w:tcW w:type="dxa" w:w="893"/>
          </w:tcPr>
          <w:p>
            <w:pPr>
              <w:spacing w:after="20"/>
              <w:jc w:val="right"/>
            </w:pPr>
            <w:r>
              <w:rPr>
                <w:color w:val="1C3A36"/>
                <w:sz w:val="14"/>
              </w:rPr>
              <w:t>461</w:t>
            </w:r>
          </w:p>
        </w:tc>
        <w:tc>
          <w:tcPr>
            <w:tcW w:type="dxa" w:w="893"/>
          </w:tcPr>
          <w:p>
            <w:pPr>
              <w:spacing w:after="20"/>
              <w:jc w:val="right"/>
            </w:pPr>
            <w:r>
              <w:rPr>
                <w:color w:val="1C3A36"/>
                <w:sz w:val="14"/>
              </w:rPr>
              <w:t>494</w:t>
            </w:r>
          </w:p>
        </w:tc>
        <w:tc>
          <w:tcPr>
            <w:tcW w:type="dxa" w:w="893"/>
          </w:tcPr>
          <w:p>
            <w:pPr>
              <w:spacing w:after="20"/>
              <w:jc w:val="right"/>
            </w:pPr>
            <w:r>
              <w:rPr>
                <w:color w:val="1C3A36"/>
                <w:sz w:val="14"/>
              </w:rPr>
              <w:t>528</w:t>
            </w:r>
          </w:p>
        </w:tc>
      </w:tr>
      <w:t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3,605</w:t>
            </w:r>
          </w:p>
        </w:tc>
        <w:tc>
          <w:tcPr>
            <w:tcW w:type="dxa" w:w="893"/>
            <w:shd w:val="clear" w:color="auto" w:fill="F6F1E6"/>
          </w:tcPr>
          <w:p>
            <w:pPr>
              <w:spacing w:after="20"/>
              <w:jc w:val="right"/>
            </w:pPr>
            <w:r>
              <w:rPr>
                <w:b/>
                <w:color w:val="1C3A36"/>
                <w:sz w:val="14"/>
              </w:rPr>
              <w:t>3,263</w:t>
            </w:r>
          </w:p>
        </w:tc>
        <w:tc>
          <w:tcPr>
            <w:tcW w:type="dxa" w:w="893"/>
            <w:shd w:val="clear" w:color="auto" w:fill="F6F1E6"/>
          </w:tcPr>
          <w:p>
            <w:pPr>
              <w:spacing w:after="20"/>
              <w:jc w:val="right"/>
            </w:pPr>
            <w:r>
              <w:rPr>
                <w:b/>
                <w:color w:val="1C3A36"/>
                <w:sz w:val="14"/>
              </w:rPr>
              <w:t>2,882</w:t>
            </w:r>
          </w:p>
        </w:tc>
        <w:tc>
          <w:tcPr>
            <w:tcW w:type="dxa" w:w="893"/>
            <w:shd w:val="clear" w:color="auto" w:fill="F6F1E6"/>
          </w:tcPr>
          <w:p>
            <w:pPr>
              <w:spacing w:after="20"/>
              <w:jc w:val="right"/>
            </w:pPr>
            <w:r>
              <w:rPr>
                <w:b/>
                <w:color w:val="1C3A36"/>
                <w:sz w:val="14"/>
              </w:rPr>
              <w:t>2,645</w:t>
            </w:r>
          </w:p>
        </w:tc>
        <w:tc>
          <w:tcPr>
            <w:tcW w:type="dxa" w:w="893"/>
            <w:shd w:val="clear" w:color="auto" w:fill="F6F1E6"/>
          </w:tcPr>
          <w:p>
            <w:pPr>
              <w:spacing w:after="20"/>
              <w:jc w:val="right"/>
            </w:pPr>
            <w:r>
              <w:rPr>
                <w:b/>
                <w:color w:val="1C3A36"/>
                <w:sz w:val="14"/>
              </w:rPr>
              <w:t>2,582</w:t>
            </w:r>
          </w:p>
        </w:tc>
      </w:tr>
      <w:t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906</w:t>
            </w:r>
          </w:p>
        </w:tc>
        <w:tc>
          <w:tcPr>
            <w:tcW w:type="dxa" w:w="893"/>
          </w:tcPr>
          <w:p>
            <w:pPr>
              <w:spacing w:after="20"/>
              <w:jc w:val="right"/>
            </w:pPr>
            <w:r>
              <w:rPr>
                <w:color w:val="1C3A36"/>
                <w:sz w:val="14"/>
              </w:rPr>
              <w:t>921</w:t>
            </w:r>
          </w:p>
        </w:tc>
        <w:tc>
          <w:tcPr>
            <w:tcW w:type="dxa" w:w="893"/>
          </w:tcPr>
          <w:p>
            <w:pPr>
              <w:spacing w:after="20"/>
              <w:jc w:val="right"/>
            </w:pPr>
            <w:r>
              <w:rPr>
                <w:color w:val="1C3A36"/>
                <w:sz w:val="14"/>
              </w:rPr>
              <w:t>937</w:t>
            </w:r>
          </w:p>
        </w:tc>
        <w:tc>
          <w:tcPr>
            <w:tcW w:type="dxa" w:w="893"/>
          </w:tcPr>
          <w:p>
            <w:pPr>
              <w:spacing w:after="20"/>
              <w:jc w:val="right"/>
            </w:pPr>
            <w:r>
              <w:rPr>
                <w:color w:val="1C3A36"/>
                <w:sz w:val="14"/>
              </w:rPr>
              <w:t>952</w:t>
            </w:r>
          </w:p>
        </w:tc>
      </w:tr>
      <w:t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3,047</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4,495</w:t>
            </w:r>
          </w:p>
        </w:tc>
        <w:tc>
          <w:tcPr>
            <w:tcW w:type="dxa" w:w="893"/>
            <w:shd w:val="clear" w:color="auto" w:fill="F6F1E6"/>
          </w:tcPr>
          <w:p>
            <w:pPr>
              <w:spacing w:after="20"/>
              <w:jc w:val="right"/>
            </w:pPr>
            <w:r>
              <w:rPr>
                <w:b/>
                <w:color w:val="1C3A36"/>
                <w:sz w:val="14"/>
              </w:rPr>
              <w:t>4,169</w:t>
            </w:r>
          </w:p>
        </w:tc>
        <w:tc>
          <w:tcPr>
            <w:tcW w:type="dxa" w:w="893"/>
            <w:shd w:val="clear" w:color="auto" w:fill="F6F1E6"/>
          </w:tcPr>
          <w:p>
            <w:pPr>
              <w:spacing w:after="20"/>
              <w:jc w:val="right"/>
            </w:pPr>
            <w:r>
              <w:rPr>
                <w:b/>
                <w:color w:val="1C3A36"/>
                <w:sz w:val="14"/>
              </w:rPr>
              <w:t>3,803</w:t>
            </w:r>
          </w:p>
        </w:tc>
        <w:tc>
          <w:tcPr>
            <w:tcW w:type="dxa" w:w="893"/>
            <w:shd w:val="clear" w:color="auto" w:fill="F6F1E6"/>
          </w:tcPr>
          <w:p>
            <w:pPr>
              <w:spacing w:after="20"/>
              <w:jc w:val="right"/>
            </w:pPr>
            <w:r>
              <w:rPr>
                <w:b/>
                <w:color w:val="1C3A36"/>
                <w:sz w:val="14"/>
              </w:rPr>
              <w:t>3,582</w:t>
            </w:r>
          </w:p>
        </w:tc>
        <w:tc>
          <w:tcPr>
            <w:tcW w:type="dxa" w:w="893"/>
            <w:shd w:val="clear" w:color="auto" w:fill="F6F1E6"/>
          </w:tcPr>
          <w:p>
            <w:pPr>
              <w:spacing w:after="20"/>
              <w:jc w:val="right"/>
            </w:pPr>
            <w:r>
              <w:rPr>
                <w:b/>
                <w:color w:val="1C3A36"/>
                <w:sz w:val="14"/>
              </w:rPr>
              <w:t>3,534</w:t>
            </w:r>
          </w:p>
        </w:tc>
      </w:tr>
      <w:t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45.2%</w:t>
            </w:r>
          </w:p>
        </w:tc>
        <w:tc>
          <w:tcPr>
            <w:tcW w:type="dxa" w:w="893"/>
          </w:tcPr>
          <w:p>
            <w:pPr>
              <w:spacing w:after="20"/>
              <w:jc w:val="right"/>
            </w:pPr>
            <w:r>
              <w:rPr>
                <w:color w:val="1C3A36"/>
                <w:sz w:val="14"/>
              </w:rPr>
              <w:t>42.4%</w:t>
            </w:r>
          </w:p>
        </w:tc>
        <w:tc>
          <w:tcPr>
            <w:tcW w:type="dxa" w:w="893"/>
          </w:tcPr>
          <w:p>
            <w:pPr>
              <w:spacing w:after="20"/>
              <w:jc w:val="right"/>
            </w:pPr>
            <w:r>
              <w:rPr>
                <w:color w:val="1C3A36"/>
                <w:sz w:val="14"/>
              </w:rPr>
              <w:t>39.4%</w:t>
            </w:r>
          </w:p>
        </w:tc>
        <w:tc>
          <w:tcPr>
            <w:tcW w:type="dxa" w:w="893"/>
          </w:tcPr>
          <w:p>
            <w:pPr>
              <w:spacing w:after="20"/>
              <w:jc w:val="right"/>
            </w:pPr>
            <w:r>
              <w:rPr>
                <w:color w:val="1C3A36"/>
                <w:sz w:val="14"/>
              </w:rPr>
              <w:t>37.3%</w:t>
            </w:r>
          </w:p>
        </w:tc>
        <w:tc>
          <w:tcPr>
            <w:tcW w:type="dxa" w:w="893"/>
          </w:tcPr>
          <w:p>
            <w:pPr>
              <w:spacing w:after="20"/>
              <w:jc w:val="right"/>
            </w:pPr>
            <w:r>
              <w:rPr>
                <w:color w:val="1C3A36"/>
                <w:sz w:val="14"/>
              </w:rPr>
              <w:t>36.2%</w:t>
            </w:r>
          </w:p>
        </w:tc>
      </w:tr>
      <w:t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35.4%</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40.8%</w:t>
            </w:r>
          </w:p>
        </w:tc>
        <w:tc>
          <w:tcPr>
            <w:tcW w:type="dxa" w:w="893"/>
          </w:tcPr>
          <w:p>
            <w:pPr>
              <w:spacing w:after="20"/>
              <w:jc w:val="right"/>
            </w:pPr>
            <w:r>
              <w:rPr>
                <w:color w:val="1C3A36"/>
                <w:sz w:val="14"/>
              </w:rPr>
              <w:t>37.6%</w:t>
            </w:r>
          </w:p>
        </w:tc>
        <w:tc>
          <w:tcPr>
            <w:tcW w:type="dxa" w:w="893"/>
          </w:tcPr>
          <w:p>
            <w:pPr>
              <w:spacing w:after="20"/>
              <w:jc w:val="right"/>
            </w:pPr>
            <w:r>
              <w:rPr>
                <w:color w:val="1C3A36"/>
                <w:sz w:val="14"/>
              </w:rPr>
              <w:t>34.1%</w:t>
            </w:r>
          </w:p>
        </w:tc>
        <w:tc>
          <w:tcPr>
            <w:tcW w:type="dxa" w:w="893"/>
          </w:tcPr>
          <w:p>
            <w:pPr>
              <w:spacing w:after="20"/>
              <w:jc w:val="right"/>
            </w:pPr>
            <w:r>
              <w:rPr>
                <w:color w:val="1C3A36"/>
                <w:sz w:val="14"/>
              </w:rPr>
              <w:t>31.5%</w:t>
            </w:r>
          </w:p>
        </w:tc>
        <w:tc>
          <w:tcPr>
            <w:tcW w:type="dxa" w:w="893"/>
          </w:tcPr>
          <w:p>
            <w:pPr>
              <w:spacing w:after="20"/>
              <w:jc w:val="right"/>
            </w:pPr>
            <w:r>
              <w:rPr>
                <w:color w:val="1C3A36"/>
                <w:sz w:val="14"/>
              </w:rPr>
              <w:t>29.9%</w:t>
            </w:r>
          </w:p>
        </w:tc>
      </w:tr>
      <w:t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14.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3,330</w:t>
            </w:r>
          </w:p>
        </w:tc>
        <w:tc>
          <w:tcPr>
            <w:tcW w:type="dxa" w:w="1426"/>
          </w:tcPr>
          <w:p>
            <w:pPr>
              <w:spacing w:after="20"/>
              <w:jc w:val="right"/>
            </w:pPr>
            <w:r>
              <w:rPr>
                <w:color w:val="1C3A36"/>
                <w:sz w:val="16"/>
              </w:rPr>
              <w:t>3,833</w:t>
            </w:r>
          </w:p>
        </w:tc>
        <w:tc>
          <w:tcPr>
            <w:tcW w:type="dxa" w:w="1426"/>
          </w:tcPr>
          <w:p>
            <w:pPr>
              <w:spacing w:after="20"/>
              <w:jc w:val="right"/>
            </w:pPr>
            <w:r>
              <w:rPr>
                <w:color w:val="1C3A36"/>
                <w:sz w:val="16"/>
              </w:rPr>
              <w:t>3,835</w:t>
            </w:r>
          </w:p>
        </w:tc>
        <w:tc>
          <w:tcPr>
            <w:tcW w:type="dxa" w:w="1426"/>
          </w:tcPr>
          <w:p>
            <w:pPr>
              <w:spacing w:after="20"/>
              <w:jc w:val="right"/>
            </w:pPr>
            <w:r>
              <w:rPr>
                <w:color w:val="1C3A36"/>
                <w:sz w:val="16"/>
              </w:rPr>
              <w:t>3,342</w:t>
            </w:r>
          </w:p>
        </w:tc>
        <w:tc>
          <w:tcPr>
            <w:tcW w:type="dxa" w:w="1426"/>
          </w:tcPr>
          <w:p>
            <w:pPr>
              <w:spacing w:after="20"/>
              <w:jc w:val="right"/>
            </w:pPr>
            <w:r>
              <w:rPr>
                <w:color w:val="1C3A36"/>
                <w:sz w:val="16"/>
              </w:rPr>
              <w:t>2,355</w:t>
            </w:r>
          </w:p>
        </w:tc>
      </w:tr>
      <w:t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906</w:t>
            </w:r>
          </w:p>
        </w:tc>
        <w:tc>
          <w:tcPr>
            <w:tcW w:type="dxa" w:w="1426"/>
          </w:tcPr>
          <w:p>
            <w:pPr>
              <w:spacing w:after="20"/>
              <w:jc w:val="right"/>
            </w:pPr>
            <w:r>
              <w:rPr>
                <w:color w:val="1C3A36"/>
                <w:sz w:val="16"/>
              </w:rPr>
              <w:t>921</w:t>
            </w:r>
          </w:p>
        </w:tc>
        <w:tc>
          <w:tcPr>
            <w:tcW w:type="dxa" w:w="1426"/>
          </w:tcPr>
          <w:p>
            <w:pPr>
              <w:spacing w:after="20"/>
              <w:jc w:val="right"/>
            </w:pPr>
            <w:r>
              <w:rPr>
                <w:color w:val="1C3A36"/>
                <w:sz w:val="16"/>
              </w:rPr>
              <w:t>937</w:t>
            </w:r>
          </w:p>
        </w:tc>
        <w:tc>
          <w:tcPr>
            <w:tcW w:type="dxa" w:w="1426"/>
          </w:tcPr>
          <w:p>
            <w:pPr>
              <w:spacing w:after="20"/>
              <w:jc w:val="right"/>
            </w:pPr>
            <w:r>
              <w:rPr>
                <w:color w:val="1C3A36"/>
                <w:sz w:val="16"/>
              </w:rPr>
              <w:t>952</w:t>
            </w:r>
          </w:p>
        </w:tc>
      </w:tr>
      <w:tr>
        <w:tc>
          <w:tcPr>
            <w:tcW w:type="dxa" w:w="2952"/>
          </w:tcPr>
          <w:p>
            <w:pPr>
              <w:spacing w:after="20"/>
            </w:pPr>
            <w:r>
              <w:rPr>
                <w:color w:val="1C3A36"/>
                <w:sz w:val="16"/>
              </w:rPr>
              <w:t>Receivables</w:t>
            </w:r>
          </w:p>
        </w:tc>
        <w:tc>
          <w:tcPr>
            <w:tcW w:type="dxa" w:w="1426"/>
          </w:tcPr>
          <w:p>
            <w:pPr>
              <w:spacing w:after="20"/>
              <w:jc w:val="right"/>
            </w:pPr>
            <w:r>
              <w:rPr>
                <w:color w:val="1C3A36"/>
                <w:sz w:val="16"/>
              </w:rPr>
              <w:t>808</w:t>
            </w:r>
          </w:p>
        </w:tc>
        <w:tc>
          <w:tcPr>
            <w:tcW w:type="dxa" w:w="1426"/>
          </w:tcPr>
          <w:p>
            <w:pPr>
              <w:spacing w:after="20"/>
              <w:jc w:val="right"/>
            </w:pPr>
            <w:r>
              <w:rPr>
                <w:color w:val="1C3A36"/>
                <w:sz w:val="16"/>
              </w:rPr>
              <w:t>814</w:t>
            </w:r>
          </w:p>
        </w:tc>
        <w:tc>
          <w:tcPr>
            <w:tcW w:type="dxa" w:w="1426"/>
          </w:tcPr>
          <w:p>
            <w:pPr>
              <w:spacing w:after="20"/>
              <w:jc w:val="right"/>
            </w:pPr>
            <w:r>
              <w:rPr>
                <w:color w:val="1C3A36"/>
                <w:sz w:val="16"/>
              </w:rPr>
              <w:t>819</w:t>
            </w:r>
          </w:p>
        </w:tc>
        <w:tc>
          <w:tcPr>
            <w:tcW w:type="dxa" w:w="1426"/>
          </w:tcPr>
          <w:p>
            <w:pPr>
              <w:spacing w:after="20"/>
              <w:jc w:val="right"/>
            </w:pPr>
            <w:r>
              <w:rPr>
                <w:color w:val="1C3A36"/>
                <w:sz w:val="16"/>
              </w:rPr>
              <w:t>835</w:t>
            </w:r>
          </w:p>
        </w:tc>
        <w:tc>
          <w:tcPr>
            <w:tcW w:type="dxa" w:w="1426"/>
          </w:tcPr>
          <w:p>
            <w:pPr>
              <w:spacing w:after="20"/>
              <w:jc w:val="right"/>
            </w:pPr>
            <w:r>
              <w:rPr>
                <w:color w:val="1C3A36"/>
                <w:sz w:val="16"/>
              </w:rPr>
              <w:t>867</w:t>
            </w:r>
          </w:p>
        </w:tc>
      </w:tr>
      <w:tr>
        <w:tc>
          <w:tcPr>
            <w:tcW w:type="dxa" w:w="2952"/>
          </w:tcPr>
          <w:p>
            <w:pPr>
              <w:spacing w:after="20"/>
            </w:pPr>
            <w:r>
              <w:rPr>
                <w:color w:val="1C3A36"/>
                <w:sz w:val="16"/>
              </w:rPr>
              <w:t>Inventory</w:t>
            </w:r>
          </w:p>
        </w:tc>
        <w:tc>
          <w:tcPr>
            <w:tcW w:type="dxa" w:w="1426"/>
          </w:tcPr>
          <w:p>
            <w:pPr>
              <w:spacing w:after="20"/>
              <w:jc w:val="right"/>
            </w:pPr>
            <w:r>
              <w:rPr>
                <w:color w:val="1C3A36"/>
                <w:sz w:val="16"/>
              </w:rPr>
              <w:t>2,733</w:t>
            </w:r>
          </w:p>
        </w:tc>
        <w:tc>
          <w:tcPr>
            <w:tcW w:type="dxa" w:w="1426"/>
          </w:tcPr>
          <w:p>
            <w:pPr>
              <w:spacing w:after="20"/>
              <w:jc w:val="right"/>
            </w:pPr>
            <w:r>
              <w:rPr>
                <w:color w:val="1C3A36"/>
                <w:sz w:val="16"/>
              </w:rPr>
              <w:t>2,895</w:t>
            </w:r>
          </w:p>
        </w:tc>
        <w:tc>
          <w:tcPr>
            <w:tcW w:type="dxa" w:w="1426"/>
          </w:tcPr>
          <w:p>
            <w:pPr>
              <w:spacing w:after="20"/>
              <w:jc w:val="right"/>
            </w:pPr>
            <w:r>
              <w:rPr>
                <w:color w:val="1C3A36"/>
                <w:sz w:val="16"/>
              </w:rPr>
              <w:t>3,060</w:t>
            </w:r>
          </w:p>
        </w:tc>
        <w:tc>
          <w:tcPr>
            <w:tcW w:type="dxa" w:w="1426"/>
          </w:tcPr>
          <w:p>
            <w:pPr>
              <w:spacing w:after="20"/>
              <w:jc w:val="right"/>
            </w:pPr>
            <w:r>
              <w:rPr>
                <w:color w:val="1C3A36"/>
                <w:sz w:val="16"/>
              </w:rPr>
              <w:t>3,230</w:t>
            </w:r>
          </w:p>
        </w:tc>
        <w:tc>
          <w:tcPr>
            <w:tcW w:type="dxa" w:w="1426"/>
          </w:tcPr>
          <w:p>
            <w:pPr>
              <w:spacing w:after="20"/>
              <w:jc w:val="right"/>
            </w:pPr>
            <w:r>
              <w:rPr>
                <w:color w:val="1C3A36"/>
                <w:sz w:val="16"/>
              </w:rPr>
              <w:t>3,413</w:t>
            </w:r>
          </w:p>
        </w:tc>
      </w:tr>
      <w:tr>
        <w:tc>
          <w:tcPr>
            <w:tcW w:type="dxa" w:w="2952"/>
          </w:tcPr>
          <w:p>
            <w:pPr>
              <w:spacing w:after="20"/>
            </w:pPr>
            <w:r>
              <w:rPr>
                <w:color w:val="1C3A36"/>
                <w:sz w:val="16"/>
              </w:rPr>
              <w:t>Payables</w:t>
            </w:r>
          </w:p>
        </w:tc>
        <w:tc>
          <w:tcPr>
            <w:tcW w:type="dxa" w:w="1426"/>
          </w:tcPr>
          <w:p>
            <w:pPr>
              <w:spacing w:after="20"/>
              <w:jc w:val="right"/>
            </w:pPr>
            <w:r>
              <w:rPr>
                <w:color w:val="1C3A36"/>
                <w:sz w:val="16"/>
              </w:rPr>
              <w:t>1,376</w:t>
            </w:r>
          </w:p>
        </w:tc>
        <w:tc>
          <w:tcPr>
            <w:tcW w:type="dxa" w:w="1426"/>
          </w:tcPr>
          <w:p>
            <w:pPr>
              <w:spacing w:after="20"/>
              <w:jc w:val="right"/>
            </w:pPr>
            <w:r>
              <w:rPr>
                <w:color w:val="1C3A36"/>
                <w:sz w:val="16"/>
              </w:rPr>
              <w:t>1,457</w:t>
            </w:r>
          </w:p>
        </w:tc>
        <w:tc>
          <w:tcPr>
            <w:tcW w:type="dxa" w:w="1426"/>
          </w:tcPr>
          <w:p>
            <w:pPr>
              <w:spacing w:after="20"/>
              <w:jc w:val="right"/>
            </w:pPr>
            <w:r>
              <w:rPr>
                <w:color w:val="1C3A36"/>
                <w:sz w:val="16"/>
              </w:rPr>
              <w:t>1,540</w:t>
            </w:r>
          </w:p>
        </w:tc>
        <w:tc>
          <w:tcPr>
            <w:tcW w:type="dxa" w:w="1426"/>
          </w:tcPr>
          <w:p>
            <w:pPr>
              <w:spacing w:after="20"/>
              <w:jc w:val="right"/>
            </w:pPr>
            <w:r>
              <w:rPr>
                <w:color w:val="1C3A36"/>
                <w:sz w:val="16"/>
              </w:rPr>
              <w:t>1,626</w:t>
            </w:r>
          </w:p>
        </w:tc>
        <w:tc>
          <w:tcPr>
            <w:tcW w:type="dxa" w:w="1426"/>
          </w:tcPr>
          <w:p>
            <w:pPr>
              <w:spacing w:after="20"/>
              <w:jc w:val="right"/>
            </w:pPr>
            <w:r>
              <w:rPr>
                <w:color w:val="1C3A36"/>
                <w:sz w:val="16"/>
              </w:rPr>
              <w:t>1,718</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2,166</w:t>
            </w:r>
          </w:p>
        </w:tc>
        <w:tc>
          <w:tcPr>
            <w:tcW w:type="dxa" w:w="1426"/>
          </w:tcPr>
          <w:p>
            <w:pPr>
              <w:spacing w:after="20"/>
              <w:jc w:val="right"/>
            </w:pPr>
            <w:r>
              <w:rPr>
                <w:color w:val="1C3A36"/>
                <w:sz w:val="16"/>
              </w:rPr>
              <w:t>2,252</w:t>
            </w:r>
          </w:p>
        </w:tc>
        <w:tc>
          <w:tcPr>
            <w:tcW w:type="dxa" w:w="1426"/>
          </w:tcPr>
          <w:p>
            <w:pPr>
              <w:spacing w:after="20"/>
              <w:jc w:val="right"/>
            </w:pPr>
            <w:r>
              <w:rPr>
                <w:color w:val="1C3A36"/>
                <w:sz w:val="16"/>
              </w:rPr>
              <w:t>2,338</w:t>
            </w:r>
          </w:p>
        </w:tc>
        <w:tc>
          <w:tcPr>
            <w:tcW w:type="dxa" w:w="1426"/>
          </w:tcPr>
          <w:p>
            <w:pPr>
              <w:spacing w:after="20"/>
              <w:jc w:val="right"/>
            </w:pPr>
            <w:r>
              <w:rPr>
                <w:color w:val="1C3A36"/>
                <w:sz w:val="16"/>
              </w:rPr>
              <w:t>2,440</w:t>
            </w:r>
          </w:p>
        </w:tc>
        <w:tc>
          <w:tcPr>
            <w:tcW w:type="dxa" w:w="1426"/>
          </w:tcPr>
          <w:p>
            <w:pPr>
              <w:spacing w:after="20"/>
              <w:jc w:val="right"/>
            </w:pPr>
            <w:r>
              <w:rPr>
                <w:color w:val="1C3A36"/>
                <w:sz w:val="16"/>
              </w:rPr>
              <w:t>2,563</w:t>
            </w:r>
          </w:p>
        </w:tc>
      </w:tr>
      <w:t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94</w:t>
            </w:r>
          </w:p>
        </w:tc>
        <w:tc>
          <w:tcPr>
            <w:tcW w:type="dxa" w:w="1426"/>
          </w:tcPr>
          <w:p>
            <w:pPr>
              <w:spacing w:after="20"/>
              <w:jc w:val="right"/>
            </w:pPr>
            <w:r>
              <w:rPr>
                <w:color w:val="1C3A36"/>
                <w:sz w:val="16"/>
              </w:rPr>
              <w:t>87</w:t>
            </w:r>
          </w:p>
        </w:tc>
        <w:tc>
          <w:tcPr>
            <w:tcW w:type="dxa" w:w="1426"/>
          </w:tcPr>
          <w:p>
            <w:pPr>
              <w:spacing w:after="20"/>
              <w:jc w:val="right"/>
            </w:pPr>
            <w:r>
              <w:rPr>
                <w:color w:val="1C3A36"/>
                <w:sz w:val="16"/>
              </w:rPr>
              <w:t>86</w:t>
            </w:r>
          </w:p>
        </w:tc>
        <w:tc>
          <w:tcPr>
            <w:tcW w:type="dxa" w:w="1426"/>
          </w:tcPr>
          <w:p>
            <w:pPr>
              <w:spacing w:after="20"/>
              <w:jc w:val="right"/>
            </w:pPr>
            <w:r>
              <w:rPr>
                <w:color w:val="1C3A36"/>
                <w:sz w:val="16"/>
              </w:rPr>
              <w:t>101</w:t>
            </w:r>
          </w:p>
        </w:tc>
        <w:tc>
          <w:tcPr>
            <w:tcW w:type="dxa" w:w="1426"/>
          </w:tcPr>
          <w:p>
            <w:pPr>
              <w:spacing w:after="20"/>
              <w:jc w:val="right"/>
            </w:pPr>
            <w:r>
              <w:rPr>
                <w:color w:val="1C3A36"/>
                <w:sz w:val="16"/>
              </w:rPr>
              <w:t>123</w:t>
            </w:r>
          </w:p>
        </w:tc>
      </w:tr>
      <w:t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259</w:t>
            </w:r>
          </w:p>
        </w:tc>
        <w:tc>
          <w:tcPr>
            <w:tcW w:type="dxa" w:w="1426"/>
            <w:shd w:val="clear" w:color="auto" w:fill="F6F1E6"/>
          </w:tcPr>
          <w:p>
            <w:pPr>
              <w:spacing w:after="20"/>
              <w:jc w:val="right"/>
            </w:pPr>
            <w:r>
              <w:rPr>
                <w:b/>
                <w:color w:val="1C3A36"/>
                <w:sz w:val="16"/>
              </w:rPr>
              <w:t>-485</w:t>
            </w:r>
          </w:p>
        </w:tc>
        <w:tc>
          <w:tcPr>
            <w:tcW w:type="dxa" w:w="1426"/>
            <w:shd w:val="clear" w:color="auto" w:fill="F6F1E6"/>
          </w:tcPr>
          <w:p>
            <w:pPr>
              <w:spacing w:after="20"/>
              <w:jc w:val="right"/>
            </w:pPr>
            <w:r>
              <w:rPr>
                <w:b/>
                <w:color w:val="1C3A36"/>
                <w:sz w:val="16"/>
              </w:rPr>
              <w:t>-766</w:t>
            </w:r>
          </w:p>
        </w:tc>
        <w:tc>
          <w:tcPr>
            <w:tcW w:type="dxa" w:w="1426"/>
            <w:shd w:val="clear" w:color="auto" w:fill="F6F1E6"/>
          </w:tcPr>
          <w:p>
            <w:pPr>
              <w:spacing w:after="20"/>
              <w:jc w:val="right"/>
            </w:pPr>
            <w:r>
              <w:rPr>
                <w:b/>
                <w:color w:val="1C3A36"/>
                <w:sz w:val="16"/>
              </w:rPr>
              <w:t>-456</w:t>
            </w:r>
          </w:p>
        </w:tc>
        <w:tc>
          <w:tcPr>
            <w:tcW w:type="dxa" w:w="1426"/>
            <w:shd w:val="clear" w:color="auto" w:fill="F6F1E6"/>
          </w:tcPr>
          <w:p>
            <w:pPr>
              <w:spacing w:after="20"/>
              <w:jc w:val="right"/>
            </w:pPr>
            <w:r>
              <w:rPr>
                <w:b/>
                <w:color w:val="1C3A36"/>
                <w:sz w:val="16"/>
              </w:rPr>
              <w:t>475</w:t>
            </w:r>
          </w:p>
        </w:tc>
      </w:tr>
    </w:tbl>
    <w:p>
      <w:pPr>
        <w:spacing w:after="40"/>
      </w:pPr>
    </w:p>
    <w:p>
      <w:pPr>
        <w:spacing w:after="200" w:before="0"/>
      </w:pPr>
      <w:r>
        <w:rPr>
          <w:b w:val="0"/>
          <w:i/>
          <w:color w:val="6E7B77"/>
          <w:sz w:val="17"/>
        </w:rPr>
        <w:t>Table 15.  Working capital is projected from the day counts the audited statements themselves imply — 26.8 days of receivables, 165.2 of inventory and 83.2 of payables — rather than plugged.</w:t>
      </w:r>
    </w:p>
    <w:p>
      <w:pPr>
        <w:spacing w:after="120" w:before="280"/>
      </w:pPr>
      <w:r>
        <w:rPr>
          <w:b/>
          <w:i w:val="0"/>
          <w:color w:val="1C3A36"/>
          <w:sz w:val="30"/>
        </w:rPr>
        <w:t>Appendix B  Peer frame, risk register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167</w:t>
            </w:r>
          </w:p>
        </w:tc>
      </w:tr>
      <w:t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11</w:t>
            </w:r>
          </w:p>
        </w:tc>
      </w:tr>
      <w:t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9</w:t>
            </w:r>
          </w:p>
        </w:tc>
      </w:tr>
      <w:t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17</w:t>
            </w:r>
          </w:p>
        </w:tc>
      </w:tr>
      <w:t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38</w:t>
            </w:r>
          </w:p>
        </w:tc>
      </w:tr>
      <w:t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242</w:t>
            </w:r>
          </w:p>
        </w:tc>
      </w:tr>
    </w:tbl>
    <w:p>
      <w:pPr>
        <w:spacing w:after="40"/>
      </w:pPr>
    </w:p>
    <w:p>
      <w:pPr>
        <w:spacing w:after="200" w:before="0"/>
      </w:pPr>
      <w:r>
        <w:rPr>
          <w:b w:val="0"/>
          <w:i/>
          <w:color w:val="6E7B77"/>
          <w:sz w:val="17"/>
        </w:rPr>
        <w:t>Table 16.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120" w:before="0"/>
      </w:pPr>
      <w:r>
        <w:rPr>
          <w:b/>
          <w:i w:val="0"/>
          <w:color w:val="1C3A36"/>
          <w:sz w:val="21"/>
        </w:rPr>
        <w:t>Range: EGP 4.47 to EGP 7.44 a share.</w:t>
      </w:r>
    </w:p>
    <w:p>
      <w:pPr>
        <w:spacing w:after="120" w:before="0"/>
      </w:pPr>
      <w:r>
        <w:rPr>
          <w:b w:val="0"/>
          <w:i w:val="0"/>
          <w:color w:val="1C3A36"/>
          <w:sz w:val="19"/>
        </w:rPr>
        <w:t>Named sensitivity.  The build cost is the swing factor. At US$550 per annual tonne the range starts at EGP 3.82; at US$700 it reaches EGP 5.11. The control discount moves it by about a third either way.</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c>
          <w:tcPr>
            <w:tcW w:type="dxa" w:w="4320"/>
          </w:tcPr>
          <w:p>
            <w:pPr>
              <w:spacing w:after="20"/>
            </w:pPr>
            <w:r>
              <w:rPr>
                <w:color w:val="1C3A36"/>
                <w:sz w:val="16"/>
              </w:rPr>
              <w:t>Exchange rate</w:t>
            </w:r>
          </w:p>
        </w:tc>
        <w:tc>
          <w:tcPr>
            <w:tcW w:type="dxa" w:w="1944"/>
          </w:tcPr>
          <w:p>
            <w:pPr>
              <w:spacing w:after="20"/>
              <w:jc w:val="right"/>
            </w:pPr>
            <w:r>
              <w:rPr>
                <w:color w:val="1C3A36"/>
                <w:sz w:val="16"/>
              </w:rPr>
              <w:t>54</w:t>
            </w:r>
          </w:p>
        </w:tc>
        <w:tc>
          <w:tcPr>
            <w:tcW w:type="dxa" w:w="3672"/>
          </w:tcPr>
          <w:p>
            <w:pPr>
              <w:spacing w:after="20"/>
            </w:pPr>
            <w:r>
              <w:rPr>
                <w:color w:val="1C3A36"/>
                <w:sz w:val="16"/>
              </w:rPr>
            </w:r>
          </w:p>
        </w:tc>
      </w:tr>
      <w:tr>
        <w:tc>
          <w:tcPr>
            <w:tcW w:type="dxa" w:w="4320"/>
          </w:tcPr>
          <w:p>
            <w:pPr>
              <w:spacing w:after="20"/>
            </w:pPr>
            <w:r>
              <w:rPr>
                <w:color w:val="1C3A36"/>
                <w:sz w:val="16"/>
              </w:rPr>
              <w:t>Export revenue (EGP m)</w:t>
            </w:r>
          </w:p>
        </w:tc>
        <w:tc>
          <w:tcPr>
            <w:tcW w:type="dxa" w:w="1944"/>
          </w:tcPr>
          <w:p>
            <w:pPr>
              <w:spacing w:after="20"/>
              <w:jc w:val="right"/>
            </w:pPr>
            <w:r>
              <w:rPr>
                <w:color w:val="1C3A36"/>
                <w:sz w:val="16"/>
              </w:rPr>
              <w:t>6,742</w:t>
            </w:r>
          </w:p>
        </w:tc>
        <w:tc>
          <w:tcPr>
            <w:tcW w:type="dxa" w:w="3672"/>
          </w:tcPr>
          <w:p>
            <w:pPr>
              <w:spacing w:after="20"/>
            </w:pPr>
            <w:r>
              <w:rPr>
                <w:color w:val="1C3A36"/>
                <w:sz w:val="16"/>
              </w:rPr>
              <w:t>net of the 10% duty</w:t>
            </w:r>
          </w:p>
        </w:tc>
      </w:tr>
      <w:t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780</w:t>
            </w:r>
          </w:p>
        </w:tc>
        <w:tc>
          <w:tcPr>
            <w:tcW w:type="dxa" w:w="3672"/>
          </w:tcPr>
          <w:p>
            <w:pPr>
              <w:spacing w:after="20"/>
            </w:pPr>
            <w:r>
              <w:rPr>
                <w:color w:val="1C3A36"/>
                <w:sz w:val="16"/>
              </w:rPr>
            </w:r>
          </w:p>
        </w:tc>
      </w:tr>
      <w:tr>
        <w:tc>
          <w:tcPr>
            <w:tcW w:type="dxa" w:w="4320"/>
          </w:tcPr>
          <w:p>
            <w:pPr>
              <w:spacing w:after="20"/>
            </w:pPr>
            <w:r>
              <w:rPr>
                <w:color w:val="1C3A36"/>
                <w:sz w:val="16"/>
              </w:rPr>
              <w:t>Nitrate revenue (EGP m)</w:t>
            </w:r>
          </w:p>
        </w:tc>
        <w:tc>
          <w:tcPr>
            <w:tcW w:type="dxa" w:w="1944"/>
          </w:tcPr>
          <w:p>
            <w:pPr>
              <w:spacing w:after="20"/>
              <w:jc w:val="right"/>
            </w:pPr>
            <w:r>
              <w:rPr>
                <w:color w:val="1C3A36"/>
                <w:sz w:val="16"/>
              </w:rPr>
              <w:t>575</w:t>
            </w:r>
          </w:p>
        </w:tc>
        <w:tc>
          <w:tcPr>
            <w:tcW w:type="dxa" w:w="3672"/>
          </w:tcPr>
          <w:p>
            <w:pPr>
              <w:spacing w:after="20"/>
            </w:pPr>
            <w:r>
              <w:rPr>
                <w:color w:val="1C3A36"/>
                <w:sz w:val="16"/>
              </w:rPr>
            </w:r>
          </w:p>
        </w:tc>
      </w:tr>
      <w:t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c>
          <w:tcPr>
            <w:tcW w:type="dxa" w:w="4320"/>
          </w:tcPr>
          <w:p>
            <w:pPr>
              <w:spacing w:after="20"/>
            </w:pPr>
            <w:r>
              <w:rPr>
                <w:color w:val="1C3A36"/>
                <w:sz w:val="16"/>
              </w:rPr>
              <w:t>MID-CYCLE REVENUE (EGP m)</w:t>
            </w:r>
          </w:p>
        </w:tc>
        <w:tc>
          <w:tcPr>
            <w:tcW w:type="dxa" w:w="1944"/>
          </w:tcPr>
          <w:p>
            <w:pPr>
              <w:spacing w:after="20"/>
              <w:jc w:val="right"/>
            </w:pPr>
            <w:r>
              <w:rPr>
                <w:color w:val="1C3A36"/>
                <w:sz w:val="16"/>
              </w:rPr>
              <w:t>9,404</w:t>
            </w:r>
          </w:p>
        </w:tc>
        <w:tc>
          <w:tcPr>
            <w:tcW w:type="dxa" w:w="3672"/>
          </w:tcPr>
          <w:p>
            <w:pPr>
              <w:spacing w:after="20"/>
            </w:pPr>
            <w:r>
              <w:rPr>
                <w:color w:val="1C3A36"/>
                <w:sz w:val="16"/>
              </w:rPr>
            </w:r>
          </w:p>
        </w:tc>
      </w:tr>
      <w:tr>
        <w:tc>
          <w:tcPr>
            <w:tcW w:type="dxa" w:w="4320"/>
          </w:tcPr>
          <w:p>
            <w:pPr>
              <w:spacing w:after="20"/>
            </w:pPr>
            <w:r>
              <w:rPr>
                <w:color w:val="1C3A36"/>
                <w:sz w:val="16"/>
              </w:rPr>
              <w:t>Natural gas (EGP m)</w:t>
            </w:r>
          </w:p>
        </w:tc>
        <w:tc>
          <w:tcPr>
            <w:tcW w:type="dxa" w:w="1944"/>
          </w:tcPr>
          <w:p>
            <w:pPr>
              <w:spacing w:after="20"/>
              <w:jc w:val="right"/>
            </w:pPr>
            <w:r>
              <w:rPr>
                <w:color w:val="1C3A36"/>
                <w:sz w:val="16"/>
              </w:rPr>
              <w:t>-3,877</w:t>
            </w:r>
          </w:p>
        </w:tc>
        <w:tc>
          <w:tcPr>
            <w:tcW w:type="dxa" w:w="3672"/>
          </w:tcPr>
          <w:p>
            <w:pPr>
              <w:spacing w:after="20"/>
            </w:pPr>
            <w:r>
              <w:rPr>
                <w:color w:val="1C3A36"/>
                <w:sz w:val="16"/>
              </w:rPr>
              <w:t>consumption x price x the rate</w:t>
            </w:r>
          </w:p>
        </w:tc>
      </w:tr>
      <w:t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c>
          <w:tcPr>
            <w:tcW w:type="dxa" w:w="4320"/>
          </w:tcPr>
          <w:p>
            <w:pPr>
              <w:spacing w:after="20"/>
            </w:pPr>
            <w:r>
              <w:rPr>
                <w:color w:val="1C3A36"/>
                <w:sz w:val="16"/>
              </w:rPr>
              <w:t>MID-CYCLE EBITDA (EGP m)</w:t>
            </w:r>
          </w:p>
        </w:tc>
        <w:tc>
          <w:tcPr>
            <w:tcW w:type="dxa" w:w="1944"/>
          </w:tcPr>
          <w:p>
            <w:pPr>
              <w:spacing w:after="20"/>
              <w:jc w:val="right"/>
            </w:pPr>
            <w:r>
              <w:rPr>
                <w:color w:val="1C3A36"/>
                <w:sz w:val="16"/>
              </w:rPr>
              <w:t>2,697</w:t>
            </w:r>
          </w:p>
        </w:tc>
        <w:tc>
          <w:tcPr>
            <w:tcW w:type="dxa" w:w="3672"/>
          </w:tcPr>
          <w:p>
            <w:pPr>
              <w:spacing w:after="20"/>
            </w:pPr>
            <w:r>
              <w:rPr>
                <w:color w:val="1C3A36"/>
                <w:sz w:val="16"/>
              </w:rPr>
            </w:r>
          </w:p>
        </w:tc>
      </w:tr>
      <w:t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c>
          <w:tcPr>
            <w:tcW w:type="dxa" w:w="4320"/>
          </w:tcPr>
          <w:p>
            <w:pPr>
              <w:spacing w:after="20"/>
            </w:pPr>
            <w:r>
              <w:rPr>
                <w:color w:val="1C3A36"/>
                <w:sz w:val="16"/>
              </w:rPr>
              <w:t>Tax at the statutory rate</w:t>
            </w:r>
          </w:p>
        </w:tc>
        <w:tc>
          <w:tcPr>
            <w:tcW w:type="dxa" w:w="1944"/>
          </w:tcPr>
          <w:p>
            <w:pPr>
              <w:spacing w:after="20"/>
              <w:jc w:val="right"/>
            </w:pPr>
            <w:r>
              <w:rPr>
                <w:color w:val="1C3A36"/>
                <w:sz w:val="16"/>
              </w:rPr>
              <w:t>-406</w:t>
            </w:r>
          </w:p>
        </w:tc>
        <w:tc>
          <w:tcPr>
            <w:tcW w:type="dxa" w:w="3672"/>
          </w:tcPr>
          <w:p>
            <w:pPr>
              <w:spacing w:after="20"/>
            </w:pPr>
            <w:r>
              <w:rPr>
                <w:color w:val="1C3A36"/>
                <w:sz w:val="16"/>
              </w:rPr>
            </w:r>
          </w:p>
        </w:tc>
      </w:tr>
      <w:t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1,400</w:t>
            </w:r>
          </w:p>
        </w:tc>
        <w:tc>
          <w:tcPr>
            <w:tcW w:type="dxa" w:w="3672"/>
          </w:tcPr>
          <w:p>
            <w:pPr>
              <w:spacing w:after="20"/>
            </w:pPr>
            <w:r>
              <w:rPr>
                <w:color w:val="1C3A36"/>
                <w:sz w:val="16"/>
              </w:rPr>
            </w:r>
          </w:p>
        </w:tc>
      </w:tr>
      <w:t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13,996</w:t>
            </w:r>
          </w:p>
        </w:tc>
        <w:tc>
          <w:tcPr>
            <w:tcW w:type="dxa" w:w="3672"/>
          </w:tcPr>
          <w:p>
            <w:pPr>
              <w:spacing w:after="20"/>
            </w:pPr>
            <w:r>
              <w:rPr>
                <w:color w:val="1C3A36"/>
                <w:sz w:val="16"/>
              </w:rPr>
            </w:r>
          </w:p>
        </w:tc>
      </w:tr>
      <w:t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c>
          <w:tcPr>
            <w:tcW w:type="dxa" w:w="4320"/>
          </w:tcPr>
          <w:p>
            <w:pPr>
              <w:spacing w:after="20"/>
            </w:pPr>
            <w:r>
              <w:rPr>
                <w:color w:val="1C3A36"/>
                <w:sz w:val="16"/>
              </w:rPr>
              <w:t>PER SHARE (EGP)</w:t>
            </w:r>
          </w:p>
        </w:tc>
        <w:tc>
          <w:tcPr>
            <w:tcW w:type="dxa" w:w="1944"/>
          </w:tcPr>
          <w:p>
            <w:pPr>
              <w:spacing w:after="20"/>
              <w:jc w:val="right"/>
            </w:pPr>
            <w:r>
              <w:rPr>
                <w:color w:val="1C3A36"/>
                <w:sz w:val="16"/>
              </w:rPr>
              <w:t>3.78</w:t>
            </w:r>
          </w:p>
        </w:tc>
        <w:tc>
          <w:tcPr>
            <w:tcW w:type="dxa" w:w="3672"/>
          </w:tcPr>
          <w:p>
            <w:pPr>
              <w:spacing w:after="20"/>
            </w:pPr>
            <w:r>
              <w:rPr>
                <w:color w:val="1C3A36"/>
                <w:sz w:val="16"/>
              </w:rPr>
            </w:r>
          </w:p>
        </w:tc>
      </w:tr>
    </w:tbl>
    <w:p>
      <w:pPr>
        <w:spacing w:after="40"/>
      </w:pPr>
    </w:p>
    <w:p>
      <w:pPr>
        <w:spacing w:after="120" w:before="0"/>
      </w:pPr>
      <w:r>
        <w:rPr>
          <w:b/>
          <w:i w:val="0"/>
          <w:color w:val="1C3A36"/>
          <w:sz w:val="21"/>
        </w:rPr>
        <w:t>Range: EGP 2.37 to EGP 5.19 a share.</w:t>
      </w:r>
    </w:p>
    <w:p>
      <w:pPr>
        <w:spacing w:after="120" w:before="0"/>
      </w:pPr>
      <w:r>
        <w:rPr>
          <w:b w:val="0"/>
          <w:i w:val="0"/>
          <w:color w:val="1C3A36"/>
          <w:sz w:val="19"/>
        </w:rPr>
        <w:t>Named sensitivity.  The multiple is the swing factor: eight times gives EGP 2.37, twelve times EGP 5.19.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7,444</w:t>
            </w:r>
          </w:p>
        </w:tc>
        <w:tc>
          <w:tcPr>
            <w:tcW w:type="dxa" w:w="3672"/>
          </w:tcPr>
          <w:p>
            <w:pPr>
              <w:spacing w:after="20"/>
            </w:pPr>
            <w:r>
              <w:rPr>
                <w:color w:val="1C3A36"/>
                <w:sz w:val="16"/>
              </w:rPr>
              <w:t>the underlying</w:t>
            </w:r>
          </w:p>
        </w:tc>
      </w:tr>
      <w:t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3,615</w:t>
            </w:r>
          </w:p>
        </w:tc>
        <w:tc>
          <w:tcPr>
            <w:tcW w:type="dxa" w:w="3672"/>
          </w:tcPr>
          <w:p>
            <w:pPr>
              <w:spacing w:after="20"/>
            </w:pPr>
            <w:r>
              <w:rPr>
                <w:color w:val="1C3A36"/>
                <w:sz w:val="16"/>
              </w:rPr>
            </w:r>
          </w:p>
        </w:tc>
      </w:tr>
      <w:tr>
        <w:tc>
          <w:tcPr>
            <w:tcW w:type="dxa" w:w="4320"/>
          </w:tcPr>
          <w:p>
            <w:pPr>
              <w:spacing w:after="20"/>
            </w:pPr>
            <w:r>
              <w:rPr>
                <w:color w:val="1C3A36"/>
                <w:sz w:val="16"/>
              </w:rPr>
              <w:t>At 35% volatility (EGP m)</w:t>
            </w:r>
          </w:p>
        </w:tc>
        <w:tc>
          <w:tcPr>
            <w:tcW w:type="dxa" w:w="1944"/>
          </w:tcPr>
          <w:p>
            <w:pPr>
              <w:spacing w:after="20"/>
              <w:jc w:val="right"/>
            </w:pPr>
            <w:r>
              <w:rPr>
                <w:color w:val="1C3A36"/>
                <w:sz w:val="16"/>
              </w:rPr>
              <w:t>3,137</w:t>
            </w:r>
          </w:p>
        </w:tc>
        <w:tc>
          <w:tcPr>
            <w:tcW w:type="dxa" w:w="3672"/>
          </w:tcPr>
          <w:p>
            <w:pPr>
              <w:spacing w:after="20"/>
            </w:pPr>
            <w:r>
              <w:rPr>
                <w:color w:val="1C3A36"/>
                <w:sz w:val="16"/>
              </w:rPr>
            </w:r>
          </w:p>
        </w:tc>
      </w:tr>
      <w:tr>
        <w:tc>
          <w:tcPr>
            <w:tcW w:type="dxa" w:w="4320"/>
          </w:tcPr>
          <w:p>
            <w:pPr>
              <w:spacing w:after="20"/>
            </w:pPr>
            <w:r>
              <w:rPr>
                <w:color w:val="1C3A36"/>
                <w:sz w:val="16"/>
              </w:rPr>
              <w:t>At 55% volatility (EGP m)</w:t>
            </w:r>
          </w:p>
        </w:tc>
        <w:tc>
          <w:tcPr>
            <w:tcW w:type="dxa" w:w="1944"/>
          </w:tcPr>
          <w:p>
            <w:pPr>
              <w:spacing w:after="20"/>
              <w:jc w:val="right"/>
            </w:pPr>
            <w:r>
              <w:rPr>
                <w:color w:val="1C3A36"/>
                <w:sz w:val="16"/>
              </w:rPr>
              <w:t>4,078</w:t>
            </w:r>
          </w:p>
        </w:tc>
        <w:tc>
          <w:tcPr>
            <w:tcW w:type="dxa" w:w="3672"/>
          </w:tcPr>
          <w:p>
            <w:pPr>
              <w:spacing w:after="20"/>
            </w:pPr>
            <w:r>
              <w:rPr>
                <w:color w:val="1C3A36"/>
                <w:sz w:val="16"/>
              </w:rPr>
            </w:r>
          </w:p>
        </w:tc>
      </w:tr>
      <w:t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c>
          <w:tcPr>
            <w:tcW w:type="dxa" w:w="4320"/>
          </w:tcPr>
          <w:p>
            <w:pPr>
              <w:spacing w:after="20"/>
            </w:pPr>
            <w:r>
              <w:rPr>
                <w:color w:val="1C3A36"/>
                <w:sz w:val="16"/>
              </w:rPr>
              <w:t>Adjusted call value (EGP m)</w:t>
            </w:r>
          </w:p>
        </w:tc>
        <w:tc>
          <w:tcPr>
            <w:tcW w:type="dxa" w:w="1944"/>
          </w:tcPr>
          <w:p>
            <w:pPr>
              <w:spacing w:after="20"/>
              <w:jc w:val="right"/>
            </w:pPr>
            <w:r>
              <w:rPr>
                <w:color w:val="1C3A36"/>
                <w:sz w:val="16"/>
              </w:rPr>
              <w:t>2,711</w:t>
            </w:r>
          </w:p>
        </w:tc>
        <w:tc>
          <w:tcPr>
            <w:tcW w:type="dxa" w:w="3672"/>
          </w:tcPr>
          <w:p>
            <w:pPr>
              <w:spacing w:after="20"/>
            </w:pPr>
            <w:r>
              <w:rPr>
                <w:color w:val="1C3A36"/>
                <w:sz w:val="16"/>
              </w:rPr>
            </w:r>
          </w:p>
        </w:tc>
      </w:tr>
      <w:tr>
        <w:tc>
          <w:tcPr>
            <w:tcW w:type="dxa" w:w="4320"/>
          </w:tcPr>
          <w:p>
            <w:pPr>
              <w:spacing w:after="20"/>
            </w:pPr>
            <w:r>
              <w:rPr>
                <w:color w:val="1C3A36"/>
                <w:sz w:val="16"/>
              </w:rPr>
              <w:t>PER SHARE (EGP)</w:t>
            </w:r>
          </w:p>
        </w:tc>
        <w:tc>
          <w:tcPr>
            <w:tcW w:type="dxa" w:w="1944"/>
          </w:tcPr>
          <w:p>
            <w:pPr>
              <w:spacing w:after="20"/>
              <w:jc w:val="right"/>
            </w:pPr>
            <w:r>
              <w:rPr>
                <w:color w:val="1C3A36"/>
                <w:sz w:val="16"/>
              </w:rPr>
              <w:t>1.36</w:t>
            </w:r>
          </w:p>
        </w:tc>
        <w:tc>
          <w:tcPr>
            <w:tcW w:type="dxa" w:w="3672"/>
          </w:tcPr>
          <w:p>
            <w:pPr>
              <w:spacing w:after="20"/>
            </w:pPr>
            <w:r>
              <w:rPr>
                <w:color w:val="1C3A36"/>
                <w:sz w:val="16"/>
              </w:rPr>
            </w:r>
          </w:p>
        </w:tc>
      </w:tr>
    </w:tbl>
    <w:p>
      <w:pPr>
        <w:spacing w:after="40"/>
      </w:pPr>
    </w:p>
    <w:p>
      <w:pPr>
        <w:spacing w:after="120" w:before="0"/>
      </w:pPr>
      <w:r>
        <w:rPr>
          <w:b/>
          <w:i w:val="0"/>
          <w:color w:val="1C3A36"/>
          <w:sz w:val="21"/>
        </w:rPr>
        <w:t>Range: EGP 0.00 to EGP 1.54 a share.</w:t>
      </w:r>
    </w:p>
    <w:p>
      <w:pPr>
        <w:spacing w:after="120" w:before="0"/>
      </w:pPr>
      <w:r>
        <w:rPr>
          <w:b w:val="0"/>
          <w:i w:val="0"/>
          <w:color w:val="1C3A36"/>
          <w:sz w:val="19"/>
        </w:rPr>
        <w:t>Named sensitivity.  Volatility is the swing factor: at 35% the claim is worth EGP 1.18 a share, at 55% EGP 1.54.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0" name="Picture 10"/>
            <wp:cNvGraphicFramePr>
              <a:graphicFrameLocks noChangeAspect="1"/>
            </wp:cNvGraphicFramePr>
            <a:graphic>
              <a:graphicData uri="http://schemas.openxmlformats.org/drawingml/2006/picture">
                <pic:pic>
                  <pic:nvPicPr>
                    <pic:cNvPr id="0" name="figD1_experts.png"/>
                    <pic:cNvPicPr/>
                  </pic:nvPicPr>
                  <pic:blipFill>
                    <a:blip r:embed="rId18"/>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10.  Three methods, three ranges, and none of them reaches the traded price.</w:t>
      </w:r>
    </w:p>
    <w:p>
      <w:pPr>
        <w:spacing w:after="120" w:before="0"/>
      </w:pPr>
      <w:r>
        <w:rPr>
          <w:b w:val="0"/>
          <w:i w:val="0"/>
          <w:color w:val="1C3A36"/>
          <w:sz w:val="21"/>
        </w:rPr>
        <w:t>Put together, the panel spans EGP 0.00 to EGP 7.44.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c>
          <w:tcPr>
            <w:tcW w:type="dxa" w:w="2736"/>
          </w:tcPr>
          <w:p>
            <w:pPr>
              <w:spacing w:after="20"/>
            </w:pPr>
            <w:r>
              <w:rPr>
                <w:color w:val="1C3A36"/>
                <w:sz w:val="16"/>
              </w:rPr>
              <w:t>Expert 1 against Expert 2</w:t>
            </w:r>
          </w:p>
        </w:tc>
        <w:tc>
          <w:tcPr>
            <w:tcW w:type="dxa" w:w="1440"/>
          </w:tcPr>
          <w:p>
            <w:pPr>
              <w:spacing w:after="20"/>
              <w:jc w:val="right"/>
            </w:pPr>
            <w:r>
              <w:rPr>
                <w:color w:val="1C3A36"/>
                <w:sz w:val="16"/>
              </w:rPr>
              <w:t>2.10</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c>
          <w:tcPr>
            <w:tcW w:type="dxa" w:w="2736"/>
          </w:tcPr>
          <w:p>
            <w:pPr>
              <w:spacing w:after="20"/>
            </w:pPr>
            <w:r>
              <w:rPr>
                <w:color w:val="1C3A36"/>
                <w:sz w:val="16"/>
              </w:rPr>
              <w:t>Expert 2 against Expert 3</w:t>
            </w:r>
          </w:p>
        </w:tc>
        <w:tc>
          <w:tcPr>
            <w:tcW w:type="dxa" w:w="1440"/>
          </w:tcPr>
          <w:p>
            <w:pPr>
              <w:spacing w:after="20"/>
              <w:jc w:val="right"/>
            </w:pPr>
            <w:r>
              <w:rPr>
                <w:color w:val="1C3A36"/>
                <w:sz w:val="16"/>
              </w:rPr>
              <w:t>0.83</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c>
          <w:tcPr>
            <w:tcW w:type="dxa" w:w="2736"/>
          </w:tcPr>
          <w:p>
            <w:pPr>
              <w:spacing w:after="20"/>
            </w:pPr>
            <w:r>
              <w:rPr>
                <w:color w:val="1C3A36"/>
                <w:sz w:val="16"/>
              </w:rPr>
              <w:t>Expert 1 against Expert 3</w:t>
            </w:r>
          </w:p>
        </w:tc>
        <w:tc>
          <w:tcPr>
            <w:tcW w:type="dxa" w:w="1440"/>
          </w:tcPr>
          <w:p>
            <w:pPr>
              <w:spacing w:after="20"/>
              <w:jc w:val="right"/>
            </w:pPr>
            <w:r>
              <w:rPr>
                <w:color w:val="1C3A36"/>
                <w:sz w:val="16"/>
              </w:rPr>
              <w:t>2.93</w:t>
            </w:r>
          </w:p>
        </w:tc>
        <w:tc>
          <w:tcPr>
            <w:tcW w:type="dxa" w:w="5904"/>
          </w:tcPr>
          <w:p>
            <w:pPr>
              <w:spacing w:after="20"/>
            </w:pPr>
            <w:r>
              <w:rPr>
                <w:color w:val="1C3A36"/>
                <w:sz w:val="16"/>
              </w:rPr>
              <w:t>Both of the above at once, which is why this is the widest pair.</w:t>
            </w:r>
          </w:p>
        </w:tc>
      </w:tr>
      <w:t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1.30</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c>
          <w:tcPr>
            <w:tcW w:type="dxa" w:w="2736"/>
          </w:tcPr>
          <w:p>
            <w:pPr>
              <w:spacing w:after="20"/>
            </w:pPr>
            <w:r>
              <w:rPr>
                <w:color w:val="1C3A36"/>
                <w:sz w:val="16"/>
              </w:rPr>
              <w:t>The whole study against the market</w:t>
            </w:r>
          </w:p>
        </w:tc>
        <w:tc>
          <w:tcPr>
            <w:tcW w:type="dxa" w:w="1440"/>
          </w:tcPr>
          <w:p>
            <w:pPr>
              <w:spacing w:after="20"/>
              <w:jc w:val="right"/>
            </w:pPr>
            <w:r>
              <w:rPr>
                <w:color w:val="1C3A36"/>
                <w:sz w:val="16"/>
              </w:rPr>
              <w:t>-7.07</w:t>
            </w:r>
          </w:p>
        </w:tc>
        <w:tc>
          <w:tcPr>
            <w:tcW w:type="dxa" w:w="5904"/>
          </w:tcPr>
          <w:p>
            <w:pPr>
              <w:spacing w:after="20"/>
            </w:pPr>
            <w:r>
              <w:rPr>
                <w:color w:val="1C3A36"/>
                <w:sz w:val="16"/>
              </w:rPr>
              <w:t>The discount rate, and only the discount rate. At about 10.0% the market's price is reproduced; at any rate anchored to Egypt's sovereign it is not.</w:t>
            </w:r>
          </w:p>
        </w:tc>
      </w:tr>
    </w:tbl>
    <w:p>
      <w:pPr>
        <w:spacing w:after="40"/>
      </w:pPr>
    </w:p>
    <w:p>
      <w:pPr>
        <w:spacing w:after="200" w:before="0"/>
      </w:pPr>
      <w:r>
        <w:rPr>
          <w:b w:val="0"/>
          <w:i/>
          <w:color w:val="6E7B77"/>
          <w:sz w:val="17"/>
        </w:rPr>
        <w:t>Table 17.  Each gap isolated to the one assumption that creates it.</w:t>
      </w:r>
    </w:p>
    <w:p>
      <w:pPr>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242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8 August 2026 and the closing price of 2026-08-06.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