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20.05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13.5</w:t>
            </w:r>
          </w:p>
        </w:tc>
        <w:tc>
          <w:tcPr>
            <w:tcW w:type="dxa" w:w="1368"/>
          </w:tcPr>
          <w:p>
            <w:pPr>
              <w:spacing w:after="20"/>
            </w:pPr>
            <w:r>
              <w:rPr>
                <w:color w:val="1C3A36"/>
                <w:sz w:val="15"/>
              </w:rPr>
              <w:t>2026-09-03</w:t>
            </w:r>
          </w:p>
        </w:tc>
        <w:tc>
          <w:tcPr>
            <w:tcW w:type="dxa" w:w="3845"/>
          </w:tcPr>
          <w:p>
            <w:pPr>
              <w:spacing w:after="20"/>
            </w:pPr>
            <w:r>
              <w:rPr>
                <w:color w:val="1C3A36"/>
                <w:sz w:val="15"/>
              </w:rPr>
              <w:t>AMOC closing price on the Egyptian Exchange, 3 September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The holding in Alexandria Wax Products S.A.E. is registered separately as awp_stake. The previous edition inferred 3.0% from the gap between consolidated and standalone profit; the filing says 4.645%</w:t>
            </w:r>
          </w:p>
        </w:tc>
      </w:tr>
      <w:tr>
        <w:tc>
          <w:tcPr>
            <w:tcW w:type="dxa" w:w="2736"/>
          </w:tcPr>
          <w:p>
            <w:pPr>
              <w:spacing w:after="20"/>
            </w:pPr>
            <w:r>
              <w:rPr>
                <w:color w:val="1C3A36"/>
                <w:sz w:val="15"/>
              </w:rPr>
              <w:t>awp_stake</w:t>
            </w:r>
          </w:p>
        </w:tc>
        <w:tc>
          <w:tcPr>
            <w:tcW w:type="dxa" w:w="2232"/>
          </w:tcPr>
          <w:p>
            <w:pPr>
              <w:spacing w:after="20"/>
            </w:pPr>
            <w:r>
              <w:rPr>
                <w:color w:val="1C3A36"/>
                <w:sz w:val="15"/>
              </w:rPr>
              <w:t>0.8645</w:t>
            </w:r>
          </w:p>
        </w:tc>
        <w:tc>
          <w:tcPr>
            <w:tcW w:type="dxa" w:w="1368"/>
          </w:tcPr>
          <w:p>
            <w:pPr>
              <w:spacing w:after="20"/>
            </w:pPr>
            <w:r>
              <w:rPr>
                <w:color w:val="1C3A36"/>
                <w:sz w:val="15"/>
              </w:rPr>
              <w:t>2025-12-31</w:t>
            </w:r>
          </w:p>
        </w:tc>
        <w:tc>
          <w:tcPr>
            <w:tcW w:type="dxa" w:w="3845"/>
          </w:tcPr>
          <w:p>
            <w:pPr>
              <w:spacing w:after="20"/>
            </w:pPr>
            <w:r>
              <w:rPr>
                <w:color w:val="1C3A36"/>
                <w:sz w:val="15"/>
              </w:rPr>
              <w:t>AMOC's holding in Alexandria Wax Products S.A.E. (note 1-2). This is the counterpart of the non-controlling interest above: the 13.55% AMOC does not own is what the minority's share of profit and of the enterprise is struck on.</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while wax and LPG grew. THE PER-LINE COMPOUND RATES ARE NO LONGER PRINTED [08-09-2026]. This note used to give four of them to a decimal place, and NOTHING IN THIS REPOSITORY CARRIES THE SERIES THEY COME FROM: the three committed filings are two December-2025 statements and one June-2025, note 14-A gives one half's tonnage by line with a value-only comparative, and FY2022 to FY2024 per-line tonnage is in filings this study does not hold. The prose check caught one of the four and the other three were unflagged rather than verified. Under SIGCM a figure this desk cannot source is a figure it does not print, so the DIRECTION survives — six lines down, two up, and that is what the argument needs — and the decimals go. The five annual totals above stand on the same footing and are ESCALATED rather than removed, because the bear case is anchored to them.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cuts tonnage harder than that mean requires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0.9063</w:t>
            </w:r>
          </w:p>
        </w:tc>
        <w:tc>
          <w:tcPr>
            <w:tcW w:type="dxa" w:w="1368"/>
          </w:tcPr>
          <w:p>
            <w:pPr>
              <w:spacing w:after="20"/>
            </w:pPr>
            <w:r>
              <w:rPr>
                <w:color w:val="1C3A36"/>
                <w:sz w:val="15"/>
              </w:rPr>
              <w:t>2026-09-08</w:t>
            </w:r>
          </w:p>
        </w:tc>
        <w:tc>
          <w:tcPr>
            <w:tcW w:type="dxa" w:w="3845"/>
          </w:tcPr>
          <w:p>
            <w:pPr>
              <w:spacing w:after="20"/>
            </w:pPr>
            <w:r>
              <w:rPr>
                <w:color w:val="1C3A36"/>
                <w:sz w:val="15"/>
              </w:rPr>
              <w:t>Own-stock tier-1 regression, AMOC weekly log-returns against raw_indices/EG/EGX30.csv — the published index of the exchange AMOC is listed on, series as of 2026-09-08, resolved by beta_regression.own_stock_beta() rather than hand-rolled. R-squared 0.236, n = 256, standard error 0.175, 90% confidence interval [0.619, 1.193].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and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In the previous edition this input drove NOTHING — it was registered, published in the source register and read by no line of the model. It is now the spine of both sides of the margin: every product realisation is this deck times a crack multiple solved from the disclosed product table, and the feedstock charge is this deck times a differential solved from disclosed cost of sales</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1.33, 1.28, 1.12, 1.16, 1.12, 1.09, 1.075, 1.07</w:t>
            </w:r>
          </w:p>
        </w:tc>
        <w:tc>
          <w:tcPr>
            <w:tcW w:type="dxa" w:w="1368"/>
          </w:tcPr>
          <w:p>
            <w:pPr>
              <w:spacing w:after="20"/>
            </w:pPr>
            <w:r>
              <w:rPr>
                <w:color w:val="1C3A36"/>
                <w:sz w:val="15"/>
              </w:rPr>
              <w:t>2026-09-02</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The three HISTORICAL years are as printed. The five FORECAST years are the single Egyptian inflation path this series uses for every Egyptian company it values, read from that path rather than set for this study: no valuation here sets an inflation rate of its own, because a company cannot be valued in an economy the study beside it does not recognise. The path is the central bank's published disinflation ladder, and the years between published points are labelled as interpolated where they are</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0.1317, 0.0927, 0.0634, 0.0488, 0.0439</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55.11, 60.22, 64.04, 67.17, 70.11</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gm_superseded_annualised</w:t>
            </w:r>
          </w:p>
        </w:tc>
        <w:tc>
          <w:tcPr>
            <w:tcW w:type="dxa" w:w="2232"/>
          </w:tcPr>
          <w:p>
            <w:pPr>
              <w:spacing w:after="20"/>
            </w:pPr>
            <w:r>
              <w:rPr>
                <w:color w:val="1C3A36"/>
                <w:sz w:val="15"/>
              </w:rPr>
              <w:t>0.0708</w:t>
            </w:r>
          </w:p>
        </w:tc>
        <w:tc>
          <w:tcPr>
            <w:tcW w:type="dxa" w:w="1368"/>
          </w:tcPr>
          <w:p>
            <w:pPr>
              <w:spacing w:after="20"/>
            </w:pPr>
            <w:r>
              <w:rPr>
                <w:color w:val="1C3A36"/>
                <w:sz w:val="15"/>
              </w:rPr>
              <w:t>2026-08-06</w:t>
            </w:r>
          </w:p>
        </w:tc>
        <w:tc>
          <w:tcPr>
            <w:tcW w:type="dxa" w:w="3845"/>
          </w:tcPr>
          <w:p>
            <w:pPr>
              <w:spacing w:after="20"/>
            </w:pPr>
            <w:r>
              <w:rPr>
                <w:color w:val="1C3A36"/>
                <w:sz w:val="15"/>
              </w:rPr>
              <w:t>Base-year gross margin published by the 06-08-2026 edition of this study, which built revenue from the six-month product table doubled while annualising cost of sales from nine months by four thirds — so it corresponded to no filed period at all. Quoted in section 1.2 to show what changed; not an input to anything.</w:t>
            </w:r>
          </w:p>
        </w:tc>
      </w:tr>
      <w:tr>
        <w:tc>
          <w:tcPr>
            <w:tcW w:type="dxa" w:w="2736"/>
          </w:tcPr>
          <w:p>
            <w:pPr>
              <w:spacing w:after="20"/>
            </w:pPr>
            <w:r>
              <w:rPr>
                <w:color w:val="1C3A36"/>
                <w:sz w:val="15"/>
              </w:rPr>
              <w:t>tv_share_superseded</w:t>
            </w:r>
          </w:p>
        </w:tc>
        <w:tc>
          <w:tcPr>
            <w:tcW w:type="dxa" w:w="2232"/>
          </w:tcPr>
          <w:p>
            <w:pPr>
              <w:spacing w:after="20"/>
            </w:pPr>
            <w:r>
              <w:rPr>
                <w:color w:val="1C3A36"/>
                <w:sz w:val="15"/>
              </w:rPr>
              <w:t>0.587</w:t>
            </w:r>
          </w:p>
        </w:tc>
        <w:tc>
          <w:tcPr>
            <w:tcW w:type="dxa" w:w="1368"/>
          </w:tcPr>
          <w:p>
            <w:pPr>
              <w:spacing w:after="20"/>
            </w:pPr>
            <w:r>
              <w:rPr>
                <w:color w:val="1C3A36"/>
                <w:sz w:val="15"/>
              </w:rPr>
              <w:t>2026-08-06</w:t>
            </w:r>
          </w:p>
        </w:tc>
        <w:tc>
          <w:tcPr>
            <w:tcW w:type="dxa" w:w="3845"/>
          </w:tcPr>
          <w:p>
            <w:pPr>
              <w:spacing w:after="20"/>
            </w:pPr>
            <w:r>
              <w:rPr>
                <w:color w:val="1C3A36"/>
                <w:sz w:val="15"/>
              </w:rPr>
              <w:t>Terminal value as a share of enterprise value in the 06-08-2026 edition, before the terminal return was struck on invested capital at REPLACEMENT cost. Quoted in section 1.9 to show the direction of the change; not an input to anything.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0.2431</w:t>
            </w:r>
          </w:p>
        </w:tc>
        <w:tc>
          <w:tcPr>
            <w:tcW w:type="dxa" w:w="1368"/>
          </w:tcPr>
          <w:p>
            <w:pPr>
              <w:spacing w:after="20"/>
            </w:pPr>
            <w:r>
              <w:rPr>
                <w:color w:val="1C3A36"/>
                <w:sz w:val="15"/>
              </w:rPr>
              <w:t>2026-09-02</w:t>
            </w:r>
          </w:p>
        </w:tc>
        <w:tc>
          <w:tcPr>
            <w:tcW w:type="dxa" w:w="3845"/>
          </w:tcPr>
          <w:p>
            <w:pPr>
              <w:spacing w:after="20"/>
            </w:pPr>
            <w:r>
              <w:rPr>
                <w:color w:val="1C3A36"/>
                <w:sz w:val="15"/>
              </w:rPr>
              <w:t>Marginal cost of debt: the Egyptian ten-year sovereign yield this study discounts with, plus a 200bp corporate spread. The gross book is EGP 25mn — 0.06% of revenue — of short-dated Egyptian-pound facilities, so no observable marginal rate exists and the rate is built rather than pretended to be observed. It replaces a build off the 20.00% corridor lending rate, which produced 22.00% — below the sovereign, which a same-currency corporate cannot be.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0.2431, 0.195, 0.175, 0.16, 0.15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0.035</w:t>
            </w:r>
          </w:p>
        </w:tc>
        <w:tc>
          <w:tcPr>
            <w:tcW w:type="dxa" w:w="1368"/>
          </w:tcPr>
          <w:p>
            <w:pPr>
              <w:spacing w:after="20"/>
            </w:pPr>
            <w:r>
              <w:rPr>
                <w:color w:val="1C3A36"/>
                <w:sz w:val="15"/>
              </w:rPr>
              <w:t>2026-09-10</w:t>
            </w:r>
          </w:p>
        </w:tc>
        <w:tc>
          <w:tcPr>
            <w:tcW w:type="dxa" w:w="3845"/>
          </w:tcPr>
          <w:p>
            <w:pPr>
              <w:spacing w:after="20"/>
            </w:pPr>
            <w:r>
              <w:rPr>
                <w:color w:val="1C3A36"/>
                <w:sz w:val="15"/>
              </w:rPr>
              <w:t>Terminal real risk-free rate, READ LIVE from the house macro path (engine/macro_paths/EG.json) rather than typed here. The terminal NOMINAL risk-free rate is not an input either: it is the house path's own `terminal_rf`, which is this real rate plus the central bank's inflation target in force for the terminal horizon, so the single most terminal-value-sensitive number in the model can be set neither by hand nor by this study alone. TWO EDITIONS OF THIS LINE ARE RETIRED. The first hardcoded 10.50% by adding 5.5pp to the 5% target dated Q4-2028 while describing it as 'the' medium-term target. The second, adopted 06-Aug-2026, derived the rate correctly but from a real convention typed into this file, so when the house convention moved from 5.5% to 3.5% — the retired figure being a restrictive policy stance rather than a long-run real rate — this study went on discounting at 12.50% while every conformed study discounted at 10.50%. Two readers of one economy must not disagree</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-3.1%</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