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20.05 a share against a market price of EGP 13.50. Fair value sits 48.5% ABOVE the price; equivalently the price stands 32.7% BELOW fair value. The range across the lenses is EGP 1.66 to 27.52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19.16, 41.9%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9.90%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62%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1.66</w:t>
            </w:r>
          </w:p>
        </w:tc>
        <w:tc>
          <w:tcPr>
            <w:tcW w:type="dxa" w:w="1037"/>
          </w:tcPr>
          <w:p>
            <w:pPr>
              <w:spacing w:after="20"/>
              <w:jc w:val="right"/>
            </w:pPr>
            <w:r>
              <w:rPr>
                <w:color w:val="1C3A36"/>
                <w:sz w:val="18"/>
              </w:rPr>
              <w:t>20.05</w:t>
            </w:r>
          </w:p>
        </w:tc>
        <w:tc>
          <w:tcPr>
            <w:tcW w:type="dxa" w:w="1037"/>
          </w:tcPr>
          <w:p>
            <w:pPr>
              <w:spacing w:after="20"/>
              <w:jc w:val="right"/>
            </w:pPr>
            <w:r>
              <w:rPr>
                <w:color w:val="1C3A36"/>
                <w:sz w:val="18"/>
              </w:rPr>
              <w:t>27.52</w:t>
            </w:r>
          </w:p>
        </w:tc>
        <w:tc>
          <w:tcPr>
            <w:tcW w:type="dxa" w:w="1037"/>
          </w:tcPr>
          <w:p>
            <w:pPr>
              <w:spacing w:after="20"/>
              <w:jc w:val="right"/>
            </w:pPr>
            <w:r>
              <w:rPr>
                <w:color w:val="1C3A36"/>
                <w:sz w:val="18"/>
              </w:rPr>
              <w:t>48.5%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5.03</w:t>
            </w:r>
          </w:p>
        </w:tc>
        <w:tc>
          <w:tcPr>
            <w:tcW w:type="dxa" w:w="1037"/>
          </w:tcPr>
          <w:p>
            <w:pPr>
              <w:spacing w:after="20"/>
              <w:jc w:val="right"/>
            </w:pPr>
            <w:r>
              <w:rPr>
                <w:color w:val="1C3A36"/>
                <w:sz w:val="18"/>
              </w:rPr>
              <w:t>6.71</w:t>
            </w:r>
          </w:p>
        </w:tc>
        <w:tc>
          <w:tcPr>
            <w:tcW w:type="dxa" w:w="1037"/>
          </w:tcPr>
          <w:p>
            <w:pPr>
              <w:spacing w:after="20"/>
              <w:jc w:val="right"/>
            </w:pPr>
            <w:r>
              <w:rPr>
                <w:color w:val="1C3A36"/>
                <w:sz w:val="18"/>
              </w:rPr>
              <w:t>7.67</w:t>
            </w:r>
          </w:p>
        </w:tc>
        <w:tc>
          <w:tcPr>
            <w:tcW w:type="dxa" w:w="1037"/>
          </w:tcPr>
          <w:p>
            <w:pPr>
              <w:spacing w:after="20"/>
              <w:jc w:val="right"/>
            </w:pPr>
            <w:r>
              <w:rPr>
                <w:color w:val="1C3A36"/>
                <w:sz w:val="18"/>
              </w:rPr>
              <w:t>-50.3%</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1.66</w:t>
            </w:r>
          </w:p>
        </w:tc>
        <w:tc>
          <w:tcPr>
            <w:tcW w:type="dxa" w:w="1037"/>
            <w:shd w:val="clear" w:color="auto" w:fill="F6F1E6"/>
          </w:tcPr>
          <w:p>
            <w:pPr>
              <w:spacing w:after="20"/>
              <w:jc w:val="right"/>
            </w:pPr>
            <w:r>
              <w:rPr>
                <w:b/>
                <w:color w:val="1C3A36"/>
                <w:sz w:val="18"/>
              </w:rPr>
              <w:t>20.05</w:t>
            </w:r>
          </w:p>
        </w:tc>
        <w:tc>
          <w:tcPr>
            <w:tcW w:type="dxa" w:w="1037"/>
            <w:shd w:val="clear" w:color="auto" w:fill="F6F1E6"/>
          </w:tcPr>
          <w:p>
            <w:pPr>
              <w:spacing w:after="20"/>
              <w:jc w:val="right"/>
            </w:pPr>
            <w:r>
              <w:rPr>
                <w:b/>
                <w:color w:val="1C3A36"/>
                <w:sz w:val="18"/>
              </w:rPr>
              <w:t>27.52</w:t>
            </w:r>
          </w:p>
        </w:tc>
        <w:tc>
          <w:tcPr>
            <w:tcW w:type="dxa" w:w="1037"/>
            <w:shd w:val="clear" w:color="auto" w:fill="F6F1E6"/>
          </w:tcPr>
          <w:p>
            <w:pPr>
              <w:spacing w:after="20"/>
              <w:jc w:val="right"/>
            </w:pPr>
            <w:r>
              <w:rPr>
                <w:b/>
                <w:color w:val="1C3A36"/>
                <w:sz w:val="18"/>
              </w:rPr>
              <w:t>48.5%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1.66–27.52; that is reported as an ENVELOPE. The retired 45/20/20/15 blend of these four would read EGP 15.14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17.92  (-10.6%)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18.40  (-8.2%)</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17.83  (-11.1%)</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10.50%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16.84%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16.33%</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21.70%</w:t>
            </w:r>
          </w:p>
        </w:tc>
        <w:tc>
          <w:tcPr>
            <w:tcW w:type="dxa" w:w="1195"/>
          </w:tcPr>
          <w:p>
            <w:pPr>
              <w:spacing w:after="20"/>
              <w:jc w:val="right"/>
            </w:pPr>
            <w:r>
              <w:rPr>
                <w:color w:val="1C3A36"/>
                <w:sz w:val="17"/>
              </w:rPr>
              <w:t>19.31%</w:t>
            </w:r>
          </w:p>
        </w:tc>
        <w:tc>
          <w:tcPr>
            <w:tcW w:type="dxa" w:w="1195"/>
          </w:tcPr>
          <w:p>
            <w:pPr>
              <w:spacing w:after="20"/>
              <w:jc w:val="right"/>
            </w:pPr>
            <w:r>
              <w:rPr>
                <w:color w:val="1C3A36"/>
                <w:sz w:val="17"/>
              </w:rPr>
              <w:t>17.52%</w:t>
            </w:r>
          </w:p>
        </w:tc>
        <w:tc>
          <w:tcPr>
            <w:tcW w:type="dxa" w:w="1195"/>
          </w:tcPr>
          <w:p>
            <w:pPr>
              <w:spacing w:after="20"/>
              <w:jc w:val="right"/>
            </w:pPr>
            <w:r>
              <w:rPr>
                <w:color w:val="1C3A36"/>
                <w:sz w:val="17"/>
              </w:rPr>
              <w:t>16.33%</w:t>
            </w:r>
          </w:p>
        </w:tc>
        <w:tc>
          <w:tcPr>
            <w:tcW w:type="dxa" w:w="1224"/>
          </w:tcPr>
          <w:p>
            <w:pPr>
              <w:spacing w:after="20"/>
              <w:jc w:val="right"/>
            </w:pPr>
            <w:r>
              <w:rPr>
                <w:color w:val="1C3A36"/>
                <w:sz w:val="17"/>
              </w:rPr>
              <w:t>16.33%</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0.64478</w:t>
            </w:r>
          </w:p>
        </w:tc>
        <w:tc>
          <w:tcPr>
            <w:tcW w:type="dxa" w:w="1195"/>
          </w:tcPr>
          <w:p>
            <w:pPr>
              <w:spacing w:after="20"/>
              <w:jc w:val="right"/>
            </w:pPr>
            <w:r>
              <w:rPr>
                <w:color w:val="1C3A36"/>
                <w:sz w:val="17"/>
              </w:rPr>
              <w:t>0.54042</w:t>
            </w:r>
          </w:p>
        </w:tc>
        <w:tc>
          <w:tcPr>
            <w:tcW w:type="dxa" w:w="1195"/>
          </w:tcPr>
          <w:p>
            <w:pPr>
              <w:spacing w:after="20"/>
              <w:jc w:val="right"/>
            </w:pPr>
            <w:r>
              <w:rPr>
                <w:color w:val="1C3A36"/>
                <w:sz w:val="17"/>
              </w:rPr>
              <w:t>0.45985</w:t>
            </w:r>
          </w:p>
        </w:tc>
        <w:tc>
          <w:tcPr>
            <w:tcW w:type="dxa" w:w="1195"/>
          </w:tcPr>
          <w:p>
            <w:pPr>
              <w:spacing w:after="20"/>
              <w:jc w:val="right"/>
            </w:pPr>
            <w:r>
              <w:rPr>
                <w:color w:val="1C3A36"/>
                <w:sz w:val="17"/>
              </w:rPr>
              <w:t>0.39530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0.64478</w:t>
            </w:r>
          </w:p>
        </w:tc>
        <w:tc>
          <w:tcPr>
            <w:tcW w:type="dxa" w:w="1238"/>
          </w:tcPr>
          <w:p>
            <w:pPr>
              <w:spacing w:after="20"/>
              <w:jc w:val="right"/>
            </w:pPr>
            <w:r>
              <w:rPr>
                <w:color w:val="1C3A36"/>
                <w:sz w:val="17"/>
              </w:rPr>
              <w:t>0.54042</w:t>
            </w:r>
          </w:p>
        </w:tc>
        <w:tc>
          <w:tcPr>
            <w:tcW w:type="dxa" w:w="1238"/>
          </w:tcPr>
          <w:p>
            <w:pPr>
              <w:spacing w:after="20"/>
              <w:jc w:val="right"/>
            </w:pPr>
            <w:r>
              <w:rPr>
                <w:color w:val="1C3A36"/>
                <w:sz w:val="17"/>
              </w:rPr>
              <w:t>0.45985</w:t>
            </w:r>
          </w:p>
        </w:tc>
        <w:tc>
          <w:tcPr>
            <w:tcW w:type="dxa" w:w="1238"/>
          </w:tcPr>
          <w:p>
            <w:pPr>
              <w:spacing w:after="20"/>
              <w:jc w:val="right"/>
            </w:pPr>
            <w:r>
              <w:rPr>
                <w:color w:val="1C3A36"/>
                <w:sz w:val="17"/>
              </w:rPr>
              <w:t>0.39530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2,026</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1,650</w:t>
            </w:r>
          </w:p>
        </w:tc>
        <w:tc>
          <w:tcPr>
            <w:tcW w:type="dxa" w:w="1238"/>
            <w:shd w:val="clear" w:color="auto" w:fill="F6F1E6"/>
          </w:tcPr>
          <w:p>
            <w:pPr>
              <w:spacing w:after="20"/>
              <w:jc w:val="right"/>
            </w:pPr>
            <w:r>
              <w:rPr>
                <w:b/>
                <w:color w:val="1C3A36"/>
                <w:sz w:val="17"/>
              </w:rPr>
              <w:t>1,469</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9,176</w:t>
            </w:r>
          </w:p>
        </w:tc>
        <w:tc>
          <w:tcPr>
            <w:tcW w:type="dxa" w:w="1296"/>
          </w:tcPr>
          <w:p>
            <w:pPr>
              <w:spacing w:after="20"/>
              <w:jc w:val="right"/>
            </w:pPr>
            <w:r>
              <w:rPr>
                <w:color w:val="1C3A36"/>
                <w:sz w:val="17"/>
              </w:rPr>
              <w:t>7.10</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15,189</w:t>
            </w:r>
          </w:p>
        </w:tc>
        <w:tc>
          <w:tcPr>
            <w:tcW w:type="dxa" w:w="1296"/>
          </w:tcPr>
          <w:p>
            <w:pPr>
              <w:spacing w:after="20"/>
              <w:jc w:val="right"/>
            </w:pPr>
            <w:r>
              <w:rPr>
                <w:color w:val="1C3A36"/>
                <w:sz w:val="17"/>
              </w:rPr>
              <w:t>11.76</w:t>
            </w:r>
          </w:p>
        </w:tc>
        <w:tc>
          <w:tcPr>
            <w:tcW w:type="dxa" w:w="3600"/>
          </w:tcPr>
          <w:p>
            <w:pPr>
              <w:spacing w:after="20"/>
            </w:pPr>
            <w:r>
              <w:rPr>
                <w:color w:val="1C3A36"/>
                <w:sz w:val="17"/>
              </w:rPr>
              <w:t>62.3%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24,365</w:t>
            </w:r>
          </w:p>
        </w:tc>
        <w:tc>
          <w:tcPr>
            <w:tcW w:type="dxa" w:w="1296"/>
            <w:shd w:val="clear" w:color="auto" w:fill="F6F1E6"/>
          </w:tcPr>
          <w:p>
            <w:pPr>
              <w:spacing w:after="20"/>
              <w:jc w:val="right"/>
            </w:pPr>
            <w:r>
              <w:rPr>
                <w:b/>
                <w:color w:val="1C3A36"/>
                <w:sz w:val="17"/>
              </w:rPr>
              <w:t>18.87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27,366</w:t>
            </w:r>
          </w:p>
        </w:tc>
        <w:tc>
          <w:tcPr>
            <w:tcW w:type="dxa" w:w="1296"/>
          </w:tcPr>
          <w:p>
            <w:pPr>
              <w:spacing w:after="20"/>
              <w:jc w:val="right"/>
            </w:pPr>
            <w:r>
              <w:rPr>
                <w:color w:val="1C3A36"/>
                <w:sz w:val="17"/>
              </w:rPr>
              <w:t>21.19</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(811)</w:t>
            </w:r>
          </w:p>
        </w:tc>
        <w:tc>
          <w:tcPr>
            <w:tcW w:type="dxa" w:w="1296"/>
          </w:tcPr>
          <w:p>
            <w:pPr>
              <w:spacing w:after="20"/>
              <w:jc w:val="right"/>
            </w:pPr>
            <w:r>
              <w:rPr>
                <w:color w:val="1C3A36"/>
                <w:sz w:val="17"/>
              </w:rPr>
              <w:t>(0.63)</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25,895</w:t>
            </w:r>
          </w:p>
        </w:tc>
        <w:tc>
          <w:tcPr>
            <w:tcW w:type="dxa" w:w="1296"/>
            <w:shd w:val="clear" w:color="auto" w:fill="F6F1E6"/>
          </w:tcPr>
          <w:p>
            <w:pPr>
              <w:spacing w:after="20"/>
              <w:jc w:val="right"/>
            </w:pPr>
            <w:r>
              <w:rPr>
                <w:b/>
                <w:color w:val="1C3A36"/>
                <w:sz w:val="17"/>
              </w:rPr>
              <w:t>20.05</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1.14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62.3%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17.09 at 3% to 20.05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17.43</w:t>
            </w:r>
          </w:p>
        </w:tc>
        <w:tc>
          <w:tcPr>
            <w:tcW w:type="dxa" w:w="1080"/>
          </w:tcPr>
          <w:p>
            <w:pPr>
              <w:spacing w:after="20"/>
              <w:jc w:val="right"/>
            </w:pPr>
            <w:r>
              <w:rPr>
                <w:color w:val="1C3A36"/>
                <w:sz w:val="17"/>
              </w:rPr>
              <w:t>18.74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21.36</w:t>
            </w:r>
          </w:p>
        </w:tc>
        <w:tc>
          <w:tcPr>
            <w:tcW w:type="dxa" w:w="1080"/>
          </w:tcPr>
          <w:p>
            <w:pPr>
              <w:spacing w:after="20"/>
              <w:jc w:val="right"/>
            </w:pPr>
            <w:r>
              <w:rPr>
                <w:color w:val="1C3A36"/>
                <w:sz w:val="17"/>
              </w:rPr>
              <w:t>22.67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13.78</w:t>
            </w:r>
          </w:p>
        </w:tc>
        <w:tc>
          <w:tcPr>
            <w:tcW w:type="dxa" w:w="1080"/>
          </w:tcPr>
          <w:p>
            <w:pPr>
              <w:spacing w:after="20"/>
              <w:jc w:val="right"/>
            </w:pPr>
            <w:r>
              <w:rPr>
                <w:color w:val="1C3A36"/>
                <w:sz w:val="17"/>
              </w:rPr>
              <w:t>16.74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23.23</w:t>
            </w:r>
          </w:p>
        </w:tc>
        <w:tc>
          <w:tcPr>
            <w:tcW w:type="dxa" w:w="1080"/>
          </w:tcPr>
          <w:p>
            <w:pPr>
              <w:spacing w:after="20"/>
              <w:jc w:val="right"/>
            </w:pPr>
            <w:r>
              <w:rPr>
                <w:color w:val="1C3A36"/>
                <w:sz w:val="17"/>
              </w:rPr>
              <w:t>26.76</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19.15</w:t>
            </w:r>
          </w:p>
        </w:tc>
        <w:tc>
          <w:tcPr>
            <w:tcW w:type="dxa" w:w="1080"/>
          </w:tcPr>
          <w:p>
            <w:pPr>
              <w:spacing w:after="20"/>
              <w:jc w:val="right"/>
            </w:pPr>
            <w:r>
              <w:rPr>
                <w:color w:val="1C3A36"/>
                <w:sz w:val="17"/>
              </w:rPr>
              <w:t>19.60</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20.51</w:t>
            </w:r>
          </w:p>
        </w:tc>
        <w:tc>
          <w:tcPr>
            <w:tcW w:type="dxa" w:w="1080"/>
          </w:tcPr>
          <w:p>
            <w:pPr>
              <w:spacing w:after="20"/>
              <w:jc w:val="right"/>
            </w:pPr>
            <w:r>
              <w:rPr>
                <w:color w:val="1C3A36"/>
                <w:sz w:val="17"/>
              </w:rPr>
              <w:t>20.97</w:t>
            </w:r>
          </w:p>
        </w:tc>
      </w:tr>
      <w:tr>
        <w:tc>
          <w:tcPr>
            <w:tcW w:type="dxa" w:w="4104"/>
          </w:tcPr>
          <w:p>
            <w:pPr>
              <w:spacing w:after="20"/>
            </w:pPr>
            <w:r>
              <w:rPr>
                <w:color w:val="1C3A36"/>
                <w:sz w:val="17"/>
              </w:rPr>
              <w:t>Beta</w:t>
            </w:r>
          </w:p>
        </w:tc>
        <w:tc>
          <w:tcPr>
            <w:tcW w:type="dxa" w:w="1080"/>
          </w:tcPr>
          <w:p>
            <w:pPr>
              <w:spacing w:after="20"/>
              <w:jc w:val="right"/>
            </w:pPr>
            <w:r>
              <w:rPr>
                <w:color w:val="1C3A36"/>
                <w:sz w:val="17"/>
              </w:rPr>
              <w:t>24.87</w:t>
            </w:r>
          </w:p>
        </w:tc>
        <w:tc>
          <w:tcPr>
            <w:tcW w:type="dxa" w:w="1080"/>
          </w:tcPr>
          <w:p>
            <w:pPr>
              <w:spacing w:after="20"/>
              <w:jc w:val="right"/>
            </w:pPr>
            <w:r>
              <w:rPr>
                <w:color w:val="1C3A36"/>
                <w:sz w:val="17"/>
              </w:rPr>
              <w:t>21.48</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17.44</w:t>
            </w:r>
          </w:p>
        </w:tc>
        <w:tc>
          <w:tcPr>
            <w:tcW w:type="dxa" w:w="1080"/>
          </w:tcPr>
          <w:p>
            <w:pPr>
              <w:spacing w:after="20"/>
              <w:jc w:val="right"/>
            </w:pPr>
            <w:r>
              <w:rPr>
                <w:color w:val="1C3A36"/>
                <w:sz w:val="17"/>
              </w:rPr>
              <w:t>16.16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21.93</w:t>
            </w:r>
          </w:p>
        </w:tc>
        <w:tc>
          <w:tcPr>
            <w:tcW w:type="dxa" w:w="1080"/>
          </w:tcPr>
          <w:p>
            <w:pPr>
              <w:spacing w:after="20"/>
              <w:jc w:val="right"/>
            </w:pPr>
            <w:r>
              <w:rPr>
                <w:color w:val="1C3A36"/>
                <w:sz w:val="17"/>
              </w:rPr>
              <w:t>20.99</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19.11</w:t>
            </w:r>
          </w:p>
        </w:tc>
        <w:tc>
          <w:tcPr>
            <w:tcW w:type="dxa" w:w="1080"/>
          </w:tcPr>
          <w:p>
            <w:pPr>
              <w:spacing w:after="20"/>
              <w:jc w:val="right"/>
            </w:pPr>
            <w:r>
              <w:rPr>
                <w:color w:val="1C3A36"/>
                <w:sz w:val="17"/>
              </w:rPr>
              <w:t>18.17</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17.09</w:t>
            </w:r>
          </w:p>
        </w:tc>
        <w:tc>
          <w:tcPr>
            <w:tcW w:type="dxa" w:w="1080"/>
          </w:tcPr>
          <w:p>
            <w:pPr>
              <w:spacing w:after="20"/>
              <w:jc w:val="right"/>
            </w:pPr>
            <w:r>
              <w:rPr>
                <w:color w:val="1C3A36"/>
                <w:sz w:val="17"/>
              </w:rPr>
              <w:t>17.65</w:t>
            </w:r>
          </w:p>
        </w:tc>
        <w:tc>
          <w:tcPr>
            <w:tcW w:type="dxa" w:w="1080"/>
          </w:tcPr>
          <w:p>
            <w:pPr>
              <w:spacing w:after="20"/>
              <w:jc w:val="right"/>
            </w:pPr>
            <w:r>
              <w:rPr>
                <w:color w:val="1C3A36"/>
                <w:sz w:val="17"/>
              </w:rPr>
              <w:t>18.31</w:t>
            </w:r>
          </w:p>
        </w:tc>
        <w:tc>
          <w:tcPr>
            <w:tcW w:type="dxa" w:w="1080"/>
          </w:tcPr>
          <w:p>
            <w:pPr>
              <w:spacing w:after="20"/>
              <w:jc w:val="right"/>
            </w:pPr>
            <w:r>
              <w:rPr>
                <w:color w:val="1C3A36"/>
                <w:sz w:val="17"/>
              </w:rPr>
              <w:t>19.09</w:t>
            </w:r>
          </w:p>
        </w:tc>
        <w:tc>
          <w:tcPr>
            <w:tcW w:type="dxa" w:w="1080"/>
          </w:tcPr>
          <w:p>
            <w:pPr>
              <w:spacing w:after="20"/>
              <w:jc w:val="right"/>
            </w:pPr>
            <w:r>
              <w:rPr>
                <w:color w:val="1C3A36"/>
                <w:sz w:val="17"/>
              </w:rPr>
              <w:t>20.05</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1.31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14.33%</w:t>
            </w:r>
          </w:p>
        </w:tc>
        <w:tc>
          <w:tcPr>
            <w:tcW w:type="dxa" w:w="1224"/>
          </w:tcPr>
          <w:p>
            <w:pPr>
              <w:spacing w:after="20"/>
              <w:jc w:val="right"/>
            </w:pPr>
            <w:r>
              <w:rPr>
                <w:color w:val="1C3A36"/>
                <w:sz w:val="17"/>
              </w:rPr>
              <w:t>19.27</w:t>
            </w:r>
          </w:p>
        </w:tc>
        <w:tc>
          <w:tcPr>
            <w:tcW w:type="dxa" w:w="1224"/>
          </w:tcPr>
          <w:p>
            <w:pPr>
              <w:spacing w:after="20"/>
              <w:jc w:val="right"/>
            </w:pPr>
            <w:r>
              <w:rPr>
                <w:color w:val="1C3A36"/>
                <w:sz w:val="17"/>
              </w:rPr>
              <w:t>20.13</w:t>
            </w:r>
          </w:p>
        </w:tc>
        <w:tc>
          <w:tcPr>
            <w:tcW w:type="dxa" w:w="1224"/>
          </w:tcPr>
          <w:p>
            <w:pPr>
              <w:spacing w:after="20"/>
              <w:jc w:val="right"/>
            </w:pPr>
            <w:r>
              <w:rPr>
                <w:color w:val="1C3A36"/>
                <w:sz w:val="17"/>
              </w:rPr>
              <w:t>21.17</w:t>
            </w:r>
          </w:p>
        </w:tc>
        <w:tc>
          <w:tcPr>
            <w:tcW w:type="dxa" w:w="1224"/>
          </w:tcPr>
          <w:p>
            <w:pPr>
              <w:spacing w:after="20"/>
              <w:jc w:val="right"/>
            </w:pPr>
            <w:r>
              <w:rPr>
                <w:color w:val="1C3A36"/>
                <w:sz w:val="17"/>
              </w:rPr>
              <w:t>22.47</w:t>
            </w:r>
          </w:p>
        </w:tc>
        <w:tc>
          <w:tcPr>
            <w:tcW w:type="dxa" w:w="1224"/>
          </w:tcPr>
          <w:p>
            <w:pPr>
              <w:spacing w:after="20"/>
              <w:jc w:val="right"/>
            </w:pPr>
            <w:r>
              <w:rPr>
                <w:color w:val="1C3A36"/>
                <w:sz w:val="17"/>
              </w:rPr>
              <w:t>24.11</w:t>
            </w:r>
          </w:p>
        </w:tc>
      </w:tr>
      <w:tr>
        <w:tc>
          <w:tcPr>
            <w:tcW w:type="dxa" w:w="3384"/>
          </w:tcPr>
          <w:p>
            <w:pPr>
              <w:spacing w:after="20"/>
            </w:pPr>
            <w:r>
              <w:rPr>
                <w:color w:val="1C3A36"/>
                <w:sz w:val="17"/>
              </w:rPr>
              <w:t>15.33%</w:t>
            </w:r>
          </w:p>
        </w:tc>
        <w:tc>
          <w:tcPr>
            <w:tcW w:type="dxa" w:w="1224"/>
          </w:tcPr>
          <w:p>
            <w:pPr>
              <w:spacing w:after="20"/>
              <w:jc w:val="right"/>
            </w:pPr>
            <w:r>
              <w:rPr>
                <w:color w:val="1C3A36"/>
                <w:sz w:val="17"/>
              </w:rPr>
              <w:t>18.09</w:t>
            </w:r>
          </w:p>
        </w:tc>
        <w:tc>
          <w:tcPr>
            <w:tcW w:type="dxa" w:w="1224"/>
          </w:tcPr>
          <w:p>
            <w:pPr>
              <w:spacing w:after="20"/>
              <w:jc w:val="right"/>
            </w:pPr>
            <w:r>
              <w:rPr>
                <w:color w:val="1C3A36"/>
                <w:sz w:val="17"/>
              </w:rPr>
              <w:t>18.78</w:t>
            </w:r>
          </w:p>
        </w:tc>
        <w:tc>
          <w:tcPr>
            <w:tcW w:type="dxa" w:w="1224"/>
          </w:tcPr>
          <w:p>
            <w:pPr>
              <w:spacing w:after="20"/>
              <w:jc w:val="right"/>
            </w:pPr>
            <w:r>
              <w:rPr>
                <w:color w:val="1C3A36"/>
                <w:sz w:val="17"/>
              </w:rPr>
              <w:t>19.60</w:t>
            </w:r>
          </w:p>
        </w:tc>
        <w:tc>
          <w:tcPr>
            <w:tcW w:type="dxa" w:w="1224"/>
          </w:tcPr>
          <w:p>
            <w:pPr>
              <w:spacing w:after="20"/>
              <w:jc w:val="right"/>
            </w:pPr>
            <w:r>
              <w:rPr>
                <w:color w:val="1C3A36"/>
                <w:sz w:val="17"/>
              </w:rPr>
              <w:t>20.60</w:t>
            </w:r>
          </w:p>
        </w:tc>
        <w:tc>
          <w:tcPr>
            <w:tcW w:type="dxa" w:w="1224"/>
          </w:tcPr>
          <w:p>
            <w:pPr>
              <w:spacing w:after="20"/>
              <w:jc w:val="right"/>
            </w:pPr>
            <w:r>
              <w:rPr>
                <w:color w:val="1C3A36"/>
                <w:sz w:val="17"/>
              </w:rPr>
              <w:t>21.84</w:t>
            </w:r>
          </w:p>
        </w:tc>
      </w:tr>
      <w:tr>
        <w:tc>
          <w:tcPr>
            <w:tcW w:type="dxa" w:w="3384"/>
          </w:tcPr>
          <w:p>
            <w:pPr>
              <w:spacing w:after="20"/>
            </w:pPr>
            <w:r>
              <w:rPr>
                <w:color w:val="1C3A36"/>
                <w:sz w:val="17"/>
              </w:rPr>
              <w:t>16.33%</w:t>
            </w:r>
          </w:p>
        </w:tc>
        <w:tc>
          <w:tcPr>
            <w:tcW w:type="dxa" w:w="1224"/>
          </w:tcPr>
          <w:p>
            <w:pPr>
              <w:spacing w:after="20"/>
              <w:jc w:val="right"/>
            </w:pPr>
            <w:r>
              <w:rPr>
                <w:color w:val="1C3A36"/>
                <w:sz w:val="17"/>
              </w:rPr>
              <w:t>17.09</w:t>
            </w:r>
          </w:p>
        </w:tc>
        <w:tc>
          <w:tcPr>
            <w:tcW w:type="dxa" w:w="1224"/>
          </w:tcPr>
          <w:p>
            <w:pPr>
              <w:spacing w:after="20"/>
              <w:jc w:val="right"/>
            </w:pPr>
            <w:r>
              <w:rPr>
                <w:color w:val="1C3A36"/>
                <w:sz w:val="17"/>
              </w:rPr>
              <w:t>17.65</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19.09</w:t>
            </w:r>
          </w:p>
        </w:tc>
        <w:tc>
          <w:tcPr>
            <w:tcW w:type="dxa" w:w="1224"/>
          </w:tcPr>
          <w:p>
            <w:pPr>
              <w:spacing w:after="20"/>
              <w:jc w:val="right"/>
            </w:pPr>
            <w:r>
              <w:rPr>
                <w:color w:val="1C3A36"/>
                <w:sz w:val="17"/>
              </w:rPr>
              <w:t>20.05</w:t>
            </w:r>
          </w:p>
        </w:tc>
      </w:tr>
      <w:tr>
        <w:tc>
          <w:tcPr>
            <w:tcW w:type="dxa" w:w="3384"/>
          </w:tcPr>
          <w:p>
            <w:pPr>
              <w:spacing w:after="20"/>
            </w:pPr>
            <w:r>
              <w:rPr>
                <w:color w:val="1C3A36"/>
                <w:sz w:val="17"/>
              </w:rPr>
              <w:t>17.33%</w:t>
            </w:r>
          </w:p>
        </w:tc>
        <w:tc>
          <w:tcPr>
            <w:tcW w:type="dxa" w:w="1224"/>
          </w:tcPr>
          <w:p>
            <w:pPr>
              <w:spacing w:after="20"/>
              <w:jc w:val="right"/>
            </w:pPr>
            <w:r>
              <w:rPr>
                <w:color w:val="1C3A36"/>
                <w:sz w:val="17"/>
              </w:rPr>
              <w:t>16.22</w:t>
            </w:r>
          </w:p>
        </w:tc>
        <w:tc>
          <w:tcPr>
            <w:tcW w:type="dxa" w:w="1224"/>
          </w:tcPr>
          <w:p>
            <w:pPr>
              <w:spacing w:after="20"/>
              <w:jc w:val="right"/>
            </w:pPr>
            <w:r>
              <w:rPr>
                <w:color w:val="1C3A36"/>
                <w:sz w:val="17"/>
              </w:rPr>
              <w:t>16.68</w:t>
            </w:r>
          </w:p>
        </w:tc>
        <w:tc>
          <w:tcPr>
            <w:tcW w:type="dxa" w:w="1224"/>
          </w:tcPr>
          <w:p>
            <w:pPr>
              <w:spacing w:after="20"/>
              <w:jc w:val="right"/>
            </w:pPr>
            <w:r>
              <w:rPr>
                <w:color w:val="1C3A36"/>
                <w:sz w:val="17"/>
              </w:rPr>
              <w:t>17.22</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18.60</w:t>
            </w:r>
          </w:p>
        </w:tc>
      </w:tr>
      <w:tr>
        <w:tc>
          <w:tcPr>
            <w:tcW w:type="dxa" w:w="3384"/>
          </w:tcPr>
          <w:p>
            <w:pPr>
              <w:spacing w:after="20"/>
            </w:pPr>
            <w:r>
              <w:rPr>
                <w:color w:val="1C3A36"/>
                <w:sz w:val="17"/>
              </w:rPr>
              <w:t>18.33%</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15.85</w:t>
            </w:r>
          </w:p>
        </w:tc>
        <w:tc>
          <w:tcPr>
            <w:tcW w:type="dxa" w:w="1224"/>
          </w:tcPr>
          <w:p>
            <w:pPr>
              <w:spacing w:after="20"/>
              <w:jc w:val="right"/>
            </w:pPr>
            <w:r>
              <w:rPr>
                <w:color w:val="1C3A36"/>
                <w:sz w:val="17"/>
              </w:rPr>
              <w:t>16.29</w:t>
            </w:r>
          </w:p>
        </w:tc>
        <w:tc>
          <w:tcPr>
            <w:tcW w:type="dxa" w:w="1224"/>
          </w:tcPr>
          <w:p>
            <w:pPr>
              <w:spacing w:after="20"/>
              <w:jc w:val="right"/>
            </w:pPr>
            <w:r>
              <w:rPr>
                <w:color w:val="1C3A36"/>
                <w:sz w:val="17"/>
              </w:rPr>
              <w:t>16.81</w:t>
            </w:r>
          </w:p>
        </w:tc>
        <w:tc>
          <w:tcPr>
            <w:tcW w:type="dxa" w:w="1224"/>
          </w:tcPr>
          <w:p>
            <w:pPr>
              <w:spacing w:after="20"/>
              <w:jc w:val="right"/>
            </w:pPr>
            <w:r>
              <w:rPr>
                <w:color w:val="1C3A36"/>
                <w:sz w:val="17"/>
              </w:rPr>
              <w:t>17.41</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1.66</w:t>
            </w:r>
          </w:p>
        </w:tc>
        <w:tc>
          <w:tcPr>
            <w:tcW w:type="dxa" w:w="1512"/>
          </w:tcPr>
          <w:p>
            <w:pPr>
              <w:spacing w:after="20"/>
              <w:jc w:val="right"/>
            </w:pPr>
            <w:r>
              <w:rPr>
                <w:color w:val="1C3A36"/>
                <w:sz w:val="17"/>
              </w:rPr>
              <w:t>20.05</w:t>
            </w:r>
          </w:p>
        </w:tc>
        <w:tc>
          <w:tcPr>
            <w:tcW w:type="dxa" w:w="1512"/>
          </w:tcPr>
          <w:p>
            <w:pPr>
              <w:spacing w:after="20"/>
              <w:jc w:val="right"/>
            </w:pPr>
            <w:r>
              <w:rPr>
                <w:color w:val="1C3A36"/>
                <w:sz w:val="17"/>
              </w:rPr>
              <w:t>27.52</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1.43 times = (sustainable return 28% less growth) over (cost of equity 21.70% less growth), on book value of EGP 4.70: EGP 6.71.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17.63</w:t>
            </w:r>
          </w:p>
        </w:tc>
        <w:tc>
          <w:tcPr>
            <w:tcW w:type="dxa" w:w="1224"/>
          </w:tcPr>
          <w:p>
            <w:pPr>
              <w:spacing w:after="20"/>
              <w:jc w:val="right"/>
            </w:pPr>
            <w:r>
              <w:rPr>
                <w:color w:val="1C3A36"/>
                <w:sz w:val="17"/>
              </w:rPr>
              <w:t>30.6%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18.40</w:t>
            </w:r>
          </w:p>
        </w:tc>
        <w:tc>
          <w:tcPr>
            <w:tcW w:type="dxa" w:w="1224"/>
          </w:tcPr>
          <w:p>
            <w:pPr>
              <w:spacing w:after="20"/>
              <w:jc w:val="right"/>
            </w:pPr>
            <w:r>
              <w:rPr>
                <w:color w:val="1C3A36"/>
                <w:sz w:val="17"/>
              </w:rPr>
              <w:t>36.3%</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17.83</w:t>
            </w:r>
          </w:p>
        </w:tc>
        <w:tc>
          <w:tcPr>
            <w:tcW w:type="dxa" w:w="1224"/>
          </w:tcPr>
          <w:p>
            <w:pPr>
              <w:spacing w:after="20"/>
              <w:jc w:val="right"/>
            </w:pPr>
            <w:r>
              <w:rPr>
                <w:color w:val="1C3A36"/>
                <w:sz w:val="17"/>
              </w:rPr>
              <w:t>32.1%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17.92</w:t>
            </w:r>
          </w:p>
        </w:tc>
        <w:tc>
          <w:tcPr>
            <w:tcW w:type="dxa" w:w="1224"/>
          </w:tcPr>
          <w:p>
            <w:pPr>
              <w:spacing w:after="20"/>
              <w:jc w:val="right"/>
            </w:pPr>
            <w:r>
              <w:rPr>
                <w:color w:val="1C3A36"/>
                <w:sz w:val="17"/>
              </w:rPr>
              <w:t>32.7%</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16.47</w:t>
            </w:r>
          </w:p>
        </w:tc>
        <w:tc>
          <w:tcPr>
            <w:tcW w:type="dxa" w:w="1224"/>
          </w:tcPr>
          <w:p>
            <w:pPr>
              <w:spacing w:after="20"/>
              <w:jc w:val="right"/>
            </w:pPr>
            <w:r>
              <w:rPr>
                <w:color w:val="1C3A36"/>
                <w:sz w:val="17"/>
              </w:rPr>
              <w:t>22.0%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17.63</w:t>
            </w:r>
          </w:p>
        </w:tc>
        <w:tc>
          <w:tcPr>
            <w:tcW w:type="dxa" w:w="1224"/>
          </w:tcPr>
          <w:p>
            <w:pPr>
              <w:spacing w:after="20"/>
              <w:jc w:val="right"/>
            </w:pPr>
            <w:r>
              <w:rPr>
                <w:color w:val="1C3A36"/>
                <w:sz w:val="17"/>
              </w:rPr>
              <w:t>30.6%</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19.16</w:t>
            </w:r>
          </w:p>
        </w:tc>
        <w:tc>
          <w:tcPr>
            <w:tcW w:type="dxa" w:w="1224"/>
            <w:shd w:val="clear" w:color="auto" w:fill="F6F1E6"/>
          </w:tcPr>
          <w:p>
            <w:pPr>
              <w:spacing w:after="20"/>
              <w:jc w:val="right"/>
            </w:pPr>
            <w:r>
              <w:rPr>
                <w:b/>
                <w:color w:val="1C3A36"/>
                <w:sz w:val="17"/>
              </w:rPr>
              <w:t>41.9%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19.16, 41.9%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15.24;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20.55.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16.8%,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9.90% sustained in EVERY forecast year and in perpetuity, against a base year of 9.65% — that is a REDUCTION of -0.25%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9.90%.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20.05</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0.0%</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20.05  (range 1.66–27.52)</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1.31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16.0%</w:t>
            </w:r>
          </w:p>
        </w:tc>
      </w:tr>
      <w:tr>
        <w:tc>
          <w:tcPr>
            <w:tcW w:type="dxa" w:w="6048"/>
          </w:tcPr>
          <w:p>
            <w:pPr>
              <w:spacing w:after="20"/>
            </w:pPr>
            <w:r>
              <w:rPr>
                <w:color w:val="1C3A36"/>
                <w:sz w:val="18"/>
              </w:rPr>
              <w:t>EGP 13.50 (the traded price) to EGP 20.05</w:t>
            </w:r>
          </w:p>
        </w:tc>
        <w:tc>
          <w:tcPr>
            <w:tcW w:type="dxa" w:w="2736"/>
          </w:tcPr>
          <w:p>
            <w:pPr>
              <w:spacing w:after="20"/>
              <w:jc w:val="right"/>
            </w:pPr>
            <w:r>
              <w:rPr>
                <w:color w:val="1C3A36"/>
                <w:sz w:val="18"/>
              </w:rPr>
              <w:t>3.0%</w:t>
            </w:r>
          </w:p>
        </w:tc>
      </w:tr>
      <w:tr>
        <w:tc>
          <w:tcPr>
            <w:tcW w:type="dxa" w:w="6048"/>
          </w:tcPr>
          <w:p>
            <w:pPr>
              <w:spacing w:after="20"/>
            </w:pPr>
            <w:r>
              <w:rPr>
                <w:color w:val="1C3A36"/>
                <w:sz w:val="18"/>
              </w:rPr>
              <w:t>Above EGP 20.05</w:t>
            </w:r>
          </w:p>
        </w:tc>
        <w:tc>
          <w:tcPr>
            <w:tcW w:type="dxa" w:w="2736"/>
          </w:tcPr>
          <w:p>
            <w:pPr>
              <w:spacing w:after="20"/>
              <w:jc w:val="right"/>
            </w:pPr>
            <w:r>
              <w:rPr>
                <w:color w:val="1C3A36"/>
                <w:sz w:val="18"/>
              </w:rPr>
              <w:t>0.3%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62.3%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20.05 a share against the published EGP 20.05.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24.87 to 16.16,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16.33%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15.24. On GROSS rather than net debt weights — the construction this study rejects, because it counts the cash pile twice — the lens is EGP 20.05.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21.97%</w:t>
            </w:r>
          </w:p>
        </w:tc>
        <w:tc>
          <w:tcPr>
            <w:tcW w:type="dxa" w:w="1296"/>
          </w:tcPr>
          <w:p>
            <w:pPr>
              <w:spacing w:after="20"/>
              <w:jc w:val="right"/>
            </w:pPr>
            <w:r>
              <w:rPr>
                <w:color w:val="1C3A36"/>
                <w:sz w:val="16"/>
              </w:rPr>
              <w:t>19.69%</w:t>
            </w:r>
          </w:p>
        </w:tc>
        <w:tc>
          <w:tcPr>
            <w:tcW w:type="dxa" w:w="1296"/>
          </w:tcPr>
          <w:p>
            <w:pPr>
              <w:spacing w:after="20"/>
              <w:jc w:val="right"/>
            </w:pPr>
            <w:r>
              <w:rPr>
                <w:color w:val="1C3A36"/>
                <w:sz w:val="16"/>
              </w:rPr>
              <w:t>17.98%</w:t>
            </w:r>
          </w:p>
        </w:tc>
        <w:tc>
          <w:tcPr>
            <w:tcW w:type="dxa" w:w="1296"/>
          </w:tcPr>
          <w:p>
            <w:pPr>
              <w:spacing w:after="20"/>
              <w:jc w:val="right"/>
            </w:pPr>
            <w:r>
              <w:rPr>
                <w:color w:val="1C3A36"/>
                <w:sz w:val="16"/>
              </w:rPr>
              <w:t>16.84%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0.6434</w:t>
            </w:r>
          </w:p>
        </w:tc>
        <w:tc>
          <w:tcPr>
            <w:tcW w:type="dxa" w:w="1296"/>
          </w:tcPr>
          <w:p>
            <w:pPr>
              <w:spacing w:after="20"/>
              <w:jc w:val="right"/>
            </w:pPr>
            <w:r>
              <w:rPr>
                <w:color w:val="1C3A36"/>
                <w:sz w:val="16"/>
              </w:rPr>
              <w:t>0.5375</w:t>
            </w:r>
          </w:p>
        </w:tc>
        <w:tc>
          <w:tcPr>
            <w:tcW w:type="dxa" w:w="1296"/>
          </w:tcPr>
          <w:p>
            <w:pPr>
              <w:spacing w:after="20"/>
              <w:jc w:val="right"/>
            </w:pPr>
            <w:r>
              <w:rPr>
                <w:color w:val="1C3A36"/>
                <w:sz w:val="16"/>
              </w:rPr>
              <w:t>0.4556</w:t>
            </w:r>
          </w:p>
        </w:tc>
        <w:tc>
          <w:tcPr>
            <w:tcW w:type="dxa" w:w="1296"/>
          </w:tcPr>
          <w:p>
            <w:pPr>
              <w:spacing w:after="20"/>
              <w:jc w:val="right"/>
            </w:pPr>
            <w:r>
              <w:rPr>
                <w:color w:val="1C3A36"/>
                <w:sz w:val="16"/>
              </w:rPr>
              <w:t>0.3899</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2,099</w:t>
            </w:r>
          </w:p>
        </w:tc>
        <w:tc>
          <w:tcPr>
            <w:tcW w:type="dxa" w:w="1296"/>
          </w:tcPr>
          <w:p>
            <w:pPr>
              <w:spacing w:after="20"/>
              <w:jc w:val="right"/>
            </w:pPr>
            <w:r>
              <w:rPr>
                <w:color w:val="1C3A36"/>
                <w:sz w:val="16"/>
              </w:rPr>
              <w:t>1,848</w:t>
            </w:r>
          </w:p>
        </w:tc>
        <w:tc>
          <w:tcPr>
            <w:tcW w:type="dxa" w:w="1296"/>
          </w:tcPr>
          <w:p>
            <w:pPr>
              <w:spacing w:after="20"/>
              <w:jc w:val="right"/>
            </w:pPr>
            <w:r>
              <w:rPr>
                <w:color w:val="1C3A36"/>
                <w:sz w:val="16"/>
              </w:rPr>
              <w:t>1,618</w:t>
            </w:r>
          </w:p>
        </w:tc>
        <w:tc>
          <w:tcPr>
            <w:tcW w:type="dxa" w:w="1296"/>
          </w:tcPr>
          <w:p>
            <w:pPr>
              <w:spacing w:after="20"/>
              <w:jc w:val="right"/>
            </w:pPr>
            <w:r>
              <w:rPr>
                <w:color w:val="1C3A36"/>
                <w:sz w:val="16"/>
              </w:rPr>
              <w:t>1,415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9,363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13,049</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22,412</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17.35</w:t>
            </w:r>
          </w:p>
        </w:tc>
      </w:tr>
    </w:tbl>
    <w:p>
      <w:pPr>
        <w:spacing w:after="40"/>
      </w:pPr>
    </w:p>
    <w:p>
      <w:pPr>
        <w:spacing w:after="200" w:before="0"/>
      </w:pPr>
      <w:r>
        <w:rPr>
          <w:b w:val="0"/>
          <w:i/>
          <w:color w:val="6E7B77"/>
          <w:sz w:val="17"/>
        </w:rPr>
        <w:t>Table C.2 — Expert 2. Range EGP 0.59 to 23.04. This is the LOWEST of the three at 28.5% against the price, and the reason is the discount rate: an equity claim discounted on the equity glide from 27.4% to 16.8%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6,969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13,574</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25,220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20.95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2,398</w:t>
            </w:r>
          </w:p>
        </w:tc>
        <w:tc>
          <w:tcPr>
            <w:tcW w:type="dxa" w:w="1224"/>
          </w:tcPr>
          <w:p>
            <w:pPr>
              <w:spacing w:after="20"/>
              <w:jc w:val="right"/>
            </w:pPr>
            <w:r>
              <w:rPr>
                <w:color w:val="1C3A36"/>
                <w:sz w:val="17"/>
              </w:rPr>
              <w:t>2,633</w:t>
            </w:r>
          </w:p>
        </w:tc>
        <w:tc>
          <w:tcPr>
            <w:tcW w:type="dxa" w:w="1224"/>
          </w:tcPr>
          <w:p>
            <w:pPr>
              <w:spacing w:after="20"/>
              <w:jc w:val="right"/>
            </w:pPr>
            <w:r>
              <w:rPr>
                <w:color w:val="1C3A36"/>
                <w:sz w:val="17"/>
              </w:rPr>
              <w:t>2,817</w:t>
            </w:r>
          </w:p>
        </w:tc>
        <w:tc>
          <w:tcPr>
            <w:tcW w:type="dxa" w:w="1224"/>
          </w:tcPr>
          <w:p>
            <w:pPr>
              <w:spacing w:after="20"/>
              <w:jc w:val="right"/>
            </w:pPr>
            <w:r>
              <w:rPr>
                <w:color w:val="1C3A36"/>
                <w:sz w:val="17"/>
              </w:rPr>
              <w:t>2,965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42.20%</w:t>
            </w:r>
          </w:p>
        </w:tc>
        <w:tc>
          <w:tcPr>
            <w:tcW w:type="dxa" w:w="1224"/>
          </w:tcPr>
          <w:p>
            <w:pPr>
              <w:spacing w:after="20"/>
              <w:jc w:val="right"/>
            </w:pPr>
            <w:r>
              <w:rPr>
                <w:color w:val="1C3A36"/>
                <w:sz w:val="17"/>
              </w:rPr>
              <w:t>44.62%</w:t>
            </w:r>
          </w:p>
        </w:tc>
        <w:tc>
          <w:tcPr>
            <w:tcW w:type="dxa" w:w="1224"/>
          </w:tcPr>
          <w:p>
            <w:pPr>
              <w:spacing w:after="20"/>
              <w:jc w:val="right"/>
            </w:pPr>
            <w:r>
              <w:rPr>
                <w:color w:val="1C3A36"/>
                <w:sz w:val="17"/>
              </w:rPr>
              <w:t>46.10%</w:t>
            </w:r>
          </w:p>
        </w:tc>
        <w:tc>
          <w:tcPr>
            <w:tcW w:type="dxa" w:w="1224"/>
          </w:tcPr>
          <w:p>
            <w:pPr>
              <w:spacing w:after="20"/>
              <w:jc w:val="right"/>
            </w:pPr>
            <w:r>
              <w:rPr>
                <w:color w:val="1C3A36"/>
                <w:sz w:val="17"/>
              </w:rPr>
              <w:t>46.83%</w:t>
            </w:r>
          </w:p>
        </w:tc>
      </w:tr>
    </w:tbl>
    <w:p>
      <w:pPr>
        <w:spacing w:after="40"/>
      </w:pPr>
    </w:p>
    <w:p>
      <w:pPr>
        <w:spacing w:after="200" w:before="0"/>
      </w:pPr>
      <w:r>
        <w:rPr>
          <w:b w:val="0"/>
          <w:i/>
          <w:color w:val="6E7B77"/>
          <w:sz w:val="17"/>
        </w:rPr>
        <w:t>Table C.3 — Expert 3. Range EGP 0.53 to 28.30.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58.2%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62.3%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18.5% of its enterprise value is capital already in the ground and 53.8%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17.35 and EGP 21.26, a spread of 22.5% of the lower number, with a median of EGP 20.95 against a market price of EGP 13.50 — 55.1%.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46.8%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20.95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3.90</w:t>
            </w:r>
          </w:p>
        </w:tc>
        <w:tc>
          <w:tcPr>
            <w:tcW w:type="dxa" w:w="792"/>
          </w:tcPr>
          <w:p>
            <w:pPr>
              <w:spacing w:after="20"/>
              <w:jc w:val="right"/>
            </w:pPr>
            <w:r>
              <w:rPr>
                <w:color w:val="1C3A36"/>
                <w:sz w:val="16"/>
              </w:rPr>
              <w:t>22.5%</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5.48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0.31</w:t>
            </w:r>
          </w:p>
        </w:tc>
        <w:tc>
          <w:tcPr>
            <w:tcW w:type="dxa" w:w="792"/>
          </w:tcPr>
          <w:p>
            <w:pPr>
              <w:spacing w:after="20"/>
              <w:jc w:val="right"/>
            </w:pPr>
            <w:r>
              <w:rPr>
                <w:color w:val="1C3A36"/>
                <w:sz w:val="16"/>
              </w:rPr>
              <w:t>1.5%</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9.07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3.59</w:t>
            </w:r>
          </w:p>
        </w:tc>
        <w:tc>
          <w:tcPr>
            <w:tcW w:type="dxa" w:w="792"/>
          </w:tcPr>
          <w:p>
            <w:pPr>
              <w:spacing w:after="20"/>
              <w:jc w:val="right"/>
            </w:pPr>
            <w:r>
              <w:rPr>
                <w:color w:val="1C3A36"/>
                <w:sz w:val="16"/>
              </w:rPr>
              <w:t>20.7%</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+0.74</w:t>
            </w:r>
          </w:p>
        </w:tc>
        <w:tc>
          <w:tcPr>
            <w:tcW w:type="dxa" w:w="2664"/>
          </w:tcPr>
          <w:p>
            <w:pPr>
              <w:spacing w:after="20"/>
            </w:pPr>
            <w:r>
              <w:rPr>
                <w:color w:val="1C3A36"/>
                <w:sz w:val="16"/>
              </w:rPr>
              <w:t>0.52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0.89</w:t>
            </w:r>
          </w:p>
        </w:tc>
        <w:tc>
          <w:tcPr>
            <w:tcW w:type="dxa" w:w="792"/>
          </w:tcPr>
          <w:p>
            <w:pPr>
              <w:spacing w:after="20"/>
              <w:jc w:val="right"/>
            </w:pPr>
            <w:r>
              <w:rPr>
                <w:color w:val="1C3A36"/>
                <w:sz w:val="16"/>
              </w:rPr>
              <w:t>4.5%</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18.10 — so the price of time is worth only EGP 0.74 of a 3.59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17.35</w:t>
            </w:r>
          </w:p>
        </w:tc>
        <w:tc>
          <w:tcPr>
            <w:tcW w:type="dxa" w:w="1728"/>
          </w:tcPr>
          <w:p>
            <w:pPr>
              <w:spacing w:after="20"/>
              <w:jc w:val="right"/>
            </w:pPr>
            <w:r>
              <w:rPr>
                <w:color w:val="1C3A36"/>
                <w:sz w:val="17"/>
              </w:rPr>
              <w:t>0.59–23.04</w:t>
            </w:r>
          </w:p>
        </w:tc>
        <w:tc>
          <w:tcPr>
            <w:tcW w:type="dxa" w:w="1296"/>
          </w:tcPr>
          <w:p>
            <w:pPr>
              <w:spacing w:after="20"/>
              <w:jc w:val="right"/>
            </w:pPr>
            <w:r>
              <w:rPr>
                <w:color w:val="1C3A36"/>
                <w:sz w:val="17"/>
              </w:rPr>
              <w:t>28.5%</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20.95</w:t>
            </w:r>
          </w:p>
        </w:tc>
        <w:tc>
          <w:tcPr>
            <w:tcW w:type="dxa" w:w="1728"/>
          </w:tcPr>
          <w:p>
            <w:pPr>
              <w:spacing w:after="20"/>
              <w:jc w:val="right"/>
            </w:pPr>
            <w:r>
              <w:rPr>
                <w:color w:val="1C3A36"/>
                <w:sz w:val="17"/>
              </w:rPr>
              <w:t>0.53–28.30</w:t>
            </w:r>
          </w:p>
        </w:tc>
        <w:tc>
          <w:tcPr>
            <w:tcW w:type="dxa" w:w="1296"/>
          </w:tcPr>
          <w:p>
            <w:pPr>
              <w:spacing w:after="20"/>
              <w:jc w:val="right"/>
            </w:pPr>
            <w:r>
              <w:rPr>
                <w:color w:val="1C3A36"/>
                <w:sz w:val="17"/>
              </w:rPr>
              <w:t>55.1%</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20.95</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55.1%</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