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3.58</w:t>
            </w:r>
          </w:p>
        </w:tc>
        <w:tc>
          <w:tcPr>
            <w:tcW w:type="dxa" w:w="5184"/>
            <w:shd w:val="clear" w:color="auto" w:fill="F6F1E6"/>
          </w:tcPr>
          <w:p>
            <w:pPr>
              <w:spacing w:after="20"/>
            </w:pPr>
            <w:r>
              <w:rPr>
                <w:b/>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11.5%, which is 11.5%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shares change hands at 8.0 times that same forward EBITDA, while the cash-flow lens values them at 2.3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25.76%</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2.31</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2.31 to 2.31</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