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CellMar>
          <w:top w:w="90" w:type="dxa"/>
          <w:left w:w="160" w:type="dxa"/>
          <w:bottom w:w="90" w:type="dxa"/>
          <w:right w:w="160" w:type="dxa"/>
        </w:tblCellMar>
        <w:tblLayout w:type="fixed"/>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50"/>
        </w:rPr>
        <w:t>Borouge plc</w:t>
      </w:r>
    </w:p>
    <w:p>
      <w:pPr>
        <w:spacing w:after="40" w:before="0"/>
      </w:pPr>
      <w:r>
        <w:rPr>
          <w:b w:val="0"/>
          <w:i w:val="0"/>
          <w:color w:val="6E7B77"/>
          <w:sz w:val="26"/>
        </w:rPr>
        <w:t>Bibliography, input register and judgement record</w:t>
      </w:r>
    </w:p>
    <w:p>
      <w:pPr>
        <w:spacing w:after="240" w:before="0"/>
      </w:pPr>
      <w:r>
        <w:rPr>
          <w:b w:val="0"/>
          <w:i w:val="0"/>
          <w:color w:val="6E7B77"/>
          <w:sz w:val="21"/>
        </w:rPr>
        <w:t>Companion to the Borouge plc valuation study dated 9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Layout w:type="fixed"/>
        <w:tblCellMar>
          <w:top w:w="120" w:type="dxa"/>
          <w:left w:w="160" w:type="dxa"/>
          <w:bottom w:w="120" w:type="dxa"/>
          <w:right w:w="160" w:type="dxa"/>
        </w:tblCellMar>
        <w:tblLayout w:type="fixed"/>
      </w:tblPr>
      <w:tblGrid>
        <w:gridCol w:w="10080"/>
      </w:tblGrid>
      <w:tr>
        <w:tc>
          <w:tcPr>
            <w:tcW w:type="dxa" w:w="10080"/>
            <w:shd w:val="clear" w:color="auto" w:fill="F6F1E6"/>
          </w:tcPr>
          <w:p>
            <w:pPr>
              <w:spacing w:after="100"/>
            </w:pPr>
            <w:r>
              <w:rPr>
                <w:b/>
                <w:color w:val="1C3A36"/>
                <w:sz w:val="19"/>
              </w:rPr>
              <w:t xml:space="preserve">What this document is for. </w:t>
            </w:r>
            <w:r>
              <w:rPr>
                <w:color w:val="1C3A36"/>
                <w:sz w:val="19"/>
              </w:rPr>
              <w:t>A valuation is only as good as what it is built from. This document lists every source the study used, every input it carries, every judgement it made and every search that came back empty — so that a reader can check the study rather than take it on trust.</w:t>
            </w:r>
          </w:p>
          <w:p>
            <w:pPr>
              <w:spacing w:after="100"/>
            </w:pPr>
            <w:r>
              <w:rPr>
                <w:b/>
                <w:color w:val="1C3A36"/>
                <w:sz w:val="19"/>
              </w:rPr>
              <w:t xml:space="preserve">The rule the study works to. </w:t>
            </w:r>
            <w:r>
              <w:rPr>
                <w:color w:val="1C3A36"/>
                <w:sz w:val="19"/>
              </w:rPr>
              <w:t>Any figure Borouge itself reports comes ONLY from a document Borouge itself published. Data vendors, broker notes and press coverage appear in this study in exactly one place — as a cross-check on peer valuations — and they are labelled as such wherever they appear. If an official document could not be obtained, the study would stop and say so rather than substitute a weaker source.</w:t>
            </w:r>
          </w:p>
        </w:tc>
      </w:tr>
    </w:tbl>
    <w:p>
      <w:pPr>
        <w:spacing w:after="40"/>
      </w:pPr>
    </w:p>
    <w:p>
      <w:pPr>
        <w:spacing w:after="120" w:before="280"/>
      </w:pPr>
      <w:r>
        <w:rPr>
          <w:b/>
          <w:i w:val="0"/>
          <w:color w:val="1C3A36"/>
          <w:sz w:val="30"/>
        </w:rPr>
        <w:t>1  Primary documents</w:t>
      </w:r>
    </w:p>
    <w:p>
      <w:pPr>
        <w:spacing w:after="120" w:before="0"/>
      </w:pPr>
      <w:r>
        <w:rPr>
          <w:b w:val="0"/>
          <w:i w:val="0"/>
          <w:color w:val="1C3A36"/>
          <w:sz w:val="21"/>
        </w:rPr>
        <w:t>All 21 documents below were downloaded from Borouge plc’s own investor-relations library. On 9 August 2026 every one of them was downloaded again and compared byte-for-byte against the copy this study was built from: 21 of 21 matched exactly. That check is what allows the study to state that no figure has passed through an intermediary.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5616"/>
        <w:gridCol w:w="1224"/>
      </w:tblGrid>
      <w:tr>
        <w:tc>
          <w:tcPr>
            <w:tcW w:type="dxa" w:w="2952"/>
            <w:shd w:val="clear" w:color="auto" w:fill="EAF0EE"/>
          </w:tcPr>
          <w:p>
            <w:pPr>
              <w:spacing w:after="20"/>
            </w:pPr>
            <w:r>
              <w:rPr>
                <w:b/>
                <w:color w:val="1C3A36"/>
                <w:sz w:val="15"/>
              </w:rPr>
              <w:t>Document</w:t>
            </w:r>
          </w:p>
        </w:tc>
        <w:tc>
          <w:tcPr>
            <w:tcW w:type="dxa" w:w="5616"/>
            <w:shd w:val="clear" w:color="auto" w:fill="EAF0EE"/>
          </w:tcPr>
          <w:p>
            <w:pPr>
              <w:spacing w:after="20"/>
            </w:pPr>
            <w:r>
              <w:rPr>
                <w:b/>
                <w:color w:val="1C3A36"/>
                <w:sz w:val="15"/>
              </w:rPr>
              <w:t>What the study reads off it</w:t>
            </w:r>
          </w:p>
        </w:tc>
        <w:tc>
          <w:tcPr>
            <w:tcW w:type="dxa" w:w="1224"/>
            <w:shd w:val="clear" w:color="auto" w:fill="EAF0EE"/>
          </w:tcPr>
          <w:p>
            <w:pPr>
              <w:spacing w:after="20"/>
            </w:pPr>
            <w:r>
              <w:rPr>
                <w:b/>
                <w:color w:val="1C3A36"/>
                <w:sz w:val="15"/>
              </w:rPr>
              <w:t>Verified</w:t>
            </w:r>
          </w:p>
        </w:tc>
      </w:tr>
      <w:tr>
        <w:tc>
          <w:tcPr>
            <w:tcW w:type="dxa" w:w="2952"/>
          </w:tcPr>
          <w:p>
            <w:pPr>
              <w:spacing w:after="20"/>
            </w:pPr>
            <w:r>
              <w:rPr>
                <w:color w:val="1C3A36"/>
                <w:sz w:val="15"/>
              </w:rPr>
              <w:t>FY2025 audited consolidated financial statements (statutory)</w:t>
            </w:r>
          </w:p>
        </w:tc>
        <w:tc>
          <w:tcPr>
            <w:tcW w:type="dxa" w:w="5616"/>
          </w:tcPr>
          <w:p>
            <w:pPr>
              <w:spacing w:after="20"/>
              <w:jc w:val="right"/>
            </w:pPr>
            <w:r>
              <w:rPr>
                <w:color w:val="1C3A36"/>
                <w:sz w:val="15"/>
              </w:rPr>
              <w:t>/en/investor-relations/IRResults/FYQ4-25/Q4 2025 Financial Statements - statutory.pdf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FY2024 audited consolidated financial statements (statutory)</w:t>
            </w:r>
          </w:p>
        </w:tc>
        <w:tc>
          <w:tcPr>
            <w:tcW w:type="dxa" w:w="5616"/>
          </w:tcPr>
          <w:p>
            <w:pPr>
              <w:spacing w:after="20"/>
              <w:jc w:val="right"/>
            </w:pPr>
            <w:r>
              <w:rPr>
                <w:color w:val="1C3A36"/>
                <w:sz w:val="15"/>
              </w:rPr>
              <w:t>/en/investor-relations/Documents/IR Documents/Borouge-Q4-2024-EN Borouge Financial Statement.pdf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FY2023 audited consolidated financial statements (statutory)</w:t>
            </w:r>
          </w:p>
        </w:tc>
        <w:tc>
          <w:tcPr>
            <w:tcW w:type="dxa" w:w="5616"/>
          </w:tcPr>
          <w:p>
            <w:pPr>
              <w:spacing w:after="20"/>
              <w:jc w:val="right"/>
            </w:pPr>
            <w:r>
              <w:rPr>
                <w:color w:val="1C3A36"/>
                <w:sz w:val="15"/>
              </w:rPr>
              <w:t>/en/investor-relations/Documents/IR Documents/Borouge-Q4-2023-EN Financial Statements.pdf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FY2022 audited consolidated financial statements (statutory)</w:t>
            </w:r>
          </w:p>
        </w:tc>
        <w:tc>
          <w:tcPr>
            <w:tcW w:type="dxa" w:w="5616"/>
          </w:tcPr>
          <w:p>
            <w:pPr>
              <w:spacing w:after="20"/>
              <w:jc w:val="right"/>
            </w:pPr>
            <w:r>
              <w:rPr>
                <w:color w:val="1C3A36"/>
                <w:sz w:val="15"/>
              </w:rPr>
              <w:t>/en/investor-relations/Documents/IR Documents/Borouge-Q4-2022-EN Financial Statements.pdf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Q1-2026 condensed interim financial statements (reviewed)</w:t>
            </w:r>
          </w:p>
        </w:tc>
        <w:tc>
          <w:tcPr>
            <w:tcW w:type="dxa" w:w="5616"/>
          </w:tcPr>
          <w:p>
            <w:pPr>
              <w:spacing w:after="20"/>
              <w:jc w:val="right"/>
            </w:pPr>
            <w:r>
              <w:rPr>
                <w:color w:val="1C3A36"/>
                <w:sz w:val="15"/>
              </w:rPr>
              <w:t>/en/investor-relations/Documents/IR Documents/Q1 2026 Financial Statements - statutory - English.pdf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H1-2026 condensed interim financial statements (reviewed)</w:t>
            </w:r>
          </w:p>
        </w:tc>
        <w:tc>
          <w:tcPr>
            <w:tcW w:type="dxa" w:w="5616"/>
          </w:tcPr>
          <w:p>
            <w:pPr>
              <w:spacing w:after="20"/>
              <w:jc w:val="right"/>
            </w:pPr>
            <w:r>
              <w:rPr>
                <w:color w:val="1C3A36"/>
                <w:sz w:val="15"/>
              </w:rPr>
              <w:t>/en/investor-relations/Documents/IR Documents/Borouge-Q2-2026-EN Borouge Financial Statements.pdf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FY2025 Management Discussion &amp; Analysis — physical unit build</w:t>
            </w:r>
          </w:p>
        </w:tc>
        <w:tc>
          <w:tcPr>
            <w:tcW w:type="dxa" w:w="5616"/>
          </w:tcPr>
          <w:p>
            <w:pPr>
              <w:spacing w:after="20"/>
              <w:jc w:val="right"/>
            </w:pPr>
            <w:r>
              <w:rPr>
                <w:color w:val="1C3A36"/>
                <w:sz w:val="15"/>
              </w:rPr>
              <w:t>/en/investor-relations/IRResults/FYQ4-25/Q4 2025 Management Discussion and Analysis Report.pdf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FY2024 Management Discussion &amp; Analysis — physical unit build</w:t>
            </w:r>
          </w:p>
        </w:tc>
        <w:tc>
          <w:tcPr>
            <w:tcW w:type="dxa" w:w="5616"/>
          </w:tcPr>
          <w:p>
            <w:pPr>
              <w:spacing w:after="20"/>
              <w:jc w:val="right"/>
            </w:pPr>
            <w:r>
              <w:rPr>
                <w:color w:val="1C3A36"/>
                <w:sz w:val="15"/>
              </w:rPr>
              <w:t>/en/investor-relations/Documents/IR Documents/Borouge-Q4-2024-EN Borouge MDA.pdf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FY2023 Management Discussion &amp; Analysis — physical unit build</w:t>
            </w:r>
          </w:p>
        </w:tc>
        <w:tc>
          <w:tcPr>
            <w:tcW w:type="dxa" w:w="5616"/>
          </w:tcPr>
          <w:p>
            <w:pPr>
              <w:spacing w:after="20"/>
              <w:jc w:val="right"/>
            </w:pPr>
            <w:r>
              <w:rPr>
                <w:color w:val="1C3A36"/>
                <w:sz w:val="15"/>
              </w:rPr>
              <w:t>/en/investor-relations/Documents/IR Documents/Borouge-Q4-2023-EN MDA.pdf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Q1-2026 Management Discussion &amp; Analysis</w:t>
            </w:r>
          </w:p>
        </w:tc>
        <w:tc>
          <w:tcPr>
            <w:tcW w:type="dxa" w:w="5616"/>
          </w:tcPr>
          <w:p>
            <w:pPr>
              <w:spacing w:after="20"/>
              <w:jc w:val="right"/>
            </w:pPr>
            <w:r>
              <w:rPr>
                <w:color w:val="1C3A36"/>
                <w:sz w:val="15"/>
              </w:rPr>
              <w:t>/en/investor-relations/Documents/IR Documents/Q1 2026 MDA - English.pdf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H1-2026 Management Discussion &amp; Analysis</w:t>
            </w:r>
          </w:p>
        </w:tc>
        <w:tc>
          <w:tcPr>
            <w:tcW w:type="dxa" w:w="5616"/>
          </w:tcPr>
          <w:p>
            <w:pPr>
              <w:spacing w:after="20"/>
              <w:jc w:val="right"/>
            </w:pPr>
            <w:r>
              <w:rPr>
                <w:color w:val="1C3A36"/>
                <w:sz w:val="15"/>
              </w:rPr>
              <w:t>/en/investor-relations/Documents/IR Documents/Borouge-Q2-2026-EN Borouge MDA.pdf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FY2025 earnings presentation</w:t>
            </w:r>
          </w:p>
        </w:tc>
        <w:tc>
          <w:tcPr>
            <w:tcW w:type="dxa" w:w="5616"/>
          </w:tcPr>
          <w:p>
            <w:pPr>
              <w:spacing w:after="20"/>
              <w:jc w:val="right"/>
            </w:pPr>
            <w:r>
              <w:rPr>
                <w:color w:val="1C3A36"/>
                <w:sz w:val="15"/>
              </w:rPr>
              <w:t>/en/investor-relations/IRResults/FYQ4-25/Q4 2025 Earnings Presentation.pdf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FY2024 earnings presentation</w:t>
            </w:r>
          </w:p>
        </w:tc>
        <w:tc>
          <w:tcPr>
            <w:tcW w:type="dxa" w:w="5616"/>
          </w:tcPr>
          <w:p>
            <w:pPr>
              <w:spacing w:after="20"/>
              <w:jc w:val="right"/>
            </w:pPr>
            <w:r>
              <w:rPr>
                <w:color w:val="1C3A36"/>
                <w:sz w:val="15"/>
              </w:rPr>
              <w:t>/en/investor-relations/Documents/IR Documents/Borouge-Q4-2024-EN Borouge Earnings Presentation.pdf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FY2023 earnings presentation</w:t>
            </w:r>
          </w:p>
        </w:tc>
        <w:tc>
          <w:tcPr>
            <w:tcW w:type="dxa" w:w="5616"/>
          </w:tcPr>
          <w:p>
            <w:pPr>
              <w:spacing w:after="20"/>
              <w:jc w:val="right"/>
            </w:pPr>
            <w:r>
              <w:rPr>
                <w:color w:val="1C3A36"/>
                <w:sz w:val="15"/>
              </w:rPr>
              <w:t>/en/investor-relations/Documents/IR Documents/Borouge-Q4-2023-EN Earnings Presentation.pdf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H1-2026 earnings presentation</w:t>
            </w:r>
          </w:p>
        </w:tc>
        <w:tc>
          <w:tcPr>
            <w:tcW w:type="dxa" w:w="5616"/>
          </w:tcPr>
          <w:p>
            <w:pPr>
              <w:spacing w:after="20"/>
              <w:jc w:val="right"/>
            </w:pPr>
            <w:r>
              <w:rPr>
                <w:color w:val="1C3A36"/>
                <w:sz w:val="15"/>
              </w:rPr>
              <w:t>/en/investor-relations/Documents/IR Documents/Borouge-Q2-2026-EN Borouge Earnings Presentation.pdf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FY2025 earnings release</w:t>
            </w:r>
          </w:p>
        </w:tc>
        <w:tc>
          <w:tcPr>
            <w:tcW w:type="dxa" w:w="5616"/>
          </w:tcPr>
          <w:p>
            <w:pPr>
              <w:spacing w:after="20"/>
              <w:jc w:val="right"/>
            </w:pPr>
            <w:r>
              <w:rPr>
                <w:color w:val="1C3A36"/>
                <w:sz w:val="15"/>
              </w:rPr>
              <w:t>/en/investor-relations/IRResults/FYQ4-25/Q4 2025 Earnings Release.pdf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H1-2026 earnings release</w:t>
            </w:r>
          </w:p>
        </w:tc>
        <w:tc>
          <w:tcPr>
            <w:tcW w:type="dxa" w:w="5616"/>
          </w:tcPr>
          <w:p>
            <w:pPr>
              <w:spacing w:after="20"/>
              <w:jc w:val="right"/>
            </w:pPr>
            <w:r>
              <w:rPr>
                <w:color w:val="1C3A36"/>
                <w:sz w:val="15"/>
              </w:rPr>
              <w:t>/en/investor-relations/Documents/IR Documents/Borouge-Q2-2026-EN Borouge Earnings Release.pdf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Annual Report 2025</w:t>
            </w:r>
          </w:p>
        </w:tc>
        <w:tc>
          <w:tcPr>
            <w:tcW w:type="dxa" w:w="5616"/>
          </w:tcPr>
          <w:p>
            <w:pPr>
              <w:spacing w:after="20"/>
              <w:jc w:val="right"/>
            </w:pPr>
            <w:r>
              <w:rPr>
                <w:color w:val="1C3A36"/>
                <w:sz w:val="15"/>
              </w:rPr>
              <w:t>/en/investor-relations/Documents/IR Documents/Annual Reports/Borouge_Annual_Report_2025_ENG.pdf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Annual Report 2024</w:t>
            </w:r>
          </w:p>
        </w:tc>
        <w:tc>
          <w:tcPr>
            <w:tcW w:type="dxa" w:w="5616"/>
          </w:tcPr>
          <w:p>
            <w:pPr>
              <w:spacing w:after="20"/>
              <w:jc w:val="right"/>
            </w:pPr>
            <w:r>
              <w:rPr>
                <w:color w:val="1C3A36"/>
                <w:sz w:val="15"/>
              </w:rPr>
              <w:t>/en/investor-relations/Documents/IR Documents/Annual Reports/Borouge Annual Report 2024 final.pdf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Annual Report 2023</w:t>
            </w:r>
          </w:p>
        </w:tc>
        <w:tc>
          <w:tcPr>
            <w:tcW w:type="dxa" w:w="5616"/>
          </w:tcPr>
          <w:p>
            <w:pPr>
              <w:spacing w:after="20"/>
              <w:jc w:val="right"/>
            </w:pPr>
            <w:r>
              <w:rPr>
                <w:color w:val="1C3A36"/>
                <w:sz w:val="15"/>
              </w:rPr>
              <w:t>/en/investor-relations/Documents/IR Documents/Annual Reports/Borouge Annual Report 2023 final.pdf</w:t>
            </w:r>
          </w:p>
        </w:tc>
        <w:tc>
          <w:tcPr>
            <w:tcW w:type="dxa" w:w="1224"/>
          </w:tcPr>
          <w:p>
            <w:pPr>
              <w:spacing w:after="20"/>
              <w:jc w:val="right"/>
            </w:pPr>
            <w:r>
              <w:rPr>
                <w:color w:val="1C3A36"/>
                <w:sz w:val="15"/>
              </w:rPr>
              <w:t>identical</w:t>
            </w:r>
          </w:p>
        </w:tc>
      </w:tr>
      <w:tr>
        <w:tc>
          <w:tcPr>
            <w:tcW w:type="dxa" w:w="2952"/>
          </w:tcPr>
          <w:p>
            <w:pPr>
              <w:spacing w:after="20"/>
            </w:pPr>
            <w:r>
              <w:rPr>
                <w:color w:val="1C3A36"/>
                <w:sz w:val="15"/>
              </w:rPr>
              <w:t>Annual Report 2022</w:t>
            </w:r>
          </w:p>
        </w:tc>
        <w:tc>
          <w:tcPr>
            <w:tcW w:type="dxa" w:w="5616"/>
          </w:tcPr>
          <w:p>
            <w:pPr>
              <w:spacing w:after="20"/>
              <w:jc w:val="right"/>
            </w:pPr>
            <w:r>
              <w:rPr>
                <w:color w:val="1C3A36"/>
                <w:sz w:val="15"/>
              </w:rPr>
              <w:t>/en/investor-relations/Documents/IR Documents/Annual Reports/Borouge Annual Report 2022 final.pdf</w:t>
            </w:r>
          </w:p>
        </w:tc>
        <w:tc>
          <w:tcPr>
            <w:tcW w:type="dxa" w:w="1224"/>
          </w:tcPr>
          <w:p>
            <w:pPr>
              <w:spacing w:after="20"/>
              <w:jc w:val="right"/>
            </w:pPr>
            <w:r>
              <w:rPr>
                <w:color w:val="1C3A36"/>
                <w:sz w:val="15"/>
              </w:rPr>
              <w:t>identical</w:t>
            </w:r>
          </w:p>
        </w:tc>
      </w:tr>
    </w:tbl>
    <w:p>
      <w:pPr>
        <w:spacing w:after="40"/>
      </w:pPr>
    </w:p>
    <w:p>
      <w:pPr>
        <w:spacing w:after="200" w:before="0"/>
      </w:pPr>
      <w:r>
        <w:rPr>
          <w:b w:val="0"/>
          <w:i/>
          <w:color w:val="6E7B77"/>
          <w:sz w:val="17"/>
        </w:rPr>
        <w:t>Table 1 — The primary documents. Paths are relative to www.borouge.com. The index they were all taken from is at /en/investor-relations/Pages/reports-results.aspx.</w:t>
      </w:r>
    </w:p>
    <w:p>
      <w:pPr>
        <w:spacing w:after="120" w:before="0"/>
      </w:pPr>
      <w:r>
        <w:rPr>
          <w:b w:val="0"/>
          <w:i w:val="0"/>
          <w:color w:val="1C3A36"/>
          <w:sz w:val="21"/>
        </w:rPr>
        <w:t>Four complete audited financial years were obtained — 2022, 2023, 2024 and 2025 — each a full statutory set with an auditor’s report, a statement of financial position, a statement of profit or loss, a statement of changes in equity, a statement of cash flows and notes. The study carries 2023, 2024 and 2025 as model columns and holds 2022 as a check: 2022 was the post-listing peak-price year, and including it would flatter every through-cycle average the study takes. That exclusion is a stated judgement, not a gap in the record.</w:t>
      </w:r>
    </w:p>
    <w:p>
      <w:pPr>
        <w:spacing w:after="120" w:before="0"/>
      </w:pPr>
      <w:r>
        <w:rPr>
          <w:b w:val="0"/>
          <w:i w:val="0"/>
          <w:color w:val="1C3A36"/>
          <w:sz w:val="21"/>
        </w:rPr>
        <w:t>Both quarters of the study year already disclosed — the first quarter and the first half of 2026 — were read before the forecast was built, not after. They are where the feedstock step-up and the freight increase come from.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4896"/>
      </w:tblGrid>
      <w:tr>
        <w:tc>
          <w:tcPr>
            <w:tcW w:type="dxa" w:w="4896"/>
            <w:shd w:val="clear" w:color="auto" w:fill="EAF0EE"/>
          </w:tcPr>
          <w:p>
            <w:pPr>
              <w:spacing w:after="20"/>
            </w:pPr>
            <w:r>
              <w:rPr>
                <w:b/>
                <w:color w:val="1C3A36"/>
                <w:sz w:val="16"/>
              </w:rPr>
              <w:t>Also used, and what for</w:t>
            </w:r>
          </w:p>
        </w:tc>
        <w:tc>
          <w:tcPr>
            <w:tcW w:type="dxa" w:w="4896"/>
            <w:shd w:val="clear" w:color="auto" w:fill="EAF0EE"/>
          </w:tcPr>
          <w:p>
            <w:pPr>
              <w:spacing w:after="20"/>
            </w:pPr>
            <w:r>
              <w:rPr>
                <w:b/>
                <w:color w:val="1C3A36"/>
                <w:sz w:val="16"/>
              </w:rPr>
              <w:t>Role</w:t>
            </w:r>
          </w:p>
        </w:tc>
      </w:tr>
      <w:tr>
        <w:tc>
          <w:tcPr>
            <w:tcW w:type="dxa" w:w="4896"/>
          </w:tcPr>
          <w:p>
            <w:pPr>
              <w:spacing w:after="20"/>
            </w:pPr>
            <w:r>
              <w:rPr>
                <w:color w:val="1C3A36"/>
                <w:sz w:val="16"/>
              </w:rPr>
              <w:t>Abu Dhabi Securities Exchange monthly market-statistics workbooks, December 2025, March 2026 and June 2026</w:t>
            </w:r>
          </w:p>
        </w:tc>
        <w:tc>
          <w:tcPr>
            <w:tcW w:type="dxa" w:w="4896"/>
          </w:tcPr>
          <w:p>
            <w:pPr>
              <w:spacing w:after="20"/>
              <w:jc w:val="right"/>
            </w:pPr>
            <w:r>
              <w:rPr>
                <w:color w:val="1C3A36"/>
                <w:sz w:val="16"/>
              </w:rPr>
              <w:t>Cross-check on traded shares and market capitalisation only. Never a source for a reported figure</w:t>
            </w:r>
          </w:p>
        </w:tc>
      </w:tr>
      <w:tr>
        <w:tc>
          <w:tcPr>
            <w:tcW w:type="dxa" w:w="4896"/>
          </w:tcPr>
          <w:p>
            <w:pPr>
              <w:spacing w:after="20"/>
            </w:pPr>
            <w:r>
              <w:rPr>
                <w:color w:val="1C3A36"/>
                <w:sz w:val="16"/>
              </w:rPr>
              <w:t>Daily price history for Borouge from listing on 3 June 2022 to 7 August 2026, 1,048 sessions</w:t>
            </w:r>
          </w:p>
        </w:tc>
        <w:tc>
          <w:tcPr>
            <w:tcW w:type="dxa" w:w="4896"/>
          </w:tcPr>
          <w:p>
            <w:pPr>
              <w:spacing w:after="20"/>
              <w:jc w:val="right"/>
            </w:pPr>
            <w:r>
              <w:rPr>
                <w:color w:val="1C3A36"/>
                <w:sz w:val="16"/>
              </w:rPr>
              <w:t>The technical section, the probability bands, and the measured beta</w:t>
            </w:r>
          </w:p>
        </w:tc>
      </w:tr>
    </w:tbl>
    <w:p>
      <w:pPr>
        <w:spacing w:after="40"/>
      </w:pPr>
    </w:p>
    <w:p>
      <w:r>
        <w:br w:type="page"/>
      </w:r>
    </w:p>
    <w:p>
      <w:pPr>
        <w:spacing w:after="120" w:before="280"/>
      </w:pPr>
      <w:r>
        <w:rPr>
          <w:b/>
          <w:i w:val="0"/>
          <w:color w:val="1C3A36"/>
          <w:sz w:val="30"/>
        </w:rPr>
        <w:t>2  The full input register</w:t>
      </w:r>
    </w:p>
    <w:p>
      <w:pPr>
        <w:spacing w:after="120" w:before="0"/>
      </w:pPr>
      <w:r>
        <w:rPr>
          <w:b w:val="0"/>
          <w:i w:val="0"/>
          <w:color w:val="1C3A36"/>
          <w:sz w:val="21"/>
        </w:rPr>
        <w:t>Every input the model carries, with its value, the date it refers to, and the source and construction behind it. Nothing in the model is outside this register.</w:t>
      </w:r>
    </w:p>
    <w:p>
      <w:pPr>
        <w:spacing w:after="80" w:before="200"/>
      </w:pPr>
      <w:r>
        <w:rPr>
          <w:b/>
          <w:i w:val="0"/>
          <w:color w:val="1C3A36"/>
          <w:sz w:val="24"/>
        </w:rPr>
        <w:t>2.1  Company inputs — read off Borouge’s own documents</w:t>
      </w:r>
    </w:p>
    <w:p>
      <w:pPr>
        <w:spacing w:after="120" w:before="0"/>
      </w:pPr>
      <w:r>
        <w:rPr>
          <w:b w:val="0"/>
          <w:i w:val="0"/>
          <w:color w:val="1C3A36"/>
          <w:sz w:val="21"/>
        </w:rPr>
        <w:t>224 inputs. Every one of them comes from an audited or reviewed financial statement, a management discussion and analysis, an earnings presentation or an earnings release published by Borouge plc.</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224"/>
        <w:gridCol w:w="1008"/>
        <w:gridCol w:w="5688"/>
      </w:tblGrid>
      <w:tr>
        <w:tc>
          <w:tcPr>
            <w:tcW w:type="dxa" w:w="1872"/>
            <w:shd w:val="clear" w:color="auto" w:fill="EAF0EE"/>
          </w:tcPr>
          <w:p>
            <w:pPr>
              <w:spacing w:after="20"/>
            </w:pPr>
            <w:r>
              <w:rPr>
                <w:b/>
                <w:color w:val="1C3A36"/>
                <w:sz w:val="12"/>
              </w:rPr>
              <w:t>Input</w:t>
            </w:r>
          </w:p>
        </w:tc>
        <w:tc>
          <w:tcPr>
            <w:tcW w:type="dxa" w:w="1224"/>
            <w:shd w:val="clear" w:color="auto" w:fill="EAF0EE"/>
          </w:tcPr>
          <w:p>
            <w:pPr>
              <w:spacing w:after="20"/>
            </w:pPr>
            <w:r>
              <w:rPr>
                <w:b/>
                <w:color w:val="1C3A36"/>
                <w:sz w:val="12"/>
              </w:rPr>
              <w:t>Value</w:t>
            </w:r>
          </w:p>
        </w:tc>
        <w:tc>
          <w:tcPr>
            <w:tcW w:type="dxa" w:w="1008"/>
            <w:shd w:val="clear" w:color="auto" w:fill="EAF0EE"/>
          </w:tcPr>
          <w:p>
            <w:pPr>
              <w:spacing w:after="20"/>
            </w:pPr>
            <w:r>
              <w:rPr>
                <w:b/>
                <w:color w:val="1C3A36"/>
                <w:sz w:val="12"/>
              </w:rPr>
              <w:t>As at</w:t>
            </w:r>
          </w:p>
        </w:tc>
        <w:tc>
          <w:tcPr>
            <w:tcW w:type="dxa" w:w="5688"/>
            <w:shd w:val="clear" w:color="auto" w:fill="EAF0EE"/>
          </w:tcPr>
          <w:p>
            <w:pPr>
              <w:spacing w:after="20"/>
            </w:pPr>
            <w:r>
              <w:rPr>
                <w:b/>
                <w:color w:val="1C3A36"/>
                <w:sz w:val="12"/>
              </w:rPr>
              <w:t>Source and construction</w:t>
            </w:r>
          </w:p>
        </w:tc>
      </w:tr>
      <w:tr>
        <w:tc>
          <w:tcPr>
            <w:tcW w:type="dxa" w:w="1872"/>
          </w:tcPr>
          <w:p>
            <w:pPr>
              <w:spacing w:after="20"/>
            </w:pPr>
            <w:r>
              <w:rPr>
                <w:color w:val="1C3A36"/>
                <w:sz w:val="12"/>
              </w:rPr>
              <w:t>aed per usd</w:t>
            </w:r>
          </w:p>
        </w:tc>
        <w:tc>
          <w:tcPr>
            <w:tcW w:type="dxa" w:w="1224"/>
          </w:tcPr>
          <w:p>
            <w:pPr>
              <w:spacing w:after="20"/>
              <w:jc w:val="right"/>
            </w:pPr>
            <w:r>
              <w:rPr>
                <w:color w:val="1C3A36"/>
                <w:sz w:val="12"/>
              </w:rPr>
              <w:t>3.672</w:t>
            </w:r>
          </w:p>
        </w:tc>
        <w:tc>
          <w:tcPr>
            <w:tcW w:type="dxa" w:w="1008"/>
          </w:tcPr>
          <w:p>
            <w:pPr>
              <w:spacing w:after="20"/>
              <w:jc w:val="right"/>
            </w:pPr>
            <w:r>
              <w:rPr>
                <w:color w:val="1C3A36"/>
                <w:sz w:val="12"/>
              </w:rPr>
              <w:t>2026-08-07</w:t>
            </w:r>
          </w:p>
        </w:tc>
        <w:tc>
          <w:tcPr>
            <w:tcW w:type="dxa" w:w="5688"/>
          </w:tcPr>
          <w:p>
            <w:pPr>
              <w:spacing w:after="20"/>
              <w:jc w:val="right"/>
            </w:pPr>
            <w:r>
              <w:rPr>
                <w:color w:val="1C3A36"/>
                <w:sz w:val="12"/>
              </w:rPr>
              <w:t>AED/USD central parity. The dirham has been pegged to the US dollar at this rate since November 1997 and the Central Bank of the UAE has maintained it without interruption since</w:t>
            </w:r>
          </w:p>
        </w:tc>
      </w:tr>
      <w:tr>
        <w:tc>
          <w:tcPr>
            <w:tcW w:type="dxa" w:w="1872"/>
          </w:tcPr>
          <w:p>
            <w:pPr>
              <w:spacing w:after="20"/>
            </w:pPr>
            <w:r>
              <w:rPr>
                <w:color w:val="1C3A36"/>
                <w:sz w:val="12"/>
              </w:rPr>
              <w:t>amort fy23</w:t>
            </w:r>
          </w:p>
        </w:tc>
        <w:tc>
          <w:tcPr>
            <w:tcW w:type="dxa" w:w="1224"/>
          </w:tcPr>
          <w:p>
            <w:pPr>
              <w:spacing w:after="20"/>
              <w:jc w:val="right"/>
            </w:pPr>
            <w:r>
              <w:rPr>
                <w:color w:val="1C3A36"/>
                <w:sz w:val="12"/>
              </w:rPr>
              <w:t>28,181</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amortisation of intangible assets, comparative</w:t>
            </w:r>
          </w:p>
        </w:tc>
      </w:tr>
      <w:tr>
        <w:tc>
          <w:tcPr>
            <w:tcW w:type="dxa" w:w="1872"/>
          </w:tcPr>
          <w:p>
            <w:pPr>
              <w:spacing w:after="20"/>
            </w:pPr>
            <w:r>
              <w:rPr>
                <w:color w:val="1C3A36"/>
                <w:sz w:val="12"/>
              </w:rPr>
              <w:t>amort fy24</w:t>
            </w:r>
          </w:p>
        </w:tc>
        <w:tc>
          <w:tcPr>
            <w:tcW w:type="dxa" w:w="1224"/>
          </w:tcPr>
          <w:p>
            <w:pPr>
              <w:spacing w:after="20"/>
              <w:jc w:val="right"/>
            </w:pPr>
            <w:r>
              <w:rPr>
                <w:color w:val="1C3A36"/>
                <w:sz w:val="12"/>
              </w:rPr>
              <w:t>23,748</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amortisation of intangible assets</w:t>
            </w:r>
          </w:p>
        </w:tc>
      </w:tr>
      <w:tr>
        <w:tc>
          <w:tcPr>
            <w:tcW w:type="dxa" w:w="1872"/>
          </w:tcPr>
          <w:p>
            <w:pPr>
              <w:spacing w:after="20"/>
            </w:pPr>
            <w:r>
              <w:rPr>
                <w:color w:val="1C3A36"/>
                <w:sz w:val="12"/>
              </w:rPr>
              <w:t>amort fy25</w:t>
            </w:r>
          </w:p>
        </w:tc>
        <w:tc>
          <w:tcPr>
            <w:tcW w:type="dxa" w:w="1224"/>
          </w:tcPr>
          <w:p>
            <w:pPr>
              <w:spacing w:after="20"/>
              <w:jc w:val="right"/>
            </w:pPr>
            <w:r>
              <w:rPr>
                <w:color w:val="1C3A36"/>
                <w:sz w:val="12"/>
              </w:rPr>
              <w:t>23,321</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amortisation of intangible assets (note 7)</w:t>
            </w:r>
          </w:p>
        </w:tc>
      </w:tr>
      <w:tr>
        <w:tc>
          <w:tcPr>
            <w:tcW w:type="dxa" w:w="1872"/>
          </w:tcPr>
          <w:p>
            <w:pPr>
              <w:spacing w:after="20"/>
            </w:pPr>
            <w:r>
              <w:rPr>
                <w:color w:val="1C3A36"/>
                <w:sz w:val="12"/>
              </w:rPr>
              <w:t>ap fy23</w:t>
            </w:r>
          </w:p>
        </w:tc>
        <w:tc>
          <w:tcPr>
            <w:tcW w:type="dxa" w:w="1224"/>
          </w:tcPr>
          <w:p>
            <w:pPr>
              <w:spacing w:after="20"/>
              <w:jc w:val="right"/>
            </w:pPr>
            <w:r>
              <w:rPr>
                <w:color w:val="1C3A36"/>
                <w:sz w:val="12"/>
              </w:rPr>
              <w:t>308,333</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trade and other payables, comparative</w:t>
            </w:r>
          </w:p>
        </w:tc>
      </w:tr>
      <w:tr>
        <w:tc>
          <w:tcPr>
            <w:tcW w:type="dxa" w:w="1872"/>
          </w:tcPr>
          <w:p>
            <w:pPr>
              <w:spacing w:after="20"/>
            </w:pPr>
            <w:r>
              <w:rPr>
                <w:color w:val="1C3A36"/>
                <w:sz w:val="12"/>
              </w:rPr>
              <w:t>ap fy24</w:t>
            </w:r>
          </w:p>
        </w:tc>
        <w:tc>
          <w:tcPr>
            <w:tcW w:type="dxa" w:w="1224"/>
          </w:tcPr>
          <w:p>
            <w:pPr>
              <w:spacing w:after="20"/>
              <w:jc w:val="right"/>
            </w:pPr>
            <w:r>
              <w:rPr>
                <w:color w:val="1C3A36"/>
                <w:sz w:val="12"/>
              </w:rPr>
              <w:t>356,660</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trade and other payables</w:t>
            </w:r>
          </w:p>
        </w:tc>
      </w:tr>
      <w:tr>
        <w:tc>
          <w:tcPr>
            <w:tcW w:type="dxa" w:w="1872"/>
          </w:tcPr>
          <w:p>
            <w:pPr>
              <w:spacing w:after="20"/>
            </w:pPr>
            <w:r>
              <w:rPr>
                <w:color w:val="1C3A36"/>
                <w:sz w:val="12"/>
              </w:rPr>
              <w:t>ap fy25</w:t>
            </w:r>
          </w:p>
        </w:tc>
        <w:tc>
          <w:tcPr>
            <w:tcW w:type="dxa" w:w="1224"/>
          </w:tcPr>
          <w:p>
            <w:pPr>
              <w:spacing w:after="20"/>
              <w:jc w:val="right"/>
            </w:pPr>
            <w:r>
              <w:rPr>
                <w:color w:val="1C3A36"/>
                <w:sz w:val="12"/>
              </w:rPr>
              <w:t>378,200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trade and other payables (note 18): trade accounts payable 79,430, accrued expenses 248,325, contract liabilities 20,568, other payables 29,877</w:t>
            </w:r>
          </w:p>
        </w:tc>
      </w:tr>
      <w:tr>
        <w:tc>
          <w:tcPr>
            <w:tcW w:type="dxa" w:w="1872"/>
          </w:tcPr>
          <w:p>
            <w:pPr>
              <w:spacing w:after="20"/>
            </w:pPr>
            <w:r>
              <w:rPr>
                <w:color w:val="1C3A36"/>
                <w:sz w:val="12"/>
              </w:rPr>
              <w:t>ap trade only fy25</w:t>
            </w:r>
          </w:p>
        </w:tc>
        <w:tc>
          <w:tcPr>
            <w:tcW w:type="dxa" w:w="1224"/>
          </w:tcPr>
          <w:p>
            <w:pPr>
              <w:spacing w:after="20"/>
              <w:jc w:val="right"/>
            </w:pPr>
            <w:r>
              <w:rPr>
                <w:color w:val="1C3A36"/>
                <w:sz w:val="12"/>
              </w:rPr>
              <w:t>79,430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note 18, trade accounts payable component only</w:t>
            </w:r>
          </w:p>
        </w:tc>
      </w:tr>
      <w:tr>
        <w:tc>
          <w:tcPr>
            <w:tcW w:type="dxa" w:w="1872"/>
          </w:tcPr>
          <w:p>
            <w:pPr>
              <w:spacing w:after="20"/>
            </w:pPr>
            <w:r>
              <w:rPr>
                <w:color w:val="1C3A36"/>
                <w:sz w:val="12"/>
              </w:rPr>
              <w:t>ar fy23</w:t>
            </w:r>
          </w:p>
        </w:tc>
        <w:tc>
          <w:tcPr>
            <w:tcW w:type="dxa" w:w="1224"/>
          </w:tcPr>
          <w:p>
            <w:pPr>
              <w:spacing w:after="20"/>
              <w:jc w:val="right"/>
            </w:pPr>
            <w:r>
              <w:rPr>
                <w:color w:val="1C3A36"/>
                <w:sz w:val="12"/>
              </w:rPr>
              <w:t>796,682</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trade receivables, comparative</w:t>
            </w:r>
          </w:p>
        </w:tc>
      </w:tr>
      <w:tr>
        <w:tc>
          <w:tcPr>
            <w:tcW w:type="dxa" w:w="1872"/>
          </w:tcPr>
          <w:p>
            <w:pPr>
              <w:spacing w:after="20"/>
            </w:pPr>
            <w:r>
              <w:rPr>
                <w:color w:val="1C3A36"/>
                <w:sz w:val="12"/>
              </w:rPr>
              <w:t>ar fy24</w:t>
            </w:r>
          </w:p>
        </w:tc>
        <w:tc>
          <w:tcPr>
            <w:tcW w:type="dxa" w:w="1224"/>
          </w:tcPr>
          <w:p>
            <w:pPr>
              <w:spacing w:after="20"/>
              <w:jc w:val="right"/>
            </w:pPr>
            <w:r>
              <w:rPr>
                <w:color w:val="1C3A36"/>
                <w:sz w:val="12"/>
              </w:rPr>
              <w:t>858,768</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trade receivables</w:t>
            </w:r>
          </w:p>
        </w:tc>
      </w:tr>
      <w:tr>
        <w:tc>
          <w:tcPr>
            <w:tcW w:type="dxa" w:w="1872"/>
          </w:tcPr>
          <w:p>
            <w:pPr>
              <w:spacing w:after="20"/>
            </w:pPr>
            <w:r>
              <w:rPr>
                <w:color w:val="1C3A36"/>
                <w:sz w:val="12"/>
              </w:rPr>
              <w:t>ar fy25</w:t>
            </w:r>
          </w:p>
        </w:tc>
        <w:tc>
          <w:tcPr>
            <w:tcW w:type="dxa" w:w="1224"/>
          </w:tcPr>
          <w:p>
            <w:pPr>
              <w:spacing w:after="20"/>
              <w:jc w:val="right"/>
            </w:pPr>
            <w:r>
              <w:rPr>
                <w:color w:val="1C3A36"/>
                <w:sz w:val="12"/>
              </w:rPr>
              <w:t>808,237</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trade receivables (note 10a)</w:t>
            </w:r>
          </w:p>
        </w:tc>
      </w:tr>
      <w:tr>
        <w:tc>
          <w:tcPr>
            <w:tcW w:type="dxa" w:w="1872"/>
          </w:tcPr>
          <w:p>
            <w:pPr>
              <w:spacing w:after="20"/>
            </w:pPr>
            <w:r>
              <w:rPr>
                <w:color w:val="1C3A36"/>
                <w:sz w:val="12"/>
              </w:rPr>
              <w:t>asp pe fy25</w:t>
            </w:r>
          </w:p>
        </w:tc>
        <w:tc>
          <w:tcPr>
            <w:tcW w:type="dxa" w:w="1224"/>
          </w:tcPr>
          <w:p>
            <w:pPr>
              <w:spacing w:after="20"/>
              <w:jc w:val="right"/>
            </w:pPr>
            <w:r>
              <w:rPr>
                <w:color w:val="1C3A36"/>
                <w:sz w:val="12"/>
              </w:rPr>
              <w:t>1,046</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average sales price, FY2025, USD/t</w:t>
            </w:r>
          </w:p>
        </w:tc>
      </w:tr>
      <w:tr>
        <w:tc>
          <w:tcPr>
            <w:tcW w:type="dxa" w:w="1872"/>
          </w:tcPr>
          <w:p>
            <w:pPr>
              <w:spacing w:after="20"/>
            </w:pPr>
            <w:r>
              <w:rPr>
                <w:color w:val="1C3A36"/>
                <w:sz w:val="12"/>
              </w:rPr>
              <w:t>asp pp fy25</w:t>
            </w:r>
          </w:p>
        </w:tc>
        <w:tc>
          <w:tcPr>
            <w:tcW w:type="dxa" w:w="1224"/>
          </w:tcPr>
          <w:p>
            <w:pPr>
              <w:spacing w:after="20"/>
              <w:jc w:val="right"/>
            </w:pPr>
            <w:r>
              <w:rPr>
                <w:color w:val="1C3A36"/>
                <w:sz w:val="12"/>
              </w:rPr>
              <w:t>985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average sales price, FY2025, USD/t</w:t>
            </w:r>
          </w:p>
        </w:tc>
      </w:tr>
      <w:tr>
        <w:tc>
          <w:tcPr>
            <w:tcW w:type="dxa" w:w="1872"/>
          </w:tcPr>
          <w:p>
            <w:pPr>
              <w:spacing w:after="20"/>
            </w:pPr>
            <w:r>
              <w:rPr>
                <w:color w:val="1C3A36"/>
                <w:sz w:val="12"/>
              </w:rPr>
              <w:t>b4 ownership</w:t>
            </w:r>
          </w:p>
        </w:tc>
        <w:tc>
          <w:tcPr>
            <w:tcW w:type="dxa" w:w="1224"/>
          </w:tcPr>
          <w:p>
            <w:pPr>
              <w:spacing w:after="20"/>
              <w:jc w:val="right"/>
            </w:pPr>
            <w:r>
              <w:rPr>
                <w:color w:val="1C3A36"/>
                <w:sz w:val="12"/>
              </w:rPr>
              <w:t>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and Borouge plc Q2 2026 Management Discussion &amp; Analysis — 'Under the Asset Usage Agreement signed in March 2026, Borouge operates the Borouge 4 assets on behalf of the project's owners, ADNOC and OMV, and will market all Borouge 4 production volumes in return for an at-cost asset utilisation fee.' Borouge plc therefore owns none of the Borouge 4 capacity and earns no production margin on it</w:t>
            </w:r>
          </w:p>
        </w:tc>
      </w:tr>
      <w:tr>
        <w:tc>
          <w:tcPr>
            <w:tcW w:type="dxa" w:w="1872"/>
          </w:tcPr>
          <w:p>
            <w:pPr>
              <w:spacing w:after="20"/>
            </w:pPr>
            <w:r>
              <w:rPr>
                <w:color w:val="1C3A36"/>
                <w:sz w:val="12"/>
              </w:rPr>
              <w:t>bench pe fy23</w:t>
            </w:r>
          </w:p>
        </w:tc>
        <w:tc>
          <w:tcPr>
            <w:tcW w:type="dxa" w:w="1224"/>
          </w:tcPr>
          <w:p>
            <w:pPr>
              <w:spacing w:after="20"/>
              <w:jc w:val="right"/>
            </w:pPr>
            <w:r>
              <w:rPr>
                <w:color w:val="1C3A36"/>
                <w:sz w:val="12"/>
              </w:rPr>
              <w:t>914</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polyethylene average benchmark, FY2023, USD/t</w:t>
            </w:r>
          </w:p>
        </w:tc>
      </w:tr>
      <w:tr>
        <w:tc>
          <w:tcPr>
            <w:tcW w:type="dxa" w:w="1872"/>
          </w:tcPr>
          <w:p>
            <w:pPr>
              <w:spacing w:after="20"/>
            </w:pPr>
            <w:r>
              <w:rPr>
                <w:color w:val="1C3A36"/>
                <w:sz w:val="12"/>
              </w:rPr>
              <w:t>bench pe fy24</w:t>
            </w:r>
          </w:p>
        </w:tc>
        <w:tc>
          <w:tcPr>
            <w:tcW w:type="dxa" w:w="1224"/>
          </w:tcPr>
          <w:p>
            <w:pPr>
              <w:spacing w:after="20"/>
              <w:jc w:val="right"/>
            </w:pPr>
            <w:r>
              <w:rPr>
                <w:color w:val="1C3A36"/>
                <w:sz w:val="12"/>
              </w:rPr>
              <w:t>898</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polyethylene average benchmark, FY2024, USD/t</w:t>
            </w:r>
          </w:p>
        </w:tc>
      </w:tr>
      <w:tr>
        <w:tc>
          <w:tcPr>
            <w:tcW w:type="dxa" w:w="1872"/>
          </w:tcPr>
          <w:p>
            <w:pPr>
              <w:spacing w:after="20"/>
            </w:pPr>
            <w:r>
              <w:rPr>
                <w:color w:val="1C3A36"/>
                <w:sz w:val="12"/>
              </w:rPr>
              <w:t>bench pe fy25</w:t>
            </w:r>
          </w:p>
        </w:tc>
        <w:tc>
          <w:tcPr>
            <w:tcW w:type="dxa" w:w="1224"/>
          </w:tcPr>
          <w:p>
            <w:pPr>
              <w:spacing w:after="20"/>
              <w:jc w:val="right"/>
            </w:pPr>
            <w:r>
              <w:rPr>
                <w:color w:val="1C3A36"/>
                <w:sz w:val="12"/>
              </w:rPr>
              <w:t>822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average benchmark, FY2025, USD/t</w:t>
            </w:r>
          </w:p>
        </w:tc>
      </w:tr>
      <w:tr>
        <w:tc>
          <w:tcPr>
            <w:tcW w:type="dxa" w:w="1872"/>
          </w:tcPr>
          <w:p>
            <w:pPr>
              <w:spacing w:after="20"/>
            </w:pPr>
            <w:r>
              <w:rPr>
                <w:color w:val="1C3A36"/>
                <w:sz w:val="12"/>
              </w:rPr>
              <w:t>bench pe h126</w:t>
            </w:r>
          </w:p>
        </w:tc>
        <w:tc>
          <w:tcPr>
            <w:tcW w:type="dxa" w:w="1224"/>
          </w:tcPr>
          <w:p>
            <w:pPr>
              <w:spacing w:after="20"/>
              <w:jc w:val="right"/>
            </w:pPr>
            <w:r>
              <w:rPr>
                <w:color w:val="1C3A36"/>
                <w:sz w:val="12"/>
              </w:rPr>
              <w:t>970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polyethylene average benchmark, H1 2026, USD/t</w:t>
            </w:r>
          </w:p>
        </w:tc>
      </w:tr>
      <w:tr>
        <w:tc>
          <w:tcPr>
            <w:tcW w:type="dxa" w:w="1872"/>
          </w:tcPr>
          <w:p>
            <w:pPr>
              <w:spacing w:after="20"/>
            </w:pPr>
            <w:r>
              <w:rPr>
                <w:color w:val="1C3A36"/>
                <w:sz w:val="12"/>
              </w:rPr>
              <w:t>bench pe q226</w:t>
            </w:r>
          </w:p>
        </w:tc>
        <w:tc>
          <w:tcPr>
            <w:tcW w:type="dxa" w:w="1224"/>
          </w:tcPr>
          <w:p>
            <w:pPr>
              <w:spacing w:after="20"/>
              <w:jc w:val="right"/>
            </w:pPr>
            <w:r>
              <w:rPr>
                <w:color w:val="1C3A36"/>
                <w:sz w:val="12"/>
              </w:rPr>
              <w:t>1,144</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polyethylene average benchmark, Q2 2026, USD/t, up 38% year on year during the Strait of Hormuz closure</w:t>
            </w:r>
          </w:p>
        </w:tc>
      </w:tr>
      <w:tr>
        <w:tc>
          <w:tcPr>
            <w:tcW w:type="dxa" w:w="1872"/>
          </w:tcPr>
          <w:p>
            <w:pPr>
              <w:spacing w:after="20"/>
            </w:pPr>
            <w:r>
              <w:rPr>
                <w:color w:val="1C3A36"/>
                <w:sz w:val="12"/>
              </w:rPr>
              <w:t>bench pp fy23</w:t>
            </w:r>
          </w:p>
        </w:tc>
        <w:tc>
          <w:tcPr>
            <w:tcW w:type="dxa" w:w="1224"/>
          </w:tcPr>
          <w:p>
            <w:pPr>
              <w:spacing w:after="20"/>
              <w:jc w:val="right"/>
            </w:pPr>
            <w:r>
              <w:rPr>
                <w:color w:val="1C3A36"/>
                <w:sz w:val="12"/>
              </w:rPr>
              <w:t>891</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polypropylene average benchmark, FY2023, USD/t</w:t>
            </w:r>
          </w:p>
        </w:tc>
      </w:tr>
      <w:tr>
        <w:tc>
          <w:tcPr>
            <w:tcW w:type="dxa" w:w="1872"/>
          </w:tcPr>
          <w:p>
            <w:pPr>
              <w:spacing w:after="20"/>
            </w:pPr>
            <w:r>
              <w:rPr>
                <w:color w:val="1C3A36"/>
                <w:sz w:val="12"/>
              </w:rPr>
              <w:t>bench pp fy24</w:t>
            </w:r>
          </w:p>
        </w:tc>
        <w:tc>
          <w:tcPr>
            <w:tcW w:type="dxa" w:w="1224"/>
          </w:tcPr>
          <w:p>
            <w:pPr>
              <w:spacing w:after="20"/>
              <w:jc w:val="right"/>
            </w:pPr>
            <w:r>
              <w:rPr>
                <w:color w:val="1C3A36"/>
                <w:sz w:val="12"/>
              </w:rPr>
              <w:t>897</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polypropylene average benchmark, FY2024, USD/t</w:t>
            </w:r>
          </w:p>
        </w:tc>
      </w:tr>
      <w:tr>
        <w:tc>
          <w:tcPr>
            <w:tcW w:type="dxa" w:w="1872"/>
          </w:tcPr>
          <w:p>
            <w:pPr>
              <w:spacing w:after="20"/>
            </w:pPr>
            <w:r>
              <w:rPr>
                <w:color w:val="1C3A36"/>
                <w:sz w:val="12"/>
              </w:rPr>
              <w:t>bench pp fy25</w:t>
            </w:r>
          </w:p>
        </w:tc>
        <w:tc>
          <w:tcPr>
            <w:tcW w:type="dxa" w:w="1224"/>
          </w:tcPr>
          <w:p>
            <w:pPr>
              <w:spacing w:after="20"/>
              <w:jc w:val="right"/>
            </w:pPr>
            <w:r>
              <w:rPr>
                <w:color w:val="1C3A36"/>
                <w:sz w:val="12"/>
              </w:rPr>
              <w:t>851</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average benchmark, FY2025, USD/t</w:t>
            </w:r>
          </w:p>
        </w:tc>
      </w:tr>
      <w:tr>
        <w:tc>
          <w:tcPr>
            <w:tcW w:type="dxa" w:w="1872"/>
          </w:tcPr>
          <w:p>
            <w:pPr>
              <w:spacing w:after="20"/>
            </w:pPr>
            <w:r>
              <w:rPr>
                <w:color w:val="1C3A36"/>
                <w:sz w:val="12"/>
              </w:rPr>
              <w:t>bench pp h126</w:t>
            </w:r>
          </w:p>
        </w:tc>
        <w:tc>
          <w:tcPr>
            <w:tcW w:type="dxa" w:w="1224"/>
          </w:tcPr>
          <w:p>
            <w:pPr>
              <w:spacing w:after="20"/>
              <w:jc w:val="right"/>
            </w:pPr>
            <w:r>
              <w:rPr>
                <w:color w:val="1C3A36"/>
                <w:sz w:val="12"/>
              </w:rPr>
              <w:t>1,018</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polypropylene average benchmark, H1 2026, USD/t</w:t>
            </w:r>
          </w:p>
        </w:tc>
      </w:tr>
      <w:tr>
        <w:tc>
          <w:tcPr>
            <w:tcW w:type="dxa" w:w="1872"/>
          </w:tcPr>
          <w:p>
            <w:pPr>
              <w:spacing w:after="20"/>
            </w:pPr>
            <w:r>
              <w:rPr>
                <w:color w:val="1C3A36"/>
                <w:sz w:val="12"/>
              </w:rPr>
              <w:t>bench pp q226</w:t>
            </w:r>
          </w:p>
        </w:tc>
        <w:tc>
          <w:tcPr>
            <w:tcW w:type="dxa" w:w="1224"/>
          </w:tcPr>
          <w:p>
            <w:pPr>
              <w:spacing w:after="20"/>
              <w:jc w:val="right"/>
            </w:pPr>
            <w:r>
              <w:rPr>
                <w:color w:val="1C3A36"/>
                <w:sz w:val="12"/>
              </w:rPr>
              <w:t>1,202</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polypropylene average benchmark, Q2 2026, USD/t</w:t>
            </w:r>
          </w:p>
        </w:tc>
      </w:tr>
      <w:tr>
        <w:tc>
          <w:tcPr>
            <w:tcW w:type="dxa" w:w="1872"/>
          </w:tcPr>
          <w:p>
            <w:pPr>
              <w:spacing w:after="20"/>
            </w:pPr>
            <w:r>
              <w:rPr>
                <w:color w:val="1C3A36"/>
                <w:sz w:val="12"/>
              </w:rPr>
              <w:t>cap nameplate</w:t>
            </w:r>
          </w:p>
        </w:tc>
        <w:tc>
          <w:tcPr>
            <w:tcW w:type="dxa" w:w="1224"/>
          </w:tcPr>
          <w:p>
            <w:pPr>
              <w:spacing w:after="20"/>
              <w:jc w:val="right"/>
            </w:pPr>
            <w:r>
              <w:rPr>
                <w:color w:val="1C3A36"/>
                <w:sz w:val="12"/>
              </w:rPr>
              <w:t>5,000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footnote to the management guidance table: 'Ruwais plant nameplate capacity: 5 mtpa'</w:t>
            </w:r>
          </w:p>
        </w:tc>
      </w:tr>
      <w:tr>
        <w:tc>
          <w:tcPr>
            <w:tcW w:type="dxa" w:w="1872"/>
          </w:tcPr>
          <w:p>
            <w:pPr>
              <w:spacing w:after="20"/>
            </w:pPr>
            <w:r>
              <w:rPr>
                <w:color w:val="1C3A36"/>
                <w:sz w:val="12"/>
              </w:rPr>
              <w:t>cap pe fy25</w:t>
            </w:r>
          </w:p>
        </w:tc>
        <w:tc>
          <w:tcPr>
            <w:tcW w:type="dxa" w:w="1224"/>
          </w:tcPr>
          <w:p>
            <w:pPr>
              <w:spacing w:after="20"/>
              <w:jc w:val="right"/>
            </w:pPr>
            <w:r>
              <w:rPr>
                <w:color w:val="1C3A36"/>
                <w:sz w:val="12"/>
              </w:rPr>
              <w:t>2,750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production capacity, FY2025, kt</w:t>
            </w:r>
          </w:p>
        </w:tc>
      </w:tr>
      <w:tr>
        <w:tc>
          <w:tcPr>
            <w:tcW w:type="dxa" w:w="1872"/>
          </w:tcPr>
          <w:p>
            <w:pPr>
              <w:spacing w:after="20"/>
            </w:pPr>
            <w:r>
              <w:rPr>
                <w:color w:val="1C3A36"/>
                <w:sz w:val="12"/>
              </w:rPr>
              <w:t>cap pp fy25</w:t>
            </w:r>
          </w:p>
        </w:tc>
        <w:tc>
          <w:tcPr>
            <w:tcW w:type="dxa" w:w="1224"/>
          </w:tcPr>
          <w:p>
            <w:pPr>
              <w:spacing w:after="20"/>
              <w:jc w:val="right"/>
            </w:pPr>
            <w:r>
              <w:rPr>
                <w:color w:val="1C3A36"/>
                <w:sz w:val="12"/>
              </w:rPr>
              <w:t>2,230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production capacity, FY2025, kt</w:t>
            </w:r>
          </w:p>
        </w:tc>
      </w:tr>
      <w:tr>
        <w:tc>
          <w:tcPr>
            <w:tcW w:type="dxa" w:w="1872"/>
          </w:tcPr>
          <w:p>
            <w:pPr>
              <w:spacing w:after="20"/>
            </w:pPr>
            <w:r>
              <w:rPr>
                <w:color w:val="1C3A36"/>
                <w:sz w:val="12"/>
              </w:rPr>
              <w:t>capex guide 2026</w:t>
            </w:r>
          </w:p>
        </w:tc>
        <w:tc>
          <w:tcPr>
            <w:tcW w:type="dxa" w:w="1224"/>
          </w:tcPr>
          <w:p>
            <w:pPr>
              <w:spacing w:after="20"/>
              <w:jc w:val="right"/>
            </w:pPr>
            <w:r>
              <w:rPr>
                <w:color w:val="1C3A36"/>
                <w:sz w:val="12"/>
              </w:rPr>
              <w:t>300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'The repairs are expected to have only a limited impact on 2026 maintenance capex, which is guided to be below USD 300 million'</w:t>
            </w:r>
          </w:p>
        </w:tc>
      </w:tr>
      <w:tr>
        <w:tc>
          <w:tcPr>
            <w:tcW w:type="dxa" w:w="1872"/>
          </w:tcPr>
          <w:p>
            <w:pPr>
              <w:spacing w:after="20"/>
            </w:pPr>
            <w:r>
              <w:rPr>
                <w:color w:val="1C3A36"/>
                <w:sz w:val="12"/>
              </w:rPr>
              <w:t>capex h126</w:t>
            </w:r>
          </w:p>
        </w:tc>
        <w:tc>
          <w:tcPr>
            <w:tcW w:type="dxa" w:w="1224"/>
          </w:tcPr>
          <w:p>
            <w:pPr>
              <w:spacing w:after="20"/>
              <w:jc w:val="right"/>
            </w:pPr>
            <w:r>
              <w:rPr>
                <w:color w:val="1C3A36"/>
                <w:sz w:val="12"/>
              </w:rPr>
              <w:t>163</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capital expenditure, H1 2026, USD million</w:t>
            </w:r>
          </w:p>
        </w:tc>
      </w:tr>
      <w:tr>
        <w:tc>
          <w:tcPr>
            <w:tcW w:type="dxa" w:w="1872"/>
          </w:tcPr>
          <w:p>
            <w:pPr>
              <w:spacing w:after="20"/>
            </w:pPr>
            <w:r>
              <w:rPr>
                <w:color w:val="1C3A36"/>
                <w:sz w:val="12"/>
              </w:rPr>
              <w:t>capex intang fy23</w:t>
            </w:r>
          </w:p>
        </w:tc>
        <w:tc>
          <w:tcPr>
            <w:tcW w:type="dxa" w:w="1224"/>
          </w:tcPr>
          <w:p>
            <w:pPr>
              <w:spacing w:after="20"/>
              <w:jc w:val="right"/>
            </w:pPr>
            <w:r>
              <w:rPr>
                <w:color w:val="1C3A36"/>
                <w:sz w:val="12"/>
              </w:rPr>
              <w:t>7,276</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payments for purchase of intangible assets, comparative</w:t>
            </w:r>
          </w:p>
        </w:tc>
      </w:tr>
      <w:tr>
        <w:tc>
          <w:tcPr>
            <w:tcW w:type="dxa" w:w="1872"/>
          </w:tcPr>
          <w:p>
            <w:pPr>
              <w:spacing w:after="20"/>
            </w:pPr>
            <w:r>
              <w:rPr>
                <w:color w:val="1C3A36"/>
                <w:sz w:val="12"/>
              </w:rPr>
              <w:t>capex intang fy24</w:t>
            </w:r>
          </w:p>
        </w:tc>
        <w:tc>
          <w:tcPr>
            <w:tcW w:type="dxa" w:w="1224"/>
          </w:tcPr>
          <w:p>
            <w:pPr>
              <w:spacing w:after="20"/>
              <w:jc w:val="right"/>
            </w:pPr>
            <w:r>
              <w:rPr>
                <w:color w:val="1C3A36"/>
                <w:sz w:val="12"/>
              </w:rPr>
              <w:t>7,259</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payments for purchase of intangible assets</w:t>
            </w:r>
          </w:p>
        </w:tc>
      </w:tr>
      <w:tr>
        <w:tc>
          <w:tcPr>
            <w:tcW w:type="dxa" w:w="1872"/>
          </w:tcPr>
          <w:p>
            <w:pPr>
              <w:spacing w:after="20"/>
            </w:pPr>
            <w:r>
              <w:rPr>
                <w:color w:val="1C3A36"/>
                <w:sz w:val="12"/>
              </w:rPr>
              <w:t>capex intang fy25</w:t>
            </w:r>
          </w:p>
        </w:tc>
        <w:tc>
          <w:tcPr>
            <w:tcW w:type="dxa" w:w="1224"/>
          </w:tcPr>
          <w:p>
            <w:pPr>
              <w:spacing w:after="20"/>
              <w:jc w:val="right"/>
            </w:pPr>
            <w:r>
              <w:rPr>
                <w:color w:val="1C3A36"/>
                <w:sz w:val="12"/>
              </w:rPr>
              <w:t>32,546</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payments for purchase of intangible assets</w:t>
            </w:r>
          </w:p>
        </w:tc>
      </w:tr>
      <w:tr>
        <w:tc>
          <w:tcPr>
            <w:tcW w:type="dxa" w:w="1872"/>
          </w:tcPr>
          <w:p>
            <w:pPr>
              <w:spacing w:after="20"/>
            </w:pPr>
            <w:r>
              <w:rPr>
                <w:color w:val="1C3A36"/>
                <w:sz w:val="12"/>
              </w:rPr>
              <w:t>capex ppe fy23</w:t>
            </w:r>
          </w:p>
        </w:tc>
        <w:tc>
          <w:tcPr>
            <w:tcW w:type="dxa" w:w="1224"/>
          </w:tcPr>
          <w:p>
            <w:pPr>
              <w:spacing w:after="20"/>
              <w:jc w:val="right"/>
            </w:pPr>
            <w:r>
              <w:rPr>
                <w:color w:val="1C3A36"/>
                <w:sz w:val="12"/>
              </w:rPr>
              <w:t>191,504</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payments for purchase of property, plant and equipment, comparative</w:t>
            </w:r>
          </w:p>
        </w:tc>
      </w:tr>
      <w:tr>
        <w:tc>
          <w:tcPr>
            <w:tcW w:type="dxa" w:w="1872"/>
          </w:tcPr>
          <w:p>
            <w:pPr>
              <w:spacing w:after="20"/>
            </w:pPr>
            <w:r>
              <w:rPr>
                <w:color w:val="1C3A36"/>
                <w:sz w:val="12"/>
              </w:rPr>
              <w:t>capex ppe fy24</w:t>
            </w:r>
          </w:p>
        </w:tc>
        <w:tc>
          <w:tcPr>
            <w:tcW w:type="dxa" w:w="1224"/>
          </w:tcPr>
          <w:p>
            <w:pPr>
              <w:spacing w:after="20"/>
              <w:jc w:val="right"/>
            </w:pPr>
            <w:r>
              <w:rPr>
                <w:color w:val="1C3A36"/>
                <w:sz w:val="12"/>
              </w:rPr>
              <w:t>160,124</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payments for purchase of property, plant and equipment</w:t>
            </w:r>
          </w:p>
        </w:tc>
      </w:tr>
      <w:tr>
        <w:tc>
          <w:tcPr>
            <w:tcW w:type="dxa" w:w="1872"/>
          </w:tcPr>
          <w:p>
            <w:pPr>
              <w:spacing w:after="20"/>
            </w:pPr>
            <w:r>
              <w:rPr>
                <w:color w:val="1C3A36"/>
                <w:sz w:val="12"/>
              </w:rPr>
              <w:t>capex ppe fy25</w:t>
            </w:r>
          </w:p>
        </w:tc>
        <w:tc>
          <w:tcPr>
            <w:tcW w:type="dxa" w:w="1224"/>
          </w:tcPr>
          <w:p>
            <w:pPr>
              <w:spacing w:after="20"/>
              <w:jc w:val="right"/>
            </w:pPr>
            <w:r>
              <w:rPr>
                <w:color w:val="1C3A36"/>
                <w:sz w:val="12"/>
              </w:rPr>
              <w:t>275,687</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payments for purchase of property, plant and equipment (note 6)</w:t>
            </w:r>
          </w:p>
        </w:tc>
      </w:tr>
      <w:tr>
        <w:tc>
          <w:tcPr>
            <w:tcW w:type="dxa" w:w="1872"/>
          </w:tcPr>
          <w:p>
            <w:pPr>
              <w:spacing w:after="20"/>
            </w:pPr>
            <w:r>
              <w:rPr>
                <w:color w:val="1C3A36"/>
                <w:sz w:val="12"/>
              </w:rPr>
              <w:t>cash fy23</w:t>
            </w:r>
          </w:p>
        </w:tc>
        <w:tc>
          <w:tcPr>
            <w:tcW w:type="dxa" w:w="1224"/>
          </w:tcPr>
          <w:p>
            <w:pPr>
              <w:spacing w:after="20"/>
              <w:jc w:val="right"/>
            </w:pPr>
            <w:r>
              <w:rPr>
                <w:color w:val="1C3A36"/>
                <w:sz w:val="12"/>
              </w:rPr>
              <w:t>353,921</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cash and cash equivalents, comparative</w:t>
            </w:r>
          </w:p>
        </w:tc>
      </w:tr>
      <w:tr>
        <w:tc>
          <w:tcPr>
            <w:tcW w:type="dxa" w:w="1872"/>
          </w:tcPr>
          <w:p>
            <w:pPr>
              <w:spacing w:after="20"/>
            </w:pPr>
            <w:r>
              <w:rPr>
                <w:color w:val="1C3A36"/>
                <w:sz w:val="12"/>
              </w:rPr>
              <w:t>cash fy24</w:t>
            </w:r>
          </w:p>
        </w:tc>
        <w:tc>
          <w:tcPr>
            <w:tcW w:type="dxa" w:w="1224"/>
          </w:tcPr>
          <w:p>
            <w:pPr>
              <w:spacing w:after="20"/>
              <w:jc w:val="right"/>
            </w:pPr>
            <w:r>
              <w:rPr>
                <w:color w:val="1C3A36"/>
                <w:sz w:val="12"/>
              </w:rPr>
              <w:t>418,506</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cash and cash equivalents</w:t>
            </w:r>
          </w:p>
        </w:tc>
      </w:tr>
      <w:tr>
        <w:tc>
          <w:tcPr>
            <w:tcW w:type="dxa" w:w="1872"/>
          </w:tcPr>
          <w:p>
            <w:pPr>
              <w:spacing w:after="20"/>
            </w:pPr>
            <w:r>
              <w:rPr>
                <w:color w:val="1C3A36"/>
                <w:sz w:val="12"/>
              </w:rPr>
              <w:t>cash fy25</w:t>
            </w:r>
          </w:p>
        </w:tc>
        <w:tc>
          <w:tcPr>
            <w:tcW w:type="dxa" w:w="1224"/>
          </w:tcPr>
          <w:p>
            <w:pPr>
              <w:spacing w:after="20"/>
              <w:jc w:val="right"/>
            </w:pPr>
            <w:r>
              <w:rPr>
                <w:color w:val="1C3A36"/>
                <w:sz w:val="12"/>
              </w:rPr>
              <w:t>426,901</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cash and cash equivalents (note 11)</w:t>
            </w:r>
          </w:p>
        </w:tc>
      </w:tr>
      <w:tr>
        <w:tc>
          <w:tcPr>
            <w:tcW w:type="dxa" w:w="1872"/>
          </w:tcPr>
          <w:p>
            <w:pPr>
              <w:spacing w:after="20"/>
            </w:pPr>
            <w:r>
              <w:rPr>
                <w:color w:val="1C3A36"/>
                <w:sz w:val="12"/>
              </w:rPr>
              <w:t>cfo fy23</w:t>
            </w:r>
          </w:p>
        </w:tc>
        <w:tc>
          <w:tcPr>
            <w:tcW w:type="dxa" w:w="1224"/>
          </w:tcPr>
          <w:p>
            <w:pPr>
              <w:spacing w:after="20"/>
              <w:jc w:val="right"/>
            </w:pPr>
            <w:r>
              <w:rPr>
                <w:color w:val="1C3A36"/>
                <w:sz w:val="12"/>
              </w:rPr>
              <w:t>1,768,720</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net cash generated from operating activities, comparative</w:t>
            </w:r>
          </w:p>
        </w:tc>
      </w:tr>
      <w:tr>
        <w:tc>
          <w:tcPr>
            <w:tcW w:type="dxa" w:w="1872"/>
          </w:tcPr>
          <w:p>
            <w:pPr>
              <w:spacing w:after="20"/>
            </w:pPr>
            <w:r>
              <w:rPr>
                <w:color w:val="1C3A36"/>
                <w:sz w:val="12"/>
              </w:rPr>
              <w:t>cfo fy24</w:t>
            </w:r>
          </w:p>
        </w:tc>
        <w:tc>
          <w:tcPr>
            <w:tcW w:type="dxa" w:w="1224"/>
          </w:tcPr>
          <w:p>
            <w:pPr>
              <w:spacing w:after="20"/>
              <w:jc w:val="right"/>
            </w:pPr>
            <w:r>
              <w:rPr>
                <w:color w:val="1C3A36"/>
                <w:sz w:val="12"/>
              </w:rPr>
              <w:t>1,913,152</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net cash generated from operating activities</w:t>
            </w:r>
          </w:p>
        </w:tc>
      </w:tr>
      <w:tr>
        <w:tc>
          <w:tcPr>
            <w:tcW w:type="dxa" w:w="1872"/>
          </w:tcPr>
          <w:p>
            <w:pPr>
              <w:spacing w:after="20"/>
            </w:pPr>
            <w:r>
              <w:rPr>
                <w:color w:val="1C3A36"/>
                <w:sz w:val="12"/>
              </w:rPr>
              <w:t>cfo fy25</w:t>
            </w:r>
          </w:p>
        </w:tc>
        <w:tc>
          <w:tcPr>
            <w:tcW w:type="dxa" w:w="1224"/>
          </w:tcPr>
          <w:p>
            <w:pPr>
              <w:spacing w:after="20"/>
              <w:jc w:val="right"/>
            </w:pPr>
            <w:r>
              <w:rPr>
                <w:color w:val="1C3A36"/>
                <w:sz w:val="12"/>
              </w:rPr>
              <w:t>1,920,976</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net cash generated from operating activities</w:t>
            </w:r>
          </w:p>
        </w:tc>
      </w:tr>
      <w:tr>
        <w:tc>
          <w:tcPr>
            <w:tcW w:type="dxa" w:w="1872"/>
          </w:tcPr>
          <w:p>
            <w:pPr>
              <w:spacing w:after="20"/>
            </w:pPr>
            <w:r>
              <w:rPr>
                <w:color w:val="1C3A36"/>
                <w:sz w:val="12"/>
              </w:rPr>
              <w:t>cogs fy23</w:t>
            </w:r>
          </w:p>
        </w:tc>
        <w:tc>
          <w:tcPr>
            <w:tcW w:type="dxa" w:w="1224"/>
          </w:tcPr>
          <w:p>
            <w:pPr>
              <w:spacing w:after="20"/>
              <w:jc w:val="right"/>
            </w:pPr>
            <w:r>
              <w:rPr>
                <w:color w:val="1C3A36"/>
                <w:sz w:val="12"/>
              </w:rPr>
              <w:t>3,627,383</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cost of sales</w:t>
            </w:r>
          </w:p>
        </w:tc>
      </w:tr>
      <w:tr>
        <w:tc>
          <w:tcPr>
            <w:tcW w:type="dxa" w:w="1872"/>
          </w:tcPr>
          <w:p>
            <w:pPr>
              <w:spacing w:after="20"/>
            </w:pPr>
            <w:r>
              <w:rPr>
                <w:color w:val="1C3A36"/>
                <w:sz w:val="12"/>
              </w:rPr>
              <w:t>cogs fy24</w:t>
            </w:r>
          </w:p>
        </w:tc>
        <w:tc>
          <w:tcPr>
            <w:tcW w:type="dxa" w:w="1224"/>
          </w:tcPr>
          <w:p>
            <w:pPr>
              <w:spacing w:after="20"/>
              <w:jc w:val="right"/>
            </w:pPr>
            <w:r>
              <w:rPr>
                <w:color w:val="1C3A36"/>
                <w:sz w:val="12"/>
              </w:rPr>
              <w:t>3,490,989</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cost of sales</w:t>
            </w:r>
          </w:p>
        </w:tc>
      </w:tr>
      <w:tr>
        <w:tc>
          <w:tcPr>
            <w:tcW w:type="dxa" w:w="1872"/>
          </w:tcPr>
          <w:p>
            <w:pPr>
              <w:spacing w:after="20"/>
            </w:pPr>
            <w:r>
              <w:rPr>
                <w:color w:val="1C3A36"/>
                <w:sz w:val="12"/>
              </w:rPr>
              <w:t>cogs fy25</w:t>
            </w:r>
          </w:p>
        </w:tc>
        <w:tc>
          <w:tcPr>
            <w:tcW w:type="dxa" w:w="1224"/>
          </w:tcPr>
          <w:p>
            <w:pPr>
              <w:spacing w:after="20"/>
              <w:jc w:val="right"/>
            </w:pPr>
            <w:r>
              <w:rPr>
                <w:color w:val="1C3A36"/>
                <w:sz w:val="12"/>
              </w:rPr>
              <w:t>3,565,985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cost of sales (note 20)</w:t>
            </w:r>
          </w:p>
        </w:tc>
      </w:tr>
      <w:tr>
        <w:tc>
          <w:tcPr>
            <w:tcW w:type="dxa" w:w="1872"/>
          </w:tcPr>
          <w:p>
            <w:pPr>
              <w:spacing w:after="20"/>
            </w:pPr>
            <w:r>
              <w:rPr>
                <w:color w:val="1C3A36"/>
                <w:sz w:val="12"/>
              </w:rPr>
              <w:t>cogs h126</w:t>
            </w:r>
          </w:p>
        </w:tc>
        <w:tc>
          <w:tcPr>
            <w:tcW w:type="dxa" w:w="1224"/>
          </w:tcPr>
          <w:p>
            <w:pPr>
              <w:spacing w:after="20"/>
              <w:jc w:val="right"/>
            </w:pPr>
            <w:r>
              <w:rPr>
                <w:color w:val="1C3A36"/>
                <w:sz w:val="12"/>
              </w:rPr>
              <w:t>1,631,518</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cost of sales, six months</w:t>
            </w:r>
          </w:p>
        </w:tc>
      </w:tr>
      <w:tr>
        <w:tc>
          <w:tcPr>
            <w:tcW w:type="dxa" w:w="1872"/>
          </w:tcPr>
          <w:p>
            <w:pPr>
              <w:spacing w:after="20"/>
            </w:pPr>
            <w:r>
              <w:rPr>
                <w:color w:val="1C3A36"/>
                <w:sz w:val="12"/>
              </w:rPr>
              <w:t>cos exda fy23</w:t>
            </w:r>
          </w:p>
        </w:tc>
        <w:tc>
          <w:tcPr>
            <w:tcW w:type="dxa" w:w="1224"/>
          </w:tcPr>
          <w:p>
            <w:pPr>
              <w:spacing w:after="20"/>
              <w:jc w:val="right"/>
            </w:pPr>
            <w:r>
              <w:rPr>
                <w:color w:val="1C3A36"/>
                <w:sz w:val="12"/>
              </w:rPr>
              <w:t>3,062</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2023 Management Discussion &amp; Analysis — cost of sales excluding depreciation and amortisation, FY2023, USD million</w:t>
            </w:r>
          </w:p>
        </w:tc>
      </w:tr>
      <w:tr>
        <w:tc>
          <w:tcPr>
            <w:tcW w:type="dxa" w:w="1872"/>
          </w:tcPr>
          <w:p>
            <w:pPr>
              <w:spacing w:after="20"/>
            </w:pPr>
            <w:r>
              <w:rPr>
                <w:color w:val="1C3A36"/>
                <w:sz w:val="12"/>
              </w:rPr>
              <w:t>cos exda fy24</w:t>
            </w:r>
          </w:p>
        </w:tc>
        <w:tc>
          <w:tcPr>
            <w:tcW w:type="dxa" w:w="1224"/>
          </w:tcPr>
          <w:p>
            <w:pPr>
              <w:spacing w:after="20"/>
              <w:jc w:val="right"/>
            </w:pPr>
            <w:r>
              <w:rPr>
                <w:color w:val="1C3A36"/>
                <w:sz w:val="12"/>
              </w:rPr>
              <w:t>2,947</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cost of sales excluding D&amp;A, FY2024 comparative, USD million</w:t>
            </w:r>
          </w:p>
        </w:tc>
      </w:tr>
      <w:tr>
        <w:tc>
          <w:tcPr>
            <w:tcW w:type="dxa" w:w="1872"/>
          </w:tcPr>
          <w:p>
            <w:pPr>
              <w:spacing w:after="20"/>
            </w:pPr>
            <w:r>
              <w:rPr>
                <w:color w:val="1C3A36"/>
                <w:sz w:val="12"/>
              </w:rPr>
              <w:t>cos exda fy25</w:t>
            </w:r>
          </w:p>
        </w:tc>
        <w:tc>
          <w:tcPr>
            <w:tcW w:type="dxa" w:w="1224"/>
          </w:tcPr>
          <w:p>
            <w:pPr>
              <w:spacing w:after="20"/>
              <w:jc w:val="right"/>
            </w:pPr>
            <w:r>
              <w:rPr>
                <w:color w:val="1C3A36"/>
                <w:sz w:val="12"/>
              </w:rPr>
              <w:t>3,099</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cost of sales excluding D&amp;A, FY2025, USD million</w:t>
            </w:r>
          </w:p>
        </w:tc>
      </w:tr>
      <w:tr>
        <w:tc>
          <w:tcPr>
            <w:tcW w:type="dxa" w:w="1872"/>
          </w:tcPr>
          <w:p>
            <w:pPr>
              <w:spacing w:after="20"/>
            </w:pPr>
            <w:r>
              <w:rPr>
                <w:color w:val="1C3A36"/>
                <w:sz w:val="12"/>
              </w:rPr>
              <w:t>debt currency</w:t>
            </w:r>
          </w:p>
        </w:tc>
        <w:tc>
          <w:tcPr>
            <w:tcW w:type="dxa" w:w="1224"/>
          </w:tcPr>
          <w:p>
            <w:pPr>
              <w:spacing w:after="20"/>
              <w:jc w:val="right"/>
            </w:pPr>
            <w:r>
              <w:rPr>
                <w:color w:val="1C3A36"/>
                <w:sz w:val="12"/>
              </w:rPr>
              <w:t>USD</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audited consolidated financial statements for the year ended 31 December 2025 (statutory), Ernst &amp; Young note 17 and Borouge plc condensed consolidated interim financial statements for the six months ended 30 June 2026 (unaudited), reviewed notes 10 and 11(iv) — every borrowing in the book, before and after the April 2026 refinancing, is denominated in US dollars, which is also the Group's presentation and functional currency. There is no foreign-currency tranche to carry at a local-equivalent cost</w:t>
            </w:r>
          </w:p>
        </w:tc>
      </w:tr>
      <w:tr>
        <w:tc>
          <w:tcPr>
            <w:tcW w:type="dxa" w:w="1872"/>
          </w:tcPr>
          <w:p>
            <w:pPr>
              <w:spacing w:after="20"/>
            </w:pPr>
            <w:r>
              <w:rPr>
                <w:color w:val="1C3A36"/>
                <w:sz w:val="12"/>
              </w:rPr>
              <w:t>debt ext h126</w:t>
            </w:r>
          </w:p>
        </w:tc>
        <w:tc>
          <w:tcPr>
            <w:tcW w:type="dxa" w:w="1224"/>
          </w:tcPr>
          <w:p>
            <w:pPr>
              <w:spacing w:after="20"/>
              <w:jc w:val="right"/>
            </w:pPr>
            <w:r>
              <w:rPr>
                <w:color w:val="1C3A36"/>
                <w:sz w:val="12"/>
              </w:rPr>
              <w:t>399,998</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note 10(ii) — limited recourse receivables discounting agreement with an external commercial bank, of a USD 400 million facility</w:t>
            </w:r>
          </w:p>
        </w:tc>
      </w:tr>
      <w:tr>
        <w:tc>
          <w:tcPr>
            <w:tcW w:type="dxa" w:w="1872"/>
          </w:tcPr>
          <w:p>
            <w:pPr>
              <w:spacing w:after="20"/>
            </w:pPr>
            <w:r>
              <w:rPr>
                <w:color w:val="1C3A36"/>
                <w:sz w:val="12"/>
              </w:rPr>
              <w:t>debt fy23</w:t>
            </w:r>
          </w:p>
        </w:tc>
        <w:tc>
          <w:tcPr>
            <w:tcW w:type="dxa" w:w="1224"/>
          </w:tcPr>
          <w:p>
            <w:pPr>
              <w:spacing w:after="20"/>
              <w:jc w:val="right"/>
            </w:pPr>
            <w:r>
              <w:rPr>
                <w:color w:val="1C3A36"/>
                <w:sz w:val="12"/>
              </w:rPr>
              <w:t>3,140,725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bank loans, non-current, comparative</w:t>
            </w:r>
          </w:p>
        </w:tc>
      </w:tr>
      <w:tr>
        <w:tc>
          <w:tcPr>
            <w:tcW w:type="dxa" w:w="1872"/>
          </w:tcPr>
          <w:p>
            <w:pPr>
              <w:spacing w:after="20"/>
            </w:pPr>
            <w:r>
              <w:rPr>
                <w:color w:val="1C3A36"/>
                <w:sz w:val="12"/>
              </w:rPr>
              <w:t>debt fy24</w:t>
            </w:r>
          </w:p>
        </w:tc>
        <w:tc>
          <w:tcPr>
            <w:tcW w:type="dxa" w:w="1224"/>
          </w:tcPr>
          <w:p>
            <w:pPr>
              <w:spacing w:after="20"/>
              <w:jc w:val="right"/>
            </w:pPr>
            <w:r>
              <w:rPr>
                <w:color w:val="1C3A36"/>
                <w:sz w:val="12"/>
              </w:rPr>
              <w:t>2,944,100</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bank loans, non-current</w:t>
            </w:r>
          </w:p>
        </w:tc>
      </w:tr>
      <w:tr>
        <w:tc>
          <w:tcPr>
            <w:tcW w:type="dxa" w:w="1872"/>
          </w:tcPr>
          <w:p>
            <w:pPr>
              <w:spacing w:after="20"/>
            </w:pPr>
            <w:r>
              <w:rPr>
                <w:color w:val="1C3A36"/>
                <w:sz w:val="12"/>
              </w:rPr>
              <w:t>debt fy25</w:t>
            </w:r>
          </w:p>
        </w:tc>
        <w:tc>
          <w:tcPr>
            <w:tcW w:type="dxa" w:w="1224"/>
          </w:tcPr>
          <w:p>
            <w:pPr>
              <w:spacing w:after="20"/>
              <w:jc w:val="right"/>
            </w:pPr>
            <w:r>
              <w:rPr>
                <w:color w:val="1C3A36"/>
                <w:sz w:val="12"/>
              </w:rPr>
              <w:t>2,957,730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bank loans (note 17), reclassified to current liabilities because the 5-year facility dated 19 December 2021 matures within twelve months of the reporting date</w:t>
            </w:r>
          </w:p>
        </w:tc>
      </w:tr>
      <w:tr>
        <w:tc>
          <w:tcPr>
            <w:tcW w:type="dxa" w:w="1872"/>
          </w:tcPr>
          <w:p>
            <w:pPr>
              <w:spacing w:after="20"/>
            </w:pPr>
            <w:r>
              <w:rPr>
                <w:color w:val="1C3A36"/>
                <w:sz w:val="12"/>
              </w:rPr>
              <w:t>debt gross fy25</w:t>
            </w:r>
          </w:p>
        </w:tc>
        <w:tc>
          <w:tcPr>
            <w:tcW w:type="dxa" w:w="1224"/>
          </w:tcPr>
          <w:p>
            <w:pPr>
              <w:spacing w:after="20"/>
              <w:jc w:val="right"/>
            </w:pPr>
            <w:r>
              <w:rPr>
                <w:color w:val="1C3A36"/>
                <w:sz w:val="12"/>
              </w:rPr>
              <w:t>2,960,680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note 17 before unamortised transaction costs of 2,950: commercial term facility 2,600,000, Islamic facility 350,000, receivables discounting 10,680</w:t>
            </w:r>
          </w:p>
        </w:tc>
      </w:tr>
      <w:tr>
        <w:tc>
          <w:tcPr>
            <w:tcW w:type="dxa" w:w="1872"/>
          </w:tcPr>
          <w:p>
            <w:pPr>
              <w:spacing w:after="20"/>
            </w:pPr>
            <w:r>
              <w:rPr>
                <w:color w:val="1C3A36"/>
                <w:sz w:val="12"/>
              </w:rPr>
              <w:t>debt rp c h126</w:t>
            </w:r>
          </w:p>
        </w:tc>
        <w:tc>
          <w:tcPr>
            <w:tcW w:type="dxa" w:w="1224"/>
          </w:tcPr>
          <w:p>
            <w:pPr>
              <w:spacing w:after="20"/>
              <w:jc w:val="right"/>
            </w:pPr>
            <w:r>
              <w:rPr>
                <w:color w:val="1C3A36"/>
                <w:sz w:val="12"/>
              </w:rPr>
              <w:t>50,000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note 11(iv)(b) — revolving credit facility with Borouge Group International AG, drawn</w:t>
            </w:r>
          </w:p>
        </w:tc>
      </w:tr>
      <w:tr>
        <w:tc>
          <w:tcPr>
            <w:tcW w:type="dxa" w:w="1872"/>
          </w:tcPr>
          <w:p>
            <w:pPr>
              <w:spacing w:after="20"/>
            </w:pPr>
            <w:r>
              <w:rPr>
                <w:color w:val="1C3A36"/>
                <w:sz w:val="12"/>
              </w:rPr>
              <w:t>debt rp nc h126</w:t>
            </w:r>
          </w:p>
        </w:tc>
        <w:tc>
          <w:tcPr>
            <w:tcW w:type="dxa" w:w="1224"/>
          </w:tcPr>
          <w:p>
            <w:pPr>
              <w:spacing w:after="20"/>
              <w:jc w:val="right"/>
            </w:pPr>
            <w:r>
              <w:rPr>
                <w:color w:val="1C3A36"/>
                <w:sz w:val="12"/>
              </w:rPr>
              <w:t>2,800,000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note 11(iv) — related party loans and borrowings, non-current: Term Facility 1 of USD 1,500 million and Term Facility 2 of USD 1,300 million, both with Borouge Group International AG</w:t>
            </w:r>
          </w:p>
        </w:tc>
      </w:tr>
      <w:tr>
        <w:tc>
          <w:tcPr>
            <w:tcW w:type="dxa" w:w="1872"/>
          </w:tcPr>
          <w:p>
            <w:pPr>
              <w:spacing w:after="20"/>
            </w:pPr>
            <w:r>
              <w:rPr>
                <w:color w:val="1C3A36"/>
                <w:sz w:val="12"/>
              </w:rPr>
              <w:t>dep ppe fy23</w:t>
            </w:r>
          </w:p>
        </w:tc>
        <w:tc>
          <w:tcPr>
            <w:tcW w:type="dxa" w:w="1224"/>
          </w:tcPr>
          <w:p>
            <w:pPr>
              <w:spacing w:after="20"/>
              <w:jc w:val="right"/>
            </w:pPr>
            <w:r>
              <w:rPr>
                <w:color w:val="1C3A36"/>
                <w:sz w:val="12"/>
              </w:rPr>
              <w:t>539,612</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depreciation on property, plant and equipment, cash flow statement comparative</w:t>
            </w:r>
          </w:p>
        </w:tc>
      </w:tr>
      <w:tr>
        <w:tc>
          <w:tcPr>
            <w:tcW w:type="dxa" w:w="1872"/>
          </w:tcPr>
          <w:p>
            <w:pPr>
              <w:spacing w:after="20"/>
            </w:pPr>
            <w:r>
              <w:rPr>
                <w:color w:val="1C3A36"/>
                <w:sz w:val="12"/>
              </w:rPr>
              <w:t>dep ppe fy24</w:t>
            </w:r>
          </w:p>
        </w:tc>
        <w:tc>
          <w:tcPr>
            <w:tcW w:type="dxa" w:w="1224"/>
          </w:tcPr>
          <w:p>
            <w:pPr>
              <w:spacing w:after="20"/>
              <w:jc w:val="right"/>
            </w:pPr>
            <w:r>
              <w:rPr>
                <w:color w:val="1C3A36"/>
                <w:sz w:val="12"/>
              </w:rPr>
              <w:t>524,116</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depreciation on property, plant and equipment</w:t>
            </w:r>
          </w:p>
        </w:tc>
      </w:tr>
      <w:tr>
        <w:tc>
          <w:tcPr>
            <w:tcW w:type="dxa" w:w="1872"/>
          </w:tcPr>
          <w:p>
            <w:pPr>
              <w:spacing w:after="20"/>
            </w:pPr>
            <w:r>
              <w:rPr>
                <w:color w:val="1C3A36"/>
                <w:sz w:val="12"/>
              </w:rPr>
              <w:t>dep ppe fy25</w:t>
            </w:r>
          </w:p>
        </w:tc>
        <w:tc>
          <w:tcPr>
            <w:tcW w:type="dxa" w:w="1224"/>
          </w:tcPr>
          <w:p>
            <w:pPr>
              <w:spacing w:after="20"/>
              <w:jc w:val="right"/>
            </w:pPr>
            <w:r>
              <w:rPr>
                <w:color w:val="1C3A36"/>
                <w:sz w:val="12"/>
              </w:rPr>
              <w:t>449,384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depreciation on property, plant and equipment (note 6)</w:t>
            </w:r>
          </w:p>
        </w:tc>
      </w:tr>
      <w:tr>
        <w:tc>
          <w:tcPr>
            <w:tcW w:type="dxa" w:w="1872"/>
          </w:tcPr>
          <w:p>
            <w:pPr>
              <w:spacing w:after="20"/>
            </w:pPr>
            <w:r>
              <w:rPr>
                <w:color w:val="1C3A36"/>
                <w:sz w:val="12"/>
              </w:rPr>
              <w:t>dep reassessment benefit</w:t>
            </w:r>
          </w:p>
        </w:tc>
        <w:tc>
          <w:tcPr>
            <w:tcW w:type="dxa" w:w="1224"/>
          </w:tcPr>
          <w:p>
            <w:pPr>
              <w:spacing w:after="20"/>
              <w:jc w:val="right"/>
            </w:pPr>
            <w:r>
              <w:rPr>
                <w:color w:val="1C3A36"/>
                <w:sz w:val="12"/>
              </w:rPr>
              <w:t>163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the Q3 2025 reassessment of the useful life of certain fixed assets, which extended asset life by up to an additional 10 years and is expected to result in a recurring annual benefit of USD 163 million in lower depreciation charges over the next 5 financial years compared with 2024 levels</w:t>
            </w:r>
          </w:p>
        </w:tc>
      </w:tr>
      <w:tr>
        <w:tc>
          <w:tcPr>
            <w:tcW w:type="dxa" w:w="1872"/>
          </w:tcPr>
          <w:p>
            <w:pPr>
              <w:spacing w:after="20"/>
            </w:pPr>
            <w:r>
              <w:rPr>
                <w:color w:val="1C3A36"/>
                <w:sz w:val="12"/>
              </w:rPr>
              <w:t>dep rou fy23</w:t>
            </w:r>
          </w:p>
        </w:tc>
        <w:tc>
          <w:tcPr>
            <w:tcW w:type="dxa" w:w="1224"/>
          </w:tcPr>
          <w:p>
            <w:pPr>
              <w:spacing w:after="20"/>
              <w:jc w:val="right"/>
            </w:pPr>
            <w:r>
              <w:rPr>
                <w:color w:val="1C3A36"/>
                <w:sz w:val="12"/>
              </w:rPr>
              <w:t>4,376</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depreciation on right-of-use assets, comparative</w:t>
            </w:r>
          </w:p>
        </w:tc>
      </w:tr>
      <w:tr>
        <w:tc>
          <w:tcPr>
            <w:tcW w:type="dxa" w:w="1872"/>
          </w:tcPr>
          <w:p>
            <w:pPr>
              <w:spacing w:after="20"/>
            </w:pPr>
            <w:r>
              <w:rPr>
                <w:color w:val="1C3A36"/>
                <w:sz w:val="12"/>
              </w:rPr>
              <w:t>dep rou fy24</w:t>
            </w:r>
          </w:p>
        </w:tc>
        <w:tc>
          <w:tcPr>
            <w:tcW w:type="dxa" w:w="1224"/>
          </w:tcPr>
          <w:p>
            <w:pPr>
              <w:spacing w:after="20"/>
              <w:jc w:val="right"/>
            </w:pPr>
            <w:r>
              <w:rPr>
                <w:color w:val="1C3A36"/>
                <w:sz w:val="12"/>
              </w:rPr>
              <w:t>4,786</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depreciation on right-of-use assets</w:t>
            </w:r>
          </w:p>
        </w:tc>
      </w:tr>
      <w:tr>
        <w:tc>
          <w:tcPr>
            <w:tcW w:type="dxa" w:w="1872"/>
          </w:tcPr>
          <w:p>
            <w:pPr>
              <w:spacing w:after="20"/>
            </w:pPr>
            <w:r>
              <w:rPr>
                <w:color w:val="1C3A36"/>
                <w:sz w:val="12"/>
              </w:rPr>
              <w:t>dep rou fy25</w:t>
            </w:r>
          </w:p>
        </w:tc>
        <w:tc>
          <w:tcPr>
            <w:tcW w:type="dxa" w:w="1224"/>
          </w:tcPr>
          <w:p>
            <w:pPr>
              <w:spacing w:after="20"/>
              <w:jc w:val="right"/>
            </w:pPr>
            <w:r>
              <w:rPr>
                <w:color w:val="1C3A36"/>
                <w:sz w:val="12"/>
              </w:rPr>
              <w:t>3,609</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depreciation on right-of-use assets (note 8a)</w:t>
            </w:r>
          </w:p>
        </w:tc>
      </w:tr>
      <w:tr>
        <w:tc>
          <w:tcPr>
            <w:tcW w:type="dxa" w:w="1872"/>
          </w:tcPr>
          <w:p>
            <w:pPr>
              <w:spacing w:after="20"/>
            </w:pPr>
            <w:r>
              <w:rPr>
                <w:color w:val="1C3A36"/>
                <w:sz w:val="12"/>
              </w:rPr>
              <w:t>div fils guided</w:t>
            </w:r>
          </w:p>
        </w:tc>
        <w:tc>
          <w:tcPr>
            <w:tcW w:type="dxa" w:w="1224"/>
          </w:tcPr>
          <w:p>
            <w:pPr>
              <w:spacing w:after="20"/>
              <w:jc w:val="right"/>
            </w:pPr>
            <w:r>
              <w:rPr>
                <w:color w:val="1C3A36"/>
                <w:sz w:val="12"/>
              </w:rPr>
              <w:t>0.1620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'For FY 2026, management intends to pay dividends amounting to 16.2 fils per share, in line with the Company's commitment to maintain a minimum dividend of 16.2 fils per share per annum until at least 2030'; 16.2 fils is AED 0.162</w:t>
            </w:r>
          </w:p>
        </w:tc>
      </w:tr>
      <w:tr>
        <w:tc>
          <w:tcPr>
            <w:tcW w:type="dxa" w:w="1872"/>
          </w:tcPr>
          <w:p>
            <w:pPr>
              <w:spacing w:after="20"/>
            </w:pPr>
            <w:r>
              <w:rPr>
                <w:color w:val="1C3A36"/>
                <w:sz w:val="12"/>
              </w:rPr>
              <w:t>div paid fy23</w:t>
            </w:r>
          </w:p>
        </w:tc>
        <w:tc>
          <w:tcPr>
            <w:tcW w:type="dxa" w:w="1224"/>
          </w:tcPr>
          <w:p>
            <w:pPr>
              <w:spacing w:after="20"/>
              <w:jc w:val="right"/>
            </w:pPr>
            <w:r>
              <w:rPr>
                <w:color w:val="1C3A36"/>
                <w:sz w:val="12"/>
              </w:rPr>
              <w:t>1,317,242</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payment of dividends, comparative</w:t>
            </w:r>
          </w:p>
        </w:tc>
      </w:tr>
      <w:tr>
        <w:tc>
          <w:tcPr>
            <w:tcW w:type="dxa" w:w="1872"/>
          </w:tcPr>
          <w:p>
            <w:pPr>
              <w:spacing w:after="20"/>
            </w:pPr>
            <w:r>
              <w:rPr>
                <w:color w:val="1C3A36"/>
                <w:sz w:val="12"/>
              </w:rPr>
              <w:t>div paid fy24</w:t>
            </w:r>
          </w:p>
        </w:tc>
        <w:tc>
          <w:tcPr>
            <w:tcW w:type="dxa" w:w="1224"/>
          </w:tcPr>
          <w:p>
            <w:pPr>
              <w:spacing w:after="20"/>
              <w:jc w:val="right"/>
            </w:pPr>
            <w:r>
              <w:rPr>
                <w:color w:val="1C3A36"/>
                <w:sz w:val="12"/>
              </w:rPr>
              <w:t>1,307,024</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payment of dividends</w:t>
            </w:r>
          </w:p>
        </w:tc>
      </w:tr>
      <w:tr>
        <w:tc>
          <w:tcPr>
            <w:tcW w:type="dxa" w:w="1872"/>
          </w:tcPr>
          <w:p>
            <w:pPr>
              <w:spacing w:after="20"/>
            </w:pPr>
            <w:r>
              <w:rPr>
                <w:color w:val="1C3A36"/>
                <w:sz w:val="12"/>
              </w:rPr>
              <w:t>div paid fy25</w:t>
            </w:r>
          </w:p>
        </w:tc>
        <w:tc>
          <w:tcPr>
            <w:tcW w:type="dxa" w:w="1224"/>
          </w:tcPr>
          <w:p>
            <w:pPr>
              <w:spacing w:after="20"/>
              <w:jc w:val="right"/>
            </w:pPr>
            <w:r>
              <w:rPr>
                <w:color w:val="1C3A36"/>
                <w:sz w:val="12"/>
              </w:rPr>
              <w:t>1,312,080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payment of dividends (note 12b)</w:t>
            </w:r>
          </w:p>
        </w:tc>
      </w:tr>
      <w:tr>
        <w:tc>
          <w:tcPr>
            <w:tcW w:type="dxa" w:w="1872"/>
          </w:tcPr>
          <w:p>
            <w:pPr>
              <w:spacing w:after="20"/>
            </w:pPr>
            <w:r>
              <w:rPr>
                <w:color w:val="1C3A36"/>
                <w:sz w:val="12"/>
              </w:rPr>
              <w:t>dta fy25</w:t>
            </w:r>
          </w:p>
        </w:tc>
        <w:tc>
          <w:tcPr>
            <w:tcW w:type="dxa" w:w="1224"/>
          </w:tcPr>
          <w:p>
            <w:pPr>
              <w:spacing w:after="20"/>
              <w:jc w:val="right"/>
            </w:pPr>
            <w:r>
              <w:rPr>
                <w:color w:val="1C3A36"/>
                <w:sz w:val="12"/>
              </w:rPr>
              <w:t>1,992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deferred tax assets (note 13c)</w:t>
            </w:r>
          </w:p>
        </w:tc>
      </w:tr>
      <w:tr>
        <w:tc>
          <w:tcPr>
            <w:tcW w:type="dxa" w:w="1872"/>
          </w:tcPr>
          <w:p>
            <w:pPr>
              <w:spacing w:after="20"/>
            </w:pPr>
            <w:r>
              <w:rPr>
                <w:color w:val="1C3A36"/>
                <w:sz w:val="12"/>
              </w:rPr>
              <w:t>dtl fy25</w:t>
            </w:r>
          </w:p>
        </w:tc>
        <w:tc>
          <w:tcPr>
            <w:tcW w:type="dxa" w:w="1224"/>
          </w:tcPr>
          <w:p>
            <w:pPr>
              <w:spacing w:after="20"/>
              <w:jc w:val="right"/>
            </w:pPr>
            <w:r>
              <w:rPr>
                <w:color w:val="1C3A36"/>
                <w:sz w:val="12"/>
              </w:rPr>
              <w:t>128,972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deferred tax liability (note 13c)</w:t>
            </w:r>
          </w:p>
        </w:tc>
      </w:tr>
      <w:tr>
        <w:tc>
          <w:tcPr>
            <w:tcW w:type="dxa" w:w="1872"/>
          </w:tcPr>
          <w:p>
            <w:pPr>
              <w:spacing w:after="20"/>
            </w:pPr>
            <w:r>
              <w:rPr>
                <w:color w:val="1C3A36"/>
                <w:sz w:val="12"/>
              </w:rPr>
              <w:t>duefrom fy23</w:t>
            </w:r>
          </w:p>
        </w:tc>
        <w:tc>
          <w:tcPr>
            <w:tcW w:type="dxa" w:w="1224"/>
          </w:tcPr>
          <w:p>
            <w:pPr>
              <w:spacing w:after="20"/>
              <w:jc w:val="right"/>
            </w:pPr>
            <w:r>
              <w:rPr>
                <w:color w:val="1C3A36"/>
                <w:sz w:val="12"/>
              </w:rPr>
              <w:t>181,549</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amounts due from related parties, comparative</w:t>
            </w:r>
          </w:p>
        </w:tc>
      </w:tr>
      <w:tr>
        <w:tc>
          <w:tcPr>
            <w:tcW w:type="dxa" w:w="1872"/>
          </w:tcPr>
          <w:p>
            <w:pPr>
              <w:spacing w:after="20"/>
            </w:pPr>
            <w:r>
              <w:rPr>
                <w:color w:val="1C3A36"/>
                <w:sz w:val="12"/>
              </w:rPr>
              <w:t>duefrom fy24</w:t>
            </w:r>
          </w:p>
        </w:tc>
        <w:tc>
          <w:tcPr>
            <w:tcW w:type="dxa" w:w="1224"/>
          </w:tcPr>
          <w:p>
            <w:pPr>
              <w:spacing w:after="20"/>
              <w:jc w:val="right"/>
            </w:pPr>
            <w:r>
              <w:rPr>
                <w:color w:val="1C3A36"/>
                <w:sz w:val="12"/>
              </w:rPr>
              <w:t>209,937</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amounts due from related parties</w:t>
            </w:r>
          </w:p>
        </w:tc>
      </w:tr>
      <w:tr>
        <w:tc>
          <w:tcPr>
            <w:tcW w:type="dxa" w:w="1872"/>
          </w:tcPr>
          <w:p>
            <w:pPr>
              <w:spacing w:after="20"/>
            </w:pPr>
            <w:r>
              <w:rPr>
                <w:color w:val="1C3A36"/>
                <w:sz w:val="12"/>
              </w:rPr>
              <w:t>duefrom fy25</w:t>
            </w:r>
          </w:p>
        </w:tc>
        <w:tc>
          <w:tcPr>
            <w:tcW w:type="dxa" w:w="1224"/>
          </w:tcPr>
          <w:p>
            <w:pPr>
              <w:spacing w:after="20"/>
              <w:jc w:val="right"/>
            </w:pPr>
            <w:r>
              <w:rPr>
                <w:color w:val="1C3A36"/>
                <w:sz w:val="12"/>
              </w:rPr>
              <w:t>293,251</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amounts due from related parties (note 12d)</w:t>
            </w:r>
          </w:p>
        </w:tc>
      </w:tr>
      <w:tr>
        <w:tc>
          <w:tcPr>
            <w:tcW w:type="dxa" w:w="1872"/>
          </w:tcPr>
          <w:p>
            <w:pPr>
              <w:spacing w:after="20"/>
            </w:pPr>
            <w:r>
              <w:rPr>
                <w:color w:val="1C3A36"/>
                <w:sz w:val="12"/>
              </w:rPr>
              <w:t>dueto fy23</w:t>
            </w:r>
          </w:p>
        </w:tc>
        <w:tc>
          <w:tcPr>
            <w:tcW w:type="dxa" w:w="1224"/>
          </w:tcPr>
          <w:p>
            <w:pPr>
              <w:spacing w:after="20"/>
              <w:jc w:val="right"/>
            </w:pPr>
            <w:r>
              <w:rPr>
                <w:color w:val="1C3A36"/>
                <w:sz w:val="12"/>
              </w:rPr>
              <w:t>567,034</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amounts due to related parties, comparative: current 532,645 plus non-current 34,389</w:t>
            </w:r>
          </w:p>
        </w:tc>
      </w:tr>
      <w:tr>
        <w:tc>
          <w:tcPr>
            <w:tcW w:type="dxa" w:w="1872"/>
          </w:tcPr>
          <w:p>
            <w:pPr>
              <w:spacing w:after="20"/>
            </w:pPr>
            <w:r>
              <w:rPr>
                <w:color w:val="1C3A36"/>
                <w:sz w:val="12"/>
              </w:rPr>
              <w:t>dueto fy24</w:t>
            </w:r>
          </w:p>
        </w:tc>
        <w:tc>
          <w:tcPr>
            <w:tcW w:type="dxa" w:w="1224"/>
          </w:tcPr>
          <w:p>
            <w:pPr>
              <w:spacing w:after="20"/>
              <w:jc w:val="right"/>
            </w:pPr>
            <w:r>
              <w:rPr>
                <w:color w:val="1C3A36"/>
                <w:sz w:val="12"/>
              </w:rPr>
              <w:t>520,260</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amounts due to related parties, current</w:t>
            </w:r>
          </w:p>
        </w:tc>
      </w:tr>
      <w:tr>
        <w:tc>
          <w:tcPr>
            <w:tcW w:type="dxa" w:w="1872"/>
          </w:tcPr>
          <w:p>
            <w:pPr>
              <w:spacing w:after="20"/>
            </w:pPr>
            <w:r>
              <w:rPr>
                <w:color w:val="1C3A36"/>
                <w:sz w:val="12"/>
              </w:rPr>
              <w:t>dueto fy25</w:t>
            </w:r>
          </w:p>
        </w:tc>
        <w:tc>
          <w:tcPr>
            <w:tcW w:type="dxa" w:w="1224"/>
          </w:tcPr>
          <w:p>
            <w:pPr>
              <w:spacing w:after="20"/>
              <w:jc w:val="right"/>
            </w:pPr>
            <w:r>
              <w:rPr>
                <w:color w:val="1C3A36"/>
                <w:sz w:val="12"/>
              </w:rPr>
              <w:t>576,502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amounts due to related parties (note 12c)</w:t>
            </w:r>
          </w:p>
        </w:tc>
      </w:tr>
      <w:tr>
        <w:tc>
          <w:tcPr>
            <w:tcW w:type="dxa" w:w="1872"/>
          </w:tcPr>
          <w:p>
            <w:pPr>
              <w:spacing w:after="20"/>
            </w:pPr>
            <w:r>
              <w:rPr>
                <w:color w:val="1C3A36"/>
                <w:sz w:val="12"/>
              </w:rPr>
              <w:t>ebit fy23</w:t>
            </w:r>
          </w:p>
        </w:tc>
        <w:tc>
          <w:tcPr>
            <w:tcW w:type="dxa" w:w="1224"/>
          </w:tcPr>
          <w:p>
            <w:pPr>
              <w:spacing w:after="20"/>
              <w:jc w:val="right"/>
            </w:pPr>
            <w:r>
              <w:rPr>
                <w:color w:val="1C3A36"/>
                <w:sz w:val="12"/>
              </w:rPr>
              <w:t>1,597,171</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operating profit</w:t>
            </w:r>
          </w:p>
        </w:tc>
      </w:tr>
      <w:tr>
        <w:tc>
          <w:tcPr>
            <w:tcW w:type="dxa" w:w="1872"/>
          </w:tcPr>
          <w:p>
            <w:pPr>
              <w:spacing w:after="20"/>
            </w:pPr>
            <w:r>
              <w:rPr>
                <w:color w:val="1C3A36"/>
                <w:sz w:val="12"/>
              </w:rPr>
              <w:t>ebit fy24</w:t>
            </w:r>
          </w:p>
        </w:tc>
        <w:tc>
          <w:tcPr>
            <w:tcW w:type="dxa" w:w="1224"/>
          </w:tcPr>
          <w:p>
            <w:pPr>
              <w:spacing w:after="20"/>
              <w:jc w:val="right"/>
            </w:pPr>
            <w:r>
              <w:rPr>
                <w:color w:val="1C3A36"/>
                <w:sz w:val="12"/>
              </w:rPr>
              <w:t>1,920,919</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operating profit</w:t>
            </w:r>
          </w:p>
        </w:tc>
      </w:tr>
      <w:tr>
        <w:tc>
          <w:tcPr>
            <w:tcW w:type="dxa" w:w="1872"/>
          </w:tcPr>
          <w:p>
            <w:pPr>
              <w:spacing w:after="20"/>
            </w:pPr>
            <w:r>
              <w:rPr>
                <w:color w:val="1C3A36"/>
                <w:sz w:val="12"/>
              </w:rPr>
              <w:t>ebit fy25</w:t>
            </w:r>
          </w:p>
        </w:tc>
        <w:tc>
          <w:tcPr>
            <w:tcW w:type="dxa" w:w="1224"/>
          </w:tcPr>
          <w:p>
            <w:pPr>
              <w:spacing w:after="20"/>
              <w:jc w:val="right"/>
            </w:pPr>
            <w:r>
              <w:rPr>
                <w:color w:val="1C3A36"/>
                <w:sz w:val="12"/>
              </w:rPr>
              <w:t>1,694,063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operating profit</w:t>
            </w:r>
          </w:p>
        </w:tc>
      </w:tr>
      <w:tr>
        <w:tc>
          <w:tcPr>
            <w:tcW w:type="dxa" w:w="1872"/>
          </w:tcPr>
          <w:p>
            <w:pPr>
              <w:spacing w:after="20"/>
            </w:pPr>
            <w:r>
              <w:rPr>
                <w:color w:val="1C3A36"/>
                <w:sz w:val="12"/>
              </w:rPr>
              <w:t>ebit h126</w:t>
            </w:r>
          </w:p>
        </w:tc>
        <w:tc>
          <w:tcPr>
            <w:tcW w:type="dxa" w:w="1224"/>
          </w:tcPr>
          <w:p>
            <w:pPr>
              <w:spacing w:after="20"/>
              <w:jc w:val="right"/>
            </w:pPr>
            <w:r>
              <w:rPr>
                <w:color w:val="1C3A36"/>
                <w:sz w:val="12"/>
              </w:rPr>
              <w:t>537,606</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operating profit, six months</w:t>
            </w:r>
          </w:p>
        </w:tc>
      </w:tr>
      <w:tr>
        <w:tc>
          <w:tcPr>
            <w:tcW w:type="dxa" w:w="1872"/>
          </w:tcPr>
          <w:p>
            <w:pPr>
              <w:spacing w:after="20"/>
            </w:pPr>
            <w:r>
              <w:rPr>
                <w:color w:val="1C3A36"/>
                <w:sz w:val="12"/>
              </w:rPr>
              <w:t>ebitda adj fy23</w:t>
            </w:r>
          </w:p>
        </w:tc>
        <w:tc>
          <w:tcPr>
            <w:tcW w:type="dxa" w:w="1224"/>
          </w:tcPr>
          <w:p>
            <w:pPr>
              <w:spacing w:after="20"/>
              <w:jc w:val="right"/>
            </w:pPr>
            <w:r>
              <w:rPr>
                <w:color w:val="1C3A36"/>
                <w:sz w:val="12"/>
              </w:rPr>
              <w:t>2,171</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adjusted EBITDA, FY2023, USD million</w:t>
            </w:r>
          </w:p>
        </w:tc>
      </w:tr>
      <w:tr>
        <w:tc>
          <w:tcPr>
            <w:tcW w:type="dxa" w:w="1872"/>
          </w:tcPr>
          <w:p>
            <w:pPr>
              <w:spacing w:after="20"/>
            </w:pPr>
            <w:r>
              <w:rPr>
                <w:color w:val="1C3A36"/>
                <w:sz w:val="12"/>
              </w:rPr>
              <w:t>ebitda adj fy24</w:t>
            </w:r>
          </w:p>
        </w:tc>
        <w:tc>
          <w:tcPr>
            <w:tcW w:type="dxa" w:w="1224"/>
          </w:tcPr>
          <w:p>
            <w:pPr>
              <w:spacing w:after="20"/>
              <w:jc w:val="right"/>
            </w:pPr>
            <w:r>
              <w:rPr>
                <w:color w:val="1C3A36"/>
                <w:sz w:val="12"/>
              </w:rPr>
              <w:t>2,477</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adjusted EBITDA, FY2024, USD million</w:t>
            </w:r>
          </w:p>
        </w:tc>
      </w:tr>
      <w:tr>
        <w:tc>
          <w:tcPr>
            <w:tcW w:type="dxa" w:w="1872"/>
          </w:tcPr>
          <w:p>
            <w:pPr>
              <w:spacing w:after="20"/>
            </w:pPr>
            <w:r>
              <w:rPr>
                <w:color w:val="1C3A36"/>
                <w:sz w:val="12"/>
              </w:rPr>
              <w:t>ebitda adj fy25</w:t>
            </w:r>
          </w:p>
        </w:tc>
        <w:tc>
          <w:tcPr>
            <w:tcW w:type="dxa" w:w="1224"/>
          </w:tcPr>
          <w:p>
            <w:pPr>
              <w:spacing w:after="20"/>
              <w:jc w:val="right"/>
            </w:pPr>
            <w:r>
              <w:rPr>
                <w:color w:val="1C3A36"/>
                <w:sz w:val="12"/>
              </w:rPr>
              <w:t>2,172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adjusted EBITDA, FY2025, USD million</w:t>
            </w:r>
          </w:p>
        </w:tc>
      </w:tr>
      <w:tr>
        <w:tc>
          <w:tcPr>
            <w:tcW w:type="dxa" w:w="1872"/>
          </w:tcPr>
          <w:p>
            <w:pPr>
              <w:spacing w:after="20"/>
            </w:pPr>
            <w:r>
              <w:rPr>
                <w:color w:val="1C3A36"/>
                <w:sz w:val="12"/>
              </w:rPr>
              <w:t>ebitda adj h126</w:t>
            </w:r>
          </w:p>
        </w:tc>
        <w:tc>
          <w:tcPr>
            <w:tcW w:type="dxa" w:w="1224"/>
          </w:tcPr>
          <w:p>
            <w:pPr>
              <w:spacing w:after="20"/>
              <w:jc w:val="right"/>
            </w:pPr>
            <w:r>
              <w:rPr>
                <w:color w:val="1C3A36"/>
                <w:sz w:val="12"/>
              </w:rPr>
              <w:t>744</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adjusted EBITDA, H1 2026, USD million, down 26% year on year</w:t>
            </w:r>
          </w:p>
        </w:tc>
      </w:tr>
      <w:tr>
        <w:tc>
          <w:tcPr>
            <w:tcW w:type="dxa" w:w="1872"/>
          </w:tcPr>
          <w:p>
            <w:pPr>
              <w:spacing w:after="20"/>
            </w:pPr>
            <w:r>
              <w:rPr>
                <w:color w:val="1C3A36"/>
                <w:sz w:val="12"/>
              </w:rPr>
              <w:t>eosb c fy25</w:t>
            </w:r>
          </w:p>
        </w:tc>
        <w:tc>
          <w:tcPr>
            <w:tcW w:type="dxa" w:w="1224"/>
          </w:tcPr>
          <w:p>
            <w:pPr>
              <w:spacing w:after="20"/>
              <w:jc w:val="right"/>
            </w:pPr>
            <w:r>
              <w:rPr>
                <w:color w:val="1C3A36"/>
                <w:sz w:val="12"/>
              </w:rPr>
              <w:t>12,293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provision for employees' end of service benefits, current (note 16)</w:t>
            </w:r>
          </w:p>
        </w:tc>
      </w:tr>
      <w:tr>
        <w:tc>
          <w:tcPr>
            <w:tcW w:type="dxa" w:w="1872"/>
          </w:tcPr>
          <w:p>
            <w:pPr>
              <w:spacing w:after="20"/>
            </w:pPr>
            <w:r>
              <w:rPr>
                <w:color w:val="1C3A36"/>
                <w:sz w:val="12"/>
              </w:rPr>
              <w:t>eosb nc fy25</w:t>
            </w:r>
          </w:p>
        </w:tc>
        <w:tc>
          <w:tcPr>
            <w:tcW w:type="dxa" w:w="1224"/>
          </w:tcPr>
          <w:p>
            <w:pPr>
              <w:spacing w:after="20"/>
              <w:jc w:val="right"/>
            </w:pPr>
            <w:r>
              <w:rPr>
                <w:color w:val="1C3A36"/>
                <w:sz w:val="12"/>
              </w:rPr>
              <w:t>93,044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provision for employees' end of service benefits, non-current (note 16)</w:t>
            </w:r>
          </w:p>
        </w:tc>
      </w:tr>
      <w:tr>
        <w:tc>
          <w:tcPr>
            <w:tcW w:type="dxa" w:w="1872"/>
          </w:tcPr>
          <w:p>
            <w:pPr>
              <w:spacing w:after="20"/>
            </w:pPr>
            <w:r>
              <w:rPr>
                <w:color w:val="1C3A36"/>
                <w:sz w:val="12"/>
              </w:rPr>
              <w:t>eq owners fy23</w:t>
            </w:r>
          </w:p>
        </w:tc>
        <w:tc>
          <w:tcPr>
            <w:tcW w:type="dxa" w:w="1224"/>
          </w:tcPr>
          <w:p>
            <w:pPr>
              <w:spacing w:after="20"/>
              <w:jc w:val="right"/>
            </w:pPr>
            <w:r>
              <w:rPr>
                <w:color w:val="1C3A36"/>
                <w:sz w:val="12"/>
              </w:rPr>
              <w:t>4,532,482</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equity attributable to owners, comparative</w:t>
            </w:r>
          </w:p>
        </w:tc>
      </w:tr>
      <w:tr>
        <w:tc>
          <w:tcPr>
            <w:tcW w:type="dxa" w:w="1872"/>
          </w:tcPr>
          <w:p>
            <w:pPr>
              <w:spacing w:after="20"/>
            </w:pPr>
            <w:r>
              <w:rPr>
                <w:color w:val="1C3A36"/>
                <w:sz w:val="12"/>
              </w:rPr>
              <w:t>eq owners fy24</w:t>
            </w:r>
          </w:p>
        </w:tc>
        <w:tc>
          <w:tcPr>
            <w:tcW w:type="dxa" w:w="1224"/>
          </w:tcPr>
          <w:p>
            <w:pPr>
              <w:spacing w:after="20"/>
              <w:jc w:val="right"/>
            </w:pPr>
            <w:r>
              <w:rPr>
                <w:color w:val="1C3A36"/>
                <w:sz w:val="12"/>
              </w:rPr>
              <w:t>4,462,726</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equity attributable to owners of the Company</w:t>
            </w:r>
          </w:p>
        </w:tc>
      </w:tr>
      <w:tr>
        <w:tc>
          <w:tcPr>
            <w:tcW w:type="dxa" w:w="1872"/>
          </w:tcPr>
          <w:p>
            <w:pPr>
              <w:spacing w:after="20"/>
            </w:pPr>
            <w:r>
              <w:rPr>
                <w:color w:val="1C3A36"/>
                <w:sz w:val="12"/>
              </w:rPr>
              <w:t>eq owners fy25</w:t>
            </w:r>
          </w:p>
        </w:tc>
        <w:tc>
          <w:tcPr>
            <w:tcW w:type="dxa" w:w="1224"/>
          </w:tcPr>
          <w:p>
            <w:pPr>
              <w:spacing w:after="20"/>
              <w:jc w:val="right"/>
            </w:pPr>
            <w:r>
              <w:rPr>
                <w:color w:val="1C3A36"/>
                <w:sz w:val="12"/>
              </w:rPr>
              <w:t>4,088,850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equity attributable to the owners of the Company</w:t>
            </w:r>
          </w:p>
        </w:tc>
      </w:tr>
      <w:tr>
        <w:tc>
          <w:tcPr>
            <w:tcW w:type="dxa" w:w="1872"/>
          </w:tcPr>
          <w:p>
            <w:pPr>
              <w:spacing w:after="20"/>
            </w:pPr>
            <w:r>
              <w:rPr>
                <w:color w:val="1C3A36"/>
                <w:sz w:val="12"/>
              </w:rPr>
              <w:t>eq owners h126</w:t>
            </w:r>
          </w:p>
        </w:tc>
        <w:tc>
          <w:tcPr>
            <w:tcW w:type="dxa" w:w="1224"/>
          </w:tcPr>
          <w:p>
            <w:pPr>
              <w:spacing w:after="20"/>
              <w:jc w:val="right"/>
            </w:pPr>
            <w:r>
              <w:rPr>
                <w:color w:val="1C3A36"/>
                <w:sz w:val="12"/>
              </w:rPr>
              <w:t>3,725,997</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equity attributable to owners of the Company</w:t>
            </w:r>
          </w:p>
        </w:tc>
      </w:tr>
      <w:tr>
        <w:tc>
          <w:tcPr>
            <w:tcW w:type="dxa" w:w="1872"/>
          </w:tcPr>
          <w:p>
            <w:pPr>
              <w:spacing w:after="20"/>
            </w:pPr>
            <w:r>
              <w:rPr>
                <w:color w:val="1C3A36"/>
                <w:sz w:val="12"/>
              </w:rPr>
              <w:t>eq total fy25</w:t>
            </w:r>
          </w:p>
        </w:tc>
        <w:tc>
          <w:tcPr>
            <w:tcW w:type="dxa" w:w="1224"/>
          </w:tcPr>
          <w:p>
            <w:pPr>
              <w:spacing w:after="20"/>
              <w:jc w:val="right"/>
            </w:pPr>
            <w:r>
              <w:rPr>
                <w:color w:val="1C3A36"/>
                <w:sz w:val="12"/>
              </w:rPr>
              <w:t>4,115,682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total equity</w:t>
            </w:r>
          </w:p>
        </w:tc>
      </w:tr>
      <w:tr>
        <w:tc>
          <w:tcPr>
            <w:tcW w:type="dxa" w:w="1872"/>
          </w:tcPr>
          <w:p>
            <w:pPr>
              <w:spacing w:after="20"/>
            </w:pPr>
            <w:r>
              <w:rPr>
                <w:color w:val="1C3A36"/>
                <w:sz w:val="12"/>
              </w:rPr>
              <w:t>eq total h126</w:t>
            </w:r>
          </w:p>
        </w:tc>
        <w:tc>
          <w:tcPr>
            <w:tcW w:type="dxa" w:w="1224"/>
          </w:tcPr>
          <w:p>
            <w:pPr>
              <w:spacing w:after="20"/>
              <w:jc w:val="right"/>
            </w:pPr>
            <w:r>
              <w:rPr>
                <w:color w:val="1C3A36"/>
                <w:sz w:val="12"/>
              </w:rPr>
              <w:t>3,748,031</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total equity</w:t>
            </w:r>
          </w:p>
        </w:tc>
      </w:tr>
      <w:tr>
        <w:tc>
          <w:tcPr>
            <w:tcW w:type="dxa" w:w="1872"/>
          </w:tcPr>
          <w:p>
            <w:pPr>
              <w:spacing w:after="20"/>
            </w:pPr>
            <w:r>
              <w:rPr>
                <w:color w:val="1C3A36"/>
                <w:sz w:val="12"/>
              </w:rPr>
              <w:t>feed fy23</w:t>
            </w:r>
          </w:p>
        </w:tc>
        <w:tc>
          <w:tcPr>
            <w:tcW w:type="dxa" w:w="1224"/>
          </w:tcPr>
          <w:p>
            <w:pPr>
              <w:spacing w:after="20"/>
              <w:jc w:val="right"/>
            </w:pPr>
            <w:r>
              <w:rPr>
                <w:color w:val="1C3A36"/>
                <w:sz w:val="12"/>
              </w:rPr>
              <w:t>1,357</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2023 Management Discussion &amp; Analysis — feedstock costs, FY2023, USD million</w:t>
            </w:r>
          </w:p>
        </w:tc>
      </w:tr>
      <w:tr>
        <w:tc>
          <w:tcPr>
            <w:tcW w:type="dxa" w:w="1872"/>
          </w:tcPr>
          <w:p>
            <w:pPr>
              <w:spacing w:after="20"/>
            </w:pPr>
            <w:r>
              <w:rPr>
                <w:color w:val="1C3A36"/>
                <w:sz w:val="12"/>
              </w:rPr>
              <w:t>feed fy24</w:t>
            </w:r>
          </w:p>
        </w:tc>
        <w:tc>
          <w:tcPr>
            <w:tcW w:type="dxa" w:w="1224"/>
          </w:tcPr>
          <w:p>
            <w:pPr>
              <w:spacing w:after="20"/>
              <w:jc w:val="right"/>
            </w:pPr>
            <w:r>
              <w:rPr>
                <w:color w:val="1C3A36"/>
                <w:sz w:val="12"/>
              </w:rPr>
              <w:t>1,288</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feedstock costs, FY2024 comparative, USD million</w:t>
            </w:r>
          </w:p>
        </w:tc>
      </w:tr>
      <w:tr>
        <w:tc>
          <w:tcPr>
            <w:tcW w:type="dxa" w:w="1872"/>
          </w:tcPr>
          <w:p>
            <w:pPr>
              <w:spacing w:after="20"/>
            </w:pPr>
            <w:r>
              <w:rPr>
                <w:color w:val="1C3A36"/>
                <w:sz w:val="12"/>
              </w:rPr>
              <w:t>feed fy25</w:t>
            </w:r>
          </w:p>
        </w:tc>
        <w:tc>
          <w:tcPr>
            <w:tcW w:type="dxa" w:w="1224"/>
          </w:tcPr>
          <w:p>
            <w:pPr>
              <w:spacing w:after="20"/>
              <w:jc w:val="right"/>
            </w:pPr>
            <w:r>
              <w:rPr>
                <w:color w:val="1C3A36"/>
                <w:sz w:val="12"/>
              </w:rPr>
              <w:t>1,295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feedstock costs, FY2025, USD million</w:t>
            </w:r>
          </w:p>
        </w:tc>
      </w:tr>
      <w:tr>
        <w:tc>
          <w:tcPr>
            <w:tcW w:type="dxa" w:w="1872"/>
          </w:tcPr>
          <w:p>
            <w:pPr>
              <w:spacing w:after="20"/>
            </w:pPr>
            <w:r>
              <w:rPr>
                <w:color w:val="1C3A36"/>
                <w:sz w:val="12"/>
              </w:rPr>
              <w:t>feed h126</w:t>
            </w:r>
          </w:p>
        </w:tc>
        <w:tc>
          <w:tcPr>
            <w:tcW w:type="dxa" w:w="1224"/>
          </w:tcPr>
          <w:p>
            <w:pPr>
              <w:spacing w:after="20"/>
              <w:jc w:val="right"/>
            </w:pPr>
            <w:r>
              <w:rPr>
                <w:color w:val="1C3A36"/>
                <w:sz w:val="12"/>
              </w:rPr>
              <w:t>761</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feedstock costs, H1 2026, USD million, up 33% year on year on higher purchased propylene prices after the Olefins Conversion Unit was idled</w:t>
            </w:r>
          </w:p>
        </w:tc>
      </w:tr>
      <w:tr>
        <w:tc>
          <w:tcPr>
            <w:tcW w:type="dxa" w:w="1872"/>
          </w:tcPr>
          <w:p>
            <w:pPr>
              <w:spacing w:after="20"/>
            </w:pPr>
            <w:r>
              <w:rPr>
                <w:color w:val="1C3A36"/>
                <w:sz w:val="12"/>
              </w:rPr>
              <w:t>fincost fy23</w:t>
            </w:r>
          </w:p>
        </w:tc>
        <w:tc>
          <w:tcPr>
            <w:tcW w:type="dxa" w:w="1224"/>
          </w:tcPr>
          <w:p>
            <w:pPr>
              <w:spacing w:after="20"/>
              <w:jc w:val="right"/>
            </w:pPr>
            <w:r>
              <w:rPr>
                <w:color w:val="1C3A36"/>
                <w:sz w:val="12"/>
              </w:rPr>
              <w:t>220,909</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finance costs</w:t>
            </w:r>
          </w:p>
        </w:tc>
      </w:tr>
      <w:tr>
        <w:tc>
          <w:tcPr>
            <w:tcW w:type="dxa" w:w="1872"/>
          </w:tcPr>
          <w:p>
            <w:pPr>
              <w:spacing w:after="20"/>
            </w:pPr>
            <w:r>
              <w:rPr>
                <w:color w:val="1C3A36"/>
                <w:sz w:val="12"/>
              </w:rPr>
              <w:t>fincost fy24</w:t>
            </w:r>
          </w:p>
        </w:tc>
        <w:tc>
          <w:tcPr>
            <w:tcW w:type="dxa" w:w="1224"/>
          </w:tcPr>
          <w:p>
            <w:pPr>
              <w:spacing w:after="20"/>
              <w:jc w:val="right"/>
            </w:pPr>
            <w:r>
              <w:rPr>
                <w:color w:val="1C3A36"/>
                <w:sz w:val="12"/>
              </w:rPr>
              <w:t>202,025</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finance costs</w:t>
            </w:r>
          </w:p>
        </w:tc>
      </w:tr>
      <w:tr>
        <w:tc>
          <w:tcPr>
            <w:tcW w:type="dxa" w:w="1872"/>
          </w:tcPr>
          <w:p>
            <w:pPr>
              <w:spacing w:after="20"/>
            </w:pPr>
            <w:r>
              <w:rPr>
                <w:color w:val="1C3A36"/>
                <w:sz w:val="12"/>
              </w:rPr>
              <w:t>fincost fy25</w:t>
            </w:r>
          </w:p>
        </w:tc>
        <w:tc>
          <w:tcPr>
            <w:tcW w:type="dxa" w:w="1224"/>
          </w:tcPr>
          <w:p>
            <w:pPr>
              <w:spacing w:after="20"/>
              <w:jc w:val="right"/>
            </w:pPr>
            <w:r>
              <w:rPr>
                <w:color w:val="1C3A36"/>
                <w:sz w:val="12"/>
              </w:rPr>
              <w:t>175,924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finance costs (note 17.1: interest on loans 164,476, interest on lease liabilities 6,193, others 5,255)</w:t>
            </w:r>
          </w:p>
        </w:tc>
      </w:tr>
      <w:tr>
        <w:tc>
          <w:tcPr>
            <w:tcW w:type="dxa" w:w="1872"/>
          </w:tcPr>
          <w:p>
            <w:pPr>
              <w:spacing w:after="20"/>
            </w:pPr>
            <w:r>
              <w:rPr>
                <w:color w:val="1C3A36"/>
                <w:sz w:val="12"/>
              </w:rPr>
              <w:t>fininc fy23</w:t>
            </w:r>
          </w:p>
        </w:tc>
        <w:tc>
          <w:tcPr>
            <w:tcW w:type="dxa" w:w="1224"/>
          </w:tcPr>
          <w:p>
            <w:pPr>
              <w:spacing w:after="20"/>
              <w:jc w:val="right"/>
            </w:pPr>
            <w:r>
              <w:rPr>
                <w:color w:val="1C3A36"/>
                <w:sz w:val="12"/>
              </w:rPr>
              <w:t>26,815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finance income</w:t>
            </w:r>
          </w:p>
        </w:tc>
      </w:tr>
      <w:tr>
        <w:tc>
          <w:tcPr>
            <w:tcW w:type="dxa" w:w="1872"/>
          </w:tcPr>
          <w:p>
            <w:pPr>
              <w:spacing w:after="20"/>
            </w:pPr>
            <w:r>
              <w:rPr>
                <w:color w:val="1C3A36"/>
                <w:sz w:val="12"/>
              </w:rPr>
              <w:t>fininc fy24</w:t>
            </w:r>
          </w:p>
        </w:tc>
        <w:tc>
          <w:tcPr>
            <w:tcW w:type="dxa" w:w="1224"/>
          </w:tcPr>
          <w:p>
            <w:pPr>
              <w:spacing w:after="20"/>
              <w:jc w:val="right"/>
            </w:pPr>
            <w:r>
              <w:rPr>
                <w:color w:val="1C3A36"/>
                <w:sz w:val="12"/>
              </w:rPr>
              <w:t>28,554</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finance income</w:t>
            </w:r>
          </w:p>
        </w:tc>
      </w:tr>
      <w:tr>
        <w:tc>
          <w:tcPr>
            <w:tcW w:type="dxa" w:w="1872"/>
          </w:tcPr>
          <w:p>
            <w:pPr>
              <w:spacing w:after="20"/>
            </w:pPr>
            <w:r>
              <w:rPr>
                <w:color w:val="1C3A36"/>
                <w:sz w:val="12"/>
              </w:rPr>
              <w:t>fininc fy25</w:t>
            </w:r>
          </w:p>
        </w:tc>
        <w:tc>
          <w:tcPr>
            <w:tcW w:type="dxa" w:w="1224"/>
          </w:tcPr>
          <w:p>
            <w:pPr>
              <w:spacing w:after="20"/>
              <w:jc w:val="right"/>
            </w:pPr>
            <w:r>
              <w:rPr>
                <w:color w:val="1C3A36"/>
                <w:sz w:val="12"/>
              </w:rPr>
              <w:t>23,718</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finance income</w:t>
            </w:r>
          </w:p>
        </w:tc>
      </w:tr>
      <w:tr>
        <w:tc>
          <w:tcPr>
            <w:tcW w:type="dxa" w:w="1872"/>
          </w:tcPr>
          <w:p>
            <w:pPr>
              <w:spacing w:after="20"/>
            </w:pPr>
            <w:r>
              <w:rPr>
                <w:color w:val="1C3A36"/>
                <w:sz w:val="12"/>
              </w:rPr>
              <w:t>fx fy23</w:t>
            </w:r>
          </w:p>
        </w:tc>
        <w:tc>
          <w:tcPr>
            <w:tcW w:type="dxa" w:w="1224"/>
          </w:tcPr>
          <w:p>
            <w:pPr>
              <w:spacing w:after="20"/>
              <w:jc w:val="right"/>
            </w:pPr>
            <w:r>
              <w:rPr>
                <w:color w:val="1C3A36"/>
                <w:sz w:val="12"/>
              </w:rPr>
              <w:t>-2,074</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foreign exchange loss</w:t>
            </w:r>
          </w:p>
        </w:tc>
      </w:tr>
      <w:tr>
        <w:tc>
          <w:tcPr>
            <w:tcW w:type="dxa" w:w="1872"/>
          </w:tcPr>
          <w:p>
            <w:pPr>
              <w:spacing w:after="20"/>
            </w:pPr>
            <w:r>
              <w:rPr>
                <w:color w:val="1C3A36"/>
                <w:sz w:val="12"/>
              </w:rPr>
              <w:t>fx fy24</w:t>
            </w:r>
          </w:p>
        </w:tc>
        <w:tc>
          <w:tcPr>
            <w:tcW w:type="dxa" w:w="1224"/>
          </w:tcPr>
          <w:p>
            <w:pPr>
              <w:spacing w:after="20"/>
              <w:jc w:val="right"/>
            </w:pPr>
            <w:r>
              <w:rPr>
                <w:color w:val="1C3A36"/>
                <w:sz w:val="12"/>
              </w:rPr>
              <w:t>-2,139</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foreign exchange loss</w:t>
            </w:r>
          </w:p>
        </w:tc>
      </w:tr>
      <w:tr>
        <w:tc>
          <w:tcPr>
            <w:tcW w:type="dxa" w:w="1872"/>
          </w:tcPr>
          <w:p>
            <w:pPr>
              <w:spacing w:after="20"/>
            </w:pPr>
            <w:r>
              <w:rPr>
                <w:color w:val="1C3A36"/>
                <w:sz w:val="12"/>
              </w:rPr>
              <w:t>fx fy25</w:t>
            </w:r>
          </w:p>
        </w:tc>
        <w:tc>
          <w:tcPr>
            <w:tcW w:type="dxa" w:w="1224"/>
          </w:tcPr>
          <w:p>
            <w:pPr>
              <w:spacing w:after="20"/>
              <w:jc w:val="right"/>
            </w:pPr>
            <w:r>
              <w:rPr>
                <w:color w:val="1C3A36"/>
                <w:sz w:val="12"/>
              </w:rPr>
              <w:t>-2,013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foreign exchange loss</w:t>
            </w:r>
          </w:p>
        </w:tc>
      </w:tr>
      <w:tr>
        <w:tc>
          <w:tcPr>
            <w:tcW w:type="dxa" w:w="1872"/>
          </w:tcPr>
          <w:p>
            <w:pPr>
              <w:spacing w:after="20"/>
            </w:pPr>
            <w:r>
              <w:rPr>
                <w:color w:val="1C3A36"/>
                <w:sz w:val="12"/>
              </w:rPr>
              <w:t>ga exda fy25</w:t>
            </w:r>
          </w:p>
        </w:tc>
        <w:tc>
          <w:tcPr>
            <w:tcW w:type="dxa" w:w="1224"/>
          </w:tcPr>
          <w:p>
            <w:pPr>
              <w:spacing w:after="20"/>
              <w:jc w:val="right"/>
            </w:pPr>
            <w:r>
              <w:rPr>
                <w:color w:val="1C3A36"/>
                <w:sz w:val="12"/>
              </w:rPr>
              <w:t>188</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general and administrative expenses excluding D&amp;A, FY2025, USD million</w:t>
            </w:r>
          </w:p>
        </w:tc>
      </w:tr>
      <w:tr>
        <w:tc>
          <w:tcPr>
            <w:tcW w:type="dxa" w:w="1872"/>
          </w:tcPr>
          <w:p>
            <w:pPr>
              <w:spacing w:after="20"/>
            </w:pPr>
            <w:r>
              <w:rPr>
                <w:color w:val="1C3A36"/>
                <w:sz w:val="12"/>
              </w:rPr>
              <w:t>ga fy23</w:t>
            </w:r>
          </w:p>
        </w:tc>
        <w:tc>
          <w:tcPr>
            <w:tcW w:type="dxa" w:w="1224"/>
          </w:tcPr>
          <w:p>
            <w:pPr>
              <w:spacing w:after="20"/>
              <w:jc w:val="right"/>
            </w:pPr>
            <w:r>
              <w:rPr>
                <w:color w:val="1C3A36"/>
                <w:sz w:val="12"/>
              </w:rPr>
              <w:t>182,915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general and administrative expenses</w:t>
            </w:r>
          </w:p>
        </w:tc>
      </w:tr>
      <w:tr>
        <w:tc>
          <w:tcPr>
            <w:tcW w:type="dxa" w:w="1872"/>
          </w:tcPr>
          <w:p>
            <w:pPr>
              <w:spacing w:after="20"/>
            </w:pPr>
            <w:r>
              <w:rPr>
                <w:color w:val="1C3A36"/>
                <w:sz w:val="12"/>
              </w:rPr>
              <w:t>ga fy24</w:t>
            </w:r>
          </w:p>
        </w:tc>
        <w:tc>
          <w:tcPr>
            <w:tcW w:type="dxa" w:w="1224"/>
          </w:tcPr>
          <w:p>
            <w:pPr>
              <w:spacing w:after="20"/>
              <w:jc w:val="right"/>
            </w:pPr>
            <w:r>
              <w:rPr>
                <w:color w:val="1C3A36"/>
                <w:sz w:val="12"/>
              </w:rPr>
              <w:t>193,121</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general and administrative expenses</w:t>
            </w:r>
          </w:p>
        </w:tc>
      </w:tr>
      <w:tr>
        <w:tc>
          <w:tcPr>
            <w:tcW w:type="dxa" w:w="1872"/>
          </w:tcPr>
          <w:p>
            <w:pPr>
              <w:spacing w:after="20"/>
            </w:pPr>
            <w:r>
              <w:rPr>
                <w:color w:val="1C3A36"/>
                <w:sz w:val="12"/>
              </w:rPr>
              <w:t>ga fy25</w:t>
            </w:r>
          </w:p>
        </w:tc>
        <w:tc>
          <w:tcPr>
            <w:tcW w:type="dxa" w:w="1224"/>
          </w:tcPr>
          <w:p>
            <w:pPr>
              <w:spacing w:after="20"/>
              <w:jc w:val="right"/>
            </w:pPr>
            <w:r>
              <w:rPr>
                <w:color w:val="1C3A36"/>
                <w:sz w:val="12"/>
              </w:rPr>
              <w:t>196,577</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general and administrative expenses (note 23)</w:t>
            </w:r>
          </w:p>
        </w:tc>
      </w:tr>
      <w:tr>
        <w:tc>
          <w:tcPr>
            <w:tcW w:type="dxa" w:w="1872"/>
          </w:tcPr>
          <w:p>
            <w:pPr>
              <w:spacing w:after="20"/>
            </w:pPr>
            <w:r>
              <w:rPr>
                <w:color w:val="1C3A36"/>
                <w:sz w:val="12"/>
              </w:rPr>
              <w:t>ga h126</w:t>
            </w:r>
          </w:p>
        </w:tc>
        <w:tc>
          <w:tcPr>
            <w:tcW w:type="dxa" w:w="1224"/>
          </w:tcPr>
          <w:p>
            <w:pPr>
              <w:spacing w:after="20"/>
              <w:jc w:val="right"/>
            </w:pPr>
            <w:r>
              <w:rPr>
                <w:color w:val="1C3A36"/>
                <w:sz w:val="12"/>
              </w:rPr>
              <w:t>96,053</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general and administrative expenses, six months</w:t>
            </w:r>
          </w:p>
        </w:tc>
      </w:tr>
      <w:tr>
        <w:tc>
          <w:tcPr>
            <w:tcW w:type="dxa" w:w="1872"/>
          </w:tcPr>
          <w:p>
            <w:pPr>
              <w:spacing w:after="20"/>
            </w:pPr>
            <w:r>
              <w:rPr>
                <w:color w:val="1C3A36"/>
                <w:sz w:val="12"/>
              </w:rPr>
              <w:t>imp fy23</w:t>
            </w:r>
          </w:p>
        </w:tc>
        <w:tc>
          <w:tcPr>
            <w:tcW w:type="dxa" w:w="1224"/>
          </w:tcPr>
          <w:p>
            <w:pPr>
              <w:spacing w:after="20"/>
              <w:jc w:val="right"/>
            </w:pPr>
            <w:r>
              <w:rPr>
                <w:color w:val="1C3A36"/>
                <w:sz w:val="12"/>
              </w:rPr>
              <w:t>1,731</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impairment loss on property, plant and equipment and intangible assets</w:t>
            </w:r>
          </w:p>
        </w:tc>
      </w:tr>
      <w:tr>
        <w:tc>
          <w:tcPr>
            <w:tcW w:type="dxa" w:w="1872"/>
          </w:tcPr>
          <w:p>
            <w:pPr>
              <w:spacing w:after="20"/>
            </w:pPr>
            <w:r>
              <w:rPr>
                <w:color w:val="1C3A36"/>
                <w:sz w:val="12"/>
              </w:rPr>
              <w:t>imp fy24</w:t>
            </w:r>
          </w:p>
        </w:tc>
        <w:tc>
          <w:tcPr>
            <w:tcW w:type="dxa" w:w="1224"/>
          </w:tcPr>
          <w:p>
            <w:pPr>
              <w:spacing w:after="20"/>
              <w:jc w:val="right"/>
            </w:pPr>
            <w:r>
              <w:rPr>
                <w:color w:val="1C3A36"/>
                <w:sz w:val="12"/>
              </w:rPr>
              <w:t>3,082</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impairment loss on property, plant and equipment and intangible assets</w:t>
            </w:r>
          </w:p>
        </w:tc>
      </w:tr>
      <w:tr>
        <w:tc>
          <w:tcPr>
            <w:tcW w:type="dxa" w:w="1872"/>
          </w:tcPr>
          <w:p>
            <w:pPr>
              <w:spacing w:after="20"/>
            </w:pPr>
            <w:r>
              <w:rPr>
                <w:color w:val="1C3A36"/>
                <w:sz w:val="12"/>
              </w:rPr>
              <w:t>imp fy25</w:t>
            </w:r>
          </w:p>
        </w:tc>
        <w:tc>
          <w:tcPr>
            <w:tcW w:type="dxa" w:w="1224"/>
          </w:tcPr>
          <w:p>
            <w:pPr>
              <w:spacing w:after="20"/>
              <w:jc w:val="right"/>
            </w:pPr>
            <w:r>
              <w:rPr>
                <w:color w:val="1C3A36"/>
                <w:sz w:val="12"/>
              </w:rPr>
              <w:t>1,441</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impairment loss on property, plant and equipment and intangible assets (note 6)</w:t>
            </w:r>
          </w:p>
        </w:tc>
      </w:tr>
      <w:tr>
        <w:tc>
          <w:tcPr>
            <w:tcW w:type="dxa" w:w="1872"/>
          </w:tcPr>
          <w:p>
            <w:pPr>
              <w:spacing w:after="20"/>
            </w:pPr>
            <w:r>
              <w:rPr>
                <w:color w:val="1C3A36"/>
                <w:sz w:val="12"/>
              </w:rPr>
              <w:t>imp h126</w:t>
            </w:r>
          </w:p>
        </w:tc>
        <w:tc>
          <w:tcPr>
            <w:tcW w:type="dxa" w:w="1224"/>
          </w:tcPr>
          <w:p>
            <w:pPr>
              <w:spacing w:after="20"/>
              <w:jc w:val="right"/>
            </w:pPr>
            <w:r>
              <w:rPr>
                <w:color w:val="1C3A36"/>
                <w:sz w:val="12"/>
              </w:rPr>
              <w:t>6,436</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impairment loss on property, plant and equipment, in respect of assets damaged in the 5 April 2026 incident</w:t>
            </w:r>
          </w:p>
        </w:tc>
      </w:tr>
      <w:tr>
        <w:tc>
          <w:tcPr>
            <w:tcW w:type="dxa" w:w="1872"/>
          </w:tcPr>
          <w:p>
            <w:pPr>
              <w:spacing w:after="20"/>
            </w:pPr>
            <w:r>
              <w:rPr>
                <w:color w:val="1C3A36"/>
                <w:sz w:val="12"/>
              </w:rPr>
              <w:t>intang fy23</w:t>
            </w:r>
          </w:p>
        </w:tc>
        <w:tc>
          <w:tcPr>
            <w:tcW w:type="dxa" w:w="1224"/>
          </w:tcPr>
          <w:p>
            <w:pPr>
              <w:spacing w:after="20"/>
              <w:jc w:val="right"/>
            </w:pPr>
            <w:r>
              <w:rPr>
                <w:color w:val="1C3A36"/>
                <w:sz w:val="12"/>
              </w:rPr>
              <w:t>60,126</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intangible assets, comparative</w:t>
            </w:r>
          </w:p>
        </w:tc>
      </w:tr>
      <w:tr>
        <w:tc>
          <w:tcPr>
            <w:tcW w:type="dxa" w:w="1872"/>
          </w:tcPr>
          <w:p>
            <w:pPr>
              <w:spacing w:after="20"/>
            </w:pPr>
            <w:r>
              <w:rPr>
                <w:color w:val="1C3A36"/>
                <w:sz w:val="12"/>
              </w:rPr>
              <w:t>intang fy24</w:t>
            </w:r>
          </w:p>
        </w:tc>
        <w:tc>
          <w:tcPr>
            <w:tcW w:type="dxa" w:w="1224"/>
          </w:tcPr>
          <w:p>
            <w:pPr>
              <w:spacing w:after="20"/>
              <w:jc w:val="right"/>
            </w:pPr>
            <w:r>
              <w:rPr>
                <w:color w:val="1C3A36"/>
                <w:sz w:val="12"/>
              </w:rPr>
              <w:t>60,643</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intangible assets</w:t>
            </w:r>
          </w:p>
        </w:tc>
      </w:tr>
      <w:tr>
        <w:tc>
          <w:tcPr>
            <w:tcW w:type="dxa" w:w="1872"/>
          </w:tcPr>
          <w:p>
            <w:pPr>
              <w:spacing w:after="20"/>
            </w:pPr>
            <w:r>
              <w:rPr>
                <w:color w:val="1C3A36"/>
                <w:sz w:val="12"/>
              </w:rPr>
              <w:t>intang fy25</w:t>
            </w:r>
          </w:p>
        </w:tc>
        <w:tc>
          <w:tcPr>
            <w:tcW w:type="dxa" w:w="1224"/>
          </w:tcPr>
          <w:p>
            <w:pPr>
              <w:spacing w:after="20"/>
              <w:jc w:val="right"/>
            </w:pPr>
            <w:r>
              <w:rPr>
                <w:color w:val="1C3A36"/>
                <w:sz w:val="12"/>
              </w:rPr>
              <w:t>104,573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intangible assets (note 7)</w:t>
            </w:r>
          </w:p>
        </w:tc>
      </w:tr>
      <w:tr>
        <w:tc>
          <w:tcPr>
            <w:tcW w:type="dxa" w:w="1872"/>
          </w:tcPr>
          <w:p>
            <w:pPr>
              <w:spacing w:after="20"/>
            </w:pPr>
            <w:r>
              <w:rPr>
                <w:color w:val="1C3A36"/>
                <w:sz w:val="12"/>
              </w:rPr>
              <w:t>intpaid fy25</w:t>
            </w:r>
          </w:p>
        </w:tc>
        <w:tc>
          <w:tcPr>
            <w:tcW w:type="dxa" w:w="1224"/>
          </w:tcPr>
          <w:p>
            <w:pPr>
              <w:spacing w:after="20"/>
              <w:jc w:val="right"/>
            </w:pPr>
            <w:r>
              <w:rPr>
                <w:color w:val="1C3A36"/>
                <w:sz w:val="12"/>
              </w:rPr>
              <w:t>161,769</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payment of interest on bank loan</w:t>
            </w:r>
          </w:p>
        </w:tc>
      </w:tr>
      <w:tr>
        <w:tc>
          <w:tcPr>
            <w:tcW w:type="dxa" w:w="1872"/>
          </w:tcPr>
          <w:p>
            <w:pPr>
              <w:spacing w:after="20"/>
            </w:pPr>
            <w:r>
              <w:rPr>
                <w:color w:val="1C3A36"/>
                <w:sz w:val="12"/>
              </w:rPr>
              <w:t>inv fy23</w:t>
            </w:r>
          </w:p>
        </w:tc>
        <w:tc>
          <w:tcPr>
            <w:tcW w:type="dxa" w:w="1224"/>
          </w:tcPr>
          <w:p>
            <w:pPr>
              <w:spacing w:after="20"/>
              <w:jc w:val="right"/>
            </w:pPr>
            <w:r>
              <w:rPr>
                <w:color w:val="1C3A36"/>
                <w:sz w:val="12"/>
              </w:rPr>
              <w:t>645,184</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inventories, comparative</w:t>
            </w:r>
          </w:p>
        </w:tc>
      </w:tr>
      <w:tr>
        <w:tc>
          <w:tcPr>
            <w:tcW w:type="dxa" w:w="1872"/>
          </w:tcPr>
          <w:p>
            <w:pPr>
              <w:spacing w:after="20"/>
            </w:pPr>
            <w:r>
              <w:rPr>
                <w:color w:val="1C3A36"/>
                <w:sz w:val="12"/>
              </w:rPr>
              <w:t>inv fy24</w:t>
            </w:r>
          </w:p>
        </w:tc>
        <w:tc>
          <w:tcPr>
            <w:tcW w:type="dxa" w:w="1224"/>
          </w:tcPr>
          <w:p>
            <w:pPr>
              <w:spacing w:after="20"/>
              <w:jc w:val="right"/>
            </w:pPr>
            <w:r>
              <w:rPr>
                <w:color w:val="1C3A36"/>
                <w:sz w:val="12"/>
              </w:rPr>
              <w:t>640,505</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inventories</w:t>
            </w:r>
          </w:p>
        </w:tc>
      </w:tr>
      <w:tr>
        <w:tc>
          <w:tcPr>
            <w:tcW w:type="dxa" w:w="1872"/>
          </w:tcPr>
          <w:p>
            <w:pPr>
              <w:spacing w:after="20"/>
            </w:pPr>
            <w:r>
              <w:rPr>
                <w:color w:val="1C3A36"/>
                <w:sz w:val="12"/>
              </w:rPr>
              <w:t>inv fy25</w:t>
            </w:r>
          </w:p>
        </w:tc>
        <w:tc>
          <w:tcPr>
            <w:tcW w:type="dxa" w:w="1224"/>
          </w:tcPr>
          <w:p>
            <w:pPr>
              <w:spacing w:after="20"/>
              <w:jc w:val="right"/>
            </w:pPr>
            <w:r>
              <w:rPr>
                <w:color w:val="1C3A36"/>
                <w:sz w:val="12"/>
              </w:rPr>
              <w:t>523,702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inventories (note 9)</w:t>
            </w:r>
          </w:p>
        </w:tc>
      </w:tr>
      <w:tr>
        <w:tc>
          <w:tcPr>
            <w:tcW w:type="dxa" w:w="1872"/>
          </w:tcPr>
          <w:p>
            <w:pPr>
              <w:spacing w:after="20"/>
            </w:pPr>
            <w:r>
              <w:rPr>
                <w:color w:val="1C3A36"/>
                <w:sz w:val="12"/>
              </w:rPr>
              <w:t>kd fee t1</w:t>
            </w:r>
          </w:p>
        </w:tc>
        <w:tc>
          <w:tcPr>
            <w:tcW w:type="dxa" w:w="1224"/>
          </w:tcPr>
          <w:p>
            <w:pPr>
              <w:spacing w:after="20"/>
              <w:jc w:val="right"/>
            </w:pPr>
            <w:r>
              <w:rPr>
                <w:color w:val="1C3A36"/>
                <w:sz w:val="12"/>
              </w:rPr>
              <w:t>0.0008</w:t>
            </w:r>
          </w:p>
        </w:tc>
        <w:tc>
          <w:tcPr>
            <w:tcW w:type="dxa" w:w="1008"/>
          </w:tcPr>
          <w:p>
            <w:pPr>
              <w:spacing w:after="20"/>
              <w:jc w:val="right"/>
            </w:pPr>
            <w:r>
              <w:rPr>
                <w:color w:val="1C3A36"/>
                <w:sz w:val="12"/>
              </w:rPr>
              <w:t>2026-04-09</w:t>
            </w:r>
          </w:p>
        </w:tc>
        <w:tc>
          <w:tcPr>
            <w:tcW w:type="dxa" w:w="5688"/>
          </w:tcPr>
          <w:p>
            <w:pPr>
              <w:spacing w:after="20"/>
              <w:jc w:val="right"/>
            </w:pPr>
            <w:r>
              <w:rPr>
                <w:color w:val="1C3A36"/>
                <w:sz w:val="12"/>
              </w:rPr>
              <w:t>Borouge plc condensed consolidated interim financial statements for the six months ended 30 June 2026 (unaudited), reviewed, note 11(iv)(a) — annualised participation fee on Term Facility 1</w:t>
            </w:r>
          </w:p>
        </w:tc>
      </w:tr>
      <w:tr>
        <w:tc>
          <w:tcPr>
            <w:tcW w:type="dxa" w:w="1872"/>
          </w:tcPr>
          <w:p>
            <w:pPr>
              <w:spacing w:after="20"/>
            </w:pPr>
            <w:r>
              <w:rPr>
                <w:color w:val="1C3A36"/>
                <w:sz w:val="12"/>
              </w:rPr>
              <w:t>kd fee t2</w:t>
            </w:r>
          </w:p>
        </w:tc>
        <w:tc>
          <w:tcPr>
            <w:tcW w:type="dxa" w:w="1224"/>
          </w:tcPr>
          <w:p>
            <w:pPr>
              <w:spacing w:after="20"/>
              <w:jc w:val="right"/>
            </w:pPr>
            <w:r>
              <w:rPr>
                <w:color w:val="1C3A36"/>
                <w:sz w:val="12"/>
              </w:rPr>
              <w:t>0.0008</w:t>
            </w:r>
          </w:p>
        </w:tc>
        <w:tc>
          <w:tcPr>
            <w:tcW w:type="dxa" w:w="1008"/>
          </w:tcPr>
          <w:p>
            <w:pPr>
              <w:spacing w:after="20"/>
              <w:jc w:val="right"/>
            </w:pPr>
            <w:r>
              <w:rPr>
                <w:color w:val="1C3A36"/>
                <w:sz w:val="12"/>
              </w:rPr>
              <w:t>2026-04-09</w:t>
            </w:r>
          </w:p>
        </w:tc>
        <w:tc>
          <w:tcPr>
            <w:tcW w:type="dxa" w:w="5688"/>
          </w:tcPr>
          <w:p>
            <w:pPr>
              <w:spacing w:after="20"/>
              <w:jc w:val="right"/>
            </w:pPr>
            <w:r>
              <w:rPr>
                <w:color w:val="1C3A36"/>
                <w:sz w:val="12"/>
              </w:rPr>
              <w:t>Borouge plc condensed consolidated interim financial statements for the six months ended 30 June 2026 (unaudited), reviewed, note 11(iv)(a) — annualised participation fee on Term Facility 2</w:t>
            </w:r>
          </w:p>
        </w:tc>
      </w:tr>
      <w:tr>
        <w:tc>
          <w:tcPr>
            <w:tcW w:type="dxa" w:w="1872"/>
          </w:tcPr>
          <w:p>
            <w:pPr>
              <w:spacing w:after="20"/>
            </w:pPr>
            <w:r>
              <w:rPr>
                <w:color w:val="1C3A36"/>
                <w:sz w:val="12"/>
              </w:rPr>
              <w:t>kd margin old</w:t>
            </w:r>
          </w:p>
        </w:tc>
        <w:tc>
          <w:tcPr>
            <w:tcW w:type="dxa" w:w="1224"/>
          </w:tcPr>
          <w:p>
            <w:pPr>
              <w:spacing w:after="20"/>
              <w:jc w:val="right"/>
            </w:pPr>
            <w:r>
              <w:rPr>
                <w:color w:val="1C3A36"/>
                <w:sz w:val="12"/>
              </w:rPr>
              <w:t>0.0090</w:t>
            </w:r>
          </w:p>
        </w:tc>
        <w:tc>
          <w:tcPr>
            <w:tcW w:type="dxa" w:w="1008"/>
          </w:tcPr>
          <w:p>
            <w:pPr>
              <w:spacing w:after="20"/>
              <w:jc w:val="right"/>
            </w:pPr>
            <w:r>
              <w:rPr>
                <w:color w:val="1C3A36"/>
                <w:sz w:val="12"/>
              </w:rPr>
              <w:t>2021-12-19</w:t>
            </w:r>
          </w:p>
        </w:tc>
        <w:tc>
          <w:tcPr>
            <w:tcW w:type="dxa" w:w="5688"/>
          </w:tcPr>
          <w:p>
            <w:pPr>
              <w:spacing w:after="20"/>
              <w:jc w:val="right"/>
            </w:pPr>
            <w:r>
              <w:rPr>
                <w:color w:val="1C3A36"/>
                <w:sz w:val="12"/>
              </w:rPr>
              <w:t>Borouge plc audited consolidated financial statements for the year ended 31 December 2025 (statutory), Ernst &amp; Young, note 17 — the superseded external commercial term facility carried SOFR + 0.90%; it was arranged with a consortium of banks on 19 December 2021 and was repaid in full on 9 April 2026, so it is the last ARM'S-LENGTH price Borouge paid for term debt</w:t>
            </w:r>
          </w:p>
        </w:tc>
      </w:tr>
      <w:tr>
        <w:tc>
          <w:tcPr>
            <w:tcW w:type="dxa" w:w="1872"/>
          </w:tcPr>
          <w:p>
            <w:pPr>
              <w:spacing w:after="20"/>
            </w:pPr>
            <w:r>
              <w:rPr>
                <w:color w:val="1C3A36"/>
                <w:sz w:val="12"/>
              </w:rPr>
              <w:t>kd margin t1</w:t>
            </w:r>
          </w:p>
        </w:tc>
        <w:tc>
          <w:tcPr>
            <w:tcW w:type="dxa" w:w="1224"/>
          </w:tcPr>
          <w:p>
            <w:pPr>
              <w:spacing w:after="20"/>
              <w:jc w:val="right"/>
            </w:pPr>
            <w:r>
              <w:rPr>
                <w:color w:val="1C3A36"/>
                <w:sz w:val="12"/>
              </w:rPr>
              <w:t>0.0073</w:t>
            </w:r>
          </w:p>
        </w:tc>
        <w:tc>
          <w:tcPr>
            <w:tcW w:type="dxa" w:w="1008"/>
          </w:tcPr>
          <w:p>
            <w:pPr>
              <w:spacing w:after="20"/>
              <w:jc w:val="right"/>
            </w:pPr>
            <w:r>
              <w:rPr>
                <w:color w:val="1C3A36"/>
                <w:sz w:val="12"/>
              </w:rPr>
              <w:t>2026-04-09</w:t>
            </w:r>
          </w:p>
        </w:tc>
        <w:tc>
          <w:tcPr>
            <w:tcW w:type="dxa" w:w="5688"/>
          </w:tcPr>
          <w:p>
            <w:pPr>
              <w:spacing w:after="20"/>
              <w:jc w:val="right"/>
            </w:pPr>
            <w:r>
              <w:rPr>
                <w:color w:val="1C3A36"/>
                <w:sz w:val="12"/>
              </w:rPr>
              <w:t>Borouge plc condensed consolidated interim financial statements for the six months ended 30 June 2026 (unaudited), reviewed, note 11(iv)(a) — Term Facility 1, USD 1,500 million, 3 years from inception, reference agreement signed 9 April 2026, interest at SOFR + 0.725% plus an annualised participation fee of 0.08% of loan value</w:t>
            </w:r>
          </w:p>
        </w:tc>
      </w:tr>
      <w:tr>
        <w:tc>
          <w:tcPr>
            <w:tcW w:type="dxa" w:w="1872"/>
          </w:tcPr>
          <w:p>
            <w:pPr>
              <w:spacing w:after="20"/>
            </w:pPr>
            <w:r>
              <w:rPr>
                <w:color w:val="1C3A36"/>
                <w:sz w:val="12"/>
              </w:rPr>
              <w:t>kd margin t2</w:t>
            </w:r>
          </w:p>
        </w:tc>
        <w:tc>
          <w:tcPr>
            <w:tcW w:type="dxa" w:w="1224"/>
          </w:tcPr>
          <w:p>
            <w:pPr>
              <w:spacing w:after="20"/>
              <w:jc w:val="right"/>
            </w:pPr>
            <w:r>
              <w:rPr>
                <w:color w:val="1C3A36"/>
                <w:sz w:val="12"/>
              </w:rPr>
              <w:t>0.0088</w:t>
            </w:r>
          </w:p>
        </w:tc>
        <w:tc>
          <w:tcPr>
            <w:tcW w:type="dxa" w:w="1008"/>
          </w:tcPr>
          <w:p>
            <w:pPr>
              <w:spacing w:after="20"/>
              <w:jc w:val="right"/>
            </w:pPr>
            <w:r>
              <w:rPr>
                <w:color w:val="1C3A36"/>
                <w:sz w:val="12"/>
              </w:rPr>
              <w:t>2026-04-09</w:t>
            </w:r>
          </w:p>
        </w:tc>
        <w:tc>
          <w:tcPr>
            <w:tcW w:type="dxa" w:w="5688"/>
          </w:tcPr>
          <w:p>
            <w:pPr>
              <w:spacing w:after="20"/>
              <w:jc w:val="right"/>
            </w:pPr>
            <w:r>
              <w:rPr>
                <w:color w:val="1C3A36"/>
                <w:sz w:val="12"/>
              </w:rPr>
              <w:t>Borouge plc condensed consolidated interim financial statements for the six months ended 30 June 2026 (unaudited), reviewed, note 11(iv)(a) — Term Facility 2, USD 1,300 million, 5 years from inception, agreement signed 9 April 2026, interest at SOFR + 0.875% plus an annualised participation fee of 0.078%</w:t>
            </w:r>
          </w:p>
        </w:tc>
      </w:tr>
      <w:tr>
        <w:tc>
          <w:tcPr>
            <w:tcW w:type="dxa" w:w="1872"/>
          </w:tcPr>
          <w:p>
            <w:pPr>
              <w:spacing w:after="20"/>
            </w:pPr>
            <w:r>
              <w:rPr>
                <w:color w:val="1C3A36"/>
                <w:sz w:val="12"/>
              </w:rPr>
              <w:t>lease add xlpe2</w:t>
            </w:r>
          </w:p>
        </w:tc>
        <w:tc>
          <w:tcPr>
            <w:tcW w:type="dxa" w:w="1224"/>
          </w:tcPr>
          <w:p>
            <w:pPr>
              <w:spacing w:after="20"/>
              <w:jc w:val="right"/>
            </w:pPr>
            <w:r>
              <w:rPr>
                <w:color w:val="1C3A36"/>
                <w:sz w:val="12"/>
              </w:rPr>
              <w:t>56,500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right-of-use asset and corresponding lease liability of approximately USD 56.5 million recognised on the commencement of commercial operations at the XLPE 2 plant</w:t>
            </w:r>
          </w:p>
        </w:tc>
      </w:tr>
      <w:tr>
        <w:tc>
          <w:tcPr>
            <w:tcW w:type="dxa" w:w="1872"/>
          </w:tcPr>
          <w:p>
            <w:pPr>
              <w:spacing w:after="20"/>
            </w:pPr>
            <w:r>
              <w:rPr>
                <w:color w:val="1C3A36"/>
                <w:sz w:val="12"/>
              </w:rPr>
              <w:t>lease c fy25</w:t>
            </w:r>
          </w:p>
        </w:tc>
        <w:tc>
          <w:tcPr>
            <w:tcW w:type="dxa" w:w="1224"/>
          </w:tcPr>
          <w:p>
            <w:pPr>
              <w:spacing w:after="20"/>
              <w:jc w:val="right"/>
            </w:pPr>
            <w:r>
              <w:rPr>
                <w:color w:val="1C3A36"/>
                <w:sz w:val="12"/>
              </w:rPr>
              <w:t>9,528</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lease liabilities, current (note 8c)</w:t>
            </w:r>
          </w:p>
        </w:tc>
      </w:tr>
      <w:tr>
        <w:tc>
          <w:tcPr>
            <w:tcW w:type="dxa" w:w="1872"/>
          </w:tcPr>
          <w:p>
            <w:pPr>
              <w:spacing w:after="20"/>
            </w:pPr>
            <w:r>
              <w:rPr>
                <w:color w:val="1C3A36"/>
                <w:sz w:val="12"/>
              </w:rPr>
              <w:t>lease nc fy25</w:t>
            </w:r>
          </w:p>
        </w:tc>
        <w:tc>
          <w:tcPr>
            <w:tcW w:type="dxa" w:w="1224"/>
          </w:tcPr>
          <w:p>
            <w:pPr>
              <w:spacing w:after="20"/>
              <w:jc w:val="right"/>
            </w:pPr>
            <w:r>
              <w:rPr>
                <w:color w:val="1C3A36"/>
                <w:sz w:val="12"/>
              </w:rPr>
              <w:t>156,652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lease liabilities, non-current (note 8c)</w:t>
            </w:r>
          </w:p>
        </w:tc>
      </w:tr>
      <w:tr>
        <w:tc>
          <w:tcPr>
            <w:tcW w:type="dxa" w:w="1872"/>
          </w:tcPr>
          <w:p>
            <w:pPr>
              <w:spacing w:after="20"/>
            </w:pPr>
            <w:r>
              <w:rPr>
                <w:color w:val="1C3A36"/>
                <w:sz w:val="12"/>
              </w:rPr>
              <w:t>loans emp c fy25</w:t>
            </w:r>
          </w:p>
        </w:tc>
        <w:tc>
          <w:tcPr>
            <w:tcW w:type="dxa" w:w="1224"/>
          </w:tcPr>
          <w:p>
            <w:pPr>
              <w:spacing w:after="20"/>
              <w:jc w:val="right"/>
            </w:pPr>
            <w:r>
              <w:rPr>
                <w:color w:val="1C3A36"/>
                <w:sz w:val="12"/>
              </w:rPr>
              <w:t>13,245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loans to employees, current</w:t>
            </w:r>
          </w:p>
        </w:tc>
      </w:tr>
      <w:tr>
        <w:tc>
          <w:tcPr>
            <w:tcW w:type="dxa" w:w="1872"/>
          </w:tcPr>
          <w:p>
            <w:pPr>
              <w:spacing w:after="20"/>
            </w:pPr>
            <w:r>
              <w:rPr>
                <w:color w:val="1C3A36"/>
                <w:sz w:val="12"/>
              </w:rPr>
              <w:t>loans emp nc fy25</w:t>
            </w:r>
          </w:p>
        </w:tc>
        <w:tc>
          <w:tcPr>
            <w:tcW w:type="dxa" w:w="1224"/>
          </w:tcPr>
          <w:p>
            <w:pPr>
              <w:spacing w:after="20"/>
              <w:jc w:val="right"/>
            </w:pPr>
            <w:r>
              <w:rPr>
                <w:color w:val="1C3A36"/>
                <w:sz w:val="12"/>
              </w:rPr>
              <w:t>21,905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loans to employees, non-current</w:t>
            </w:r>
          </w:p>
        </w:tc>
      </w:tr>
      <w:tr>
        <w:tc>
          <w:tcPr>
            <w:tcW w:type="dxa" w:w="1872"/>
          </w:tcPr>
          <w:p>
            <w:pPr>
              <w:spacing w:after="20"/>
            </w:pPr>
            <w:r>
              <w:rPr>
                <w:color w:val="1C3A36"/>
                <w:sz w:val="12"/>
              </w:rPr>
              <w:t>nci bs fy25</w:t>
            </w:r>
          </w:p>
        </w:tc>
        <w:tc>
          <w:tcPr>
            <w:tcW w:type="dxa" w:w="1224"/>
          </w:tcPr>
          <w:p>
            <w:pPr>
              <w:spacing w:after="20"/>
              <w:jc w:val="right"/>
            </w:pPr>
            <w:r>
              <w:rPr>
                <w:color w:val="1C3A36"/>
                <w:sz w:val="12"/>
              </w:rPr>
              <w:t>26,832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non-controlling interests</w:t>
            </w:r>
          </w:p>
        </w:tc>
      </w:tr>
      <w:tr>
        <w:tc>
          <w:tcPr>
            <w:tcW w:type="dxa" w:w="1872"/>
          </w:tcPr>
          <w:p>
            <w:pPr>
              <w:spacing w:after="20"/>
            </w:pPr>
            <w:r>
              <w:rPr>
                <w:color w:val="1C3A36"/>
                <w:sz w:val="12"/>
              </w:rPr>
              <w:t>nci fy25</w:t>
            </w:r>
          </w:p>
        </w:tc>
        <w:tc>
          <w:tcPr>
            <w:tcW w:type="dxa" w:w="1224"/>
          </w:tcPr>
          <w:p>
            <w:pPr>
              <w:spacing w:after="20"/>
              <w:jc w:val="right"/>
            </w:pPr>
            <w:r>
              <w:rPr>
                <w:color w:val="1C3A36"/>
                <w:sz w:val="12"/>
              </w:rPr>
              <w:t>9,952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profit attributable to non-controlling interests</w:t>
            </w:r>
          </w:p>
        </w:tc>
      </w:tr>
      <w:tr>
        <w:tc>
          <w:tcPr>
            <w:tcW w:type="dxa" w:w="1872"/>
          </w:tcPr>
          <w:p>
            <w:pPr>
              <w:spacing w:after="20"/>
            </w:pPr>
            <w:r>
              <w:rPr>
                <w:color w:val="1C3A36"/>
                <w:sz w:val="12"/>
              </w:rPr>
              <w:t>netdebt fy25</w:t>
            </w:r>
          </w:p>
        </w:tc>
        <w:tc>
          <w:tcPr>
            <w:tcW w:type="dxa" w:w="1224"/>
          </w:tcPr>
          <w:p>
            <w:pPr>
              <w:spacing w:after="20"/>
              <w:jc w:val="right"/>
            </w:pPr>
            <w:r>
              <w:rPr>
                <w:color w:val="1C3A36"/>
                <w:sz w:val="12"/>
              </w:rPr>
              <w:t>2,696,000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net debt of USD 2,696 million</w:t>
            </w:r>
          </w:p>
        </w:tc>
      </w:tr>
      <w:tr>
        <w:tc>
          <w:tcPr>
            <w:tcW w:type="dxa" w:w="1872"/>
          </w:tcPr>
          <w:p>
            <w:pPr>
              <w:spacing w:after="20"/>
            </w:pPr>
            <w:r>
              <w:rPr>
                <w:color w:val="1C3A36"/>
                <w:sz w:val="12"/>
              </w:rPr>
              <w:t>netdebt h126</w:t>
            </w:r>
          </w:p>
        </w:tc>
        <w:tc>
          <w:tcPr>
            <w:tcW w:type="dxa" w:w="1224"/>
          </w:tcPr>
          <w:p>
            <w:pPr>
              <w:spacing w:after="20"/>
              <w:jc w:val="right"/>
            </w:pPr>
            <w:r>
              <w:rPr>
                <w:color w:val="1C3A36"/>
                <w:sz w:val="12"/>
              </w:rPr>
              <w:t>3,275,000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net debt of USD 3,275 million as at 30 June 2026, against USD 2,694 million at 30 June 2025</w:t>
            </w:r>
          </w:p>
        </w:tc>
      </w:tr>
      <w:tr>
        <w:tc>
          <w:tcPr>
            <w:tcW w:type="dxa" w:w="1872"/>
          </w:tcPr>
          <w:p>
            <w:pPr>
              <w:spacing w:after="20"/>
            </w:pPr>
            <w:r>
              <w:rPr>
                <w:color w:val="1C3A36"/>
                <w:sz w:val="12"/>
              </w:rPr>
              <w:t>othinc fy23</w:t>
            </w:r>
          </w:p>
        </w:tc>
        <w:tc>
          <w:tcPr>
            <w:tcW w:type="dxa" w:w="1224"/>
          </w:tcPr>
          <w:p>
            <w:pPr>
              <w:spacing w:after="20"/>
              <w:jc w:val="right"/>
            </w:pPr>
            <w:r>
              <w:rPr>
                <w:color w:val="1C3A36"/>
                <w:sz w:val="12"/>
              </w:rPr>
              <w:t>17,350</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other income</w:t>
            </w:r>
          </w:p>
        </w:tc>
      </w:tr>
      <w:tr>
        <w:tc>
          <w:tcPr>
            <w:tcW w:type="dxa" w:w="1872"/>
          </w:tcPr>
          <w:p>
            <w:pPr>
              <w:spacing w:after="20"/>
            </w:pPr>
            <w:r>
              <w:rPr>
                <w:color w:val="1C3A36"/>
                <w:sz w:val="12"/>
              </w:rPr>
              <w:t>othinc fy24</w:t>
            </w:r>
          </w:p>
        </w:tc>
        <w:tc>
          <w:tcPr>
            <w:tcW w:type="dxa" w:w="1224"/>
          </w:tcPr>
          <w:p>
            <w:pPr>
              <w:spacing w:after="20"/>
              <w:jc w:val="right"/>
            </w:pPr>
            <w:r>
              <w:rPr>
                <w:color w:val="1C3A36"/>
                <w:sz w:val="12"/>
              </w:rPr>
              <w:t>53,951</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other income</w:t>
            </w:r>
          </w:p>
        </w:tc>
      </w:tr>
      <w:tr>
        <w:tc>
          <w:tcPr>
            <w:tcW w:type="dxa" w:w="1872"/>
          </w:tcPr>
          <w:p>
            <w:pPr>
              <w:spacing w:after="20"/>
            </w:pPr>
            <w:r>
              <w:rPr>
                <w:color w:val="1C3A36"/>
                <w:sz w:val="12"/>
              </w:rPr>
              <w:t>othinc fy25</w:t>
            </w:r>
          </w:p>
        </w:tc>
        <w:tc>
          <w:tcPr>
            <w:tcW w:type="dxa" w:w="1224"/>
          </w:tcPr>
          <w:p>
            <w:pPr>
              <w:spacing w:after="20"/>
              <w:jc w:val="right"/>
            </w:pPr>
            <w:r>
              <w:rPr>
                <w:color w:val="1C3A36"/>
                <w:sz w:val="12"/>
              </w:rPr>
              <w:t>26,321</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other income (note 22)</w:t>
            </w:r>
          </w:p>
        </w:tc>
      </w:tr>
      <w:tr>
        <w:tc>
          <w:tcPr>
            <w:tcW w:type="dxa" w:w="1872"/>
          </w:tcPr>
          <w:p>
            <w:pPr>
              <w:spacing w:after="20"/>
            </w:pPr>
            <w:r>
              <w:rPr>
                <w:color w:val="1C3A36"/>
                <w:sz w:val="12"/>
              </w:rPr>
              <w:t>othinc h126</w:t>
            </w:r>
          </w:p>
        </w:tc>
        <w:tc>
          <w:tcPr>
            <w:tcW w:type="dxa" w:w="1224"/>
          </w:tcPr>
          <w:p>
            <w:pPr>
              <w:spacing w:after="20"/>
              <w:jc w:val="right"/>
            </w:pPr>
            <w:r>
              <w:rPr>
                <w:color w:val="1C3A36"/>
                <w:sz w:val="12"/>
              </w:rPr>
              <w:t>37,190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other income, six months, including approximately USD 25 million pre-tax of insurance claim proceeds relating to the regional geopolitical disruption</w:t>
            </w:r>
          </w:p>
        </w:tc>
      </w:tr>
      <w:tr>
        <w:tc>
          <w:tcPr>
            <w:tcW w:type="dxa" w:w="1872"/>
          </w:tcPr>
          <w:p>
            <w:pPr>
              <w:spacing w:after="20"/>
            </w:pPr>
            <w:r>
              <w:rPr>
                <w:color w:val="1C3A36"/>
                <w:sz w:val="12"/>
              </w:rPr>
              <w:t>othprod fy23</w:t>
            </w:r>
          </w:p>
        </w:tc>
        <w:tc>
          <w:tcPr>
            <w:tcW w:type="dxa" w:w="1224"/>
          </w:tcPr>
          <w:p>
            <w:pPr>
              <w:spacing w:after="20"/>
              <w:jc w:val="right"/>
            </w:pPr>
            <w:r>
              <w:rPr>
                <w:color w:val="1C3A36"/>
                <w:sz w:val="12"/>
              </w:rPr>
              <w:t>1,704</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2023 Management Discussion &amp; Analysis — other variable and fixed production costs, FY2023, USD million</w:t>
            </w:r>
          </w:p>
        </w:tc>
      </w:tr>
      <w:tr>
        <w:tc>
          <w:tcPr>
            <w:tcW w:type="dxa" w:w="1872"/>
          </w:tcPr>
          <w:p>
            <w:pPr>
              <w:spacing w:after="20"/>
            </w:pPr>
            <w:r>
              <w:rPr>
                <w:color w:val="1C3A36"/>
                <w:sz w:val="12"/>
              </w:rPr>
              <w:t>othprod fy24</w:t>
            </w:r>
          </w:p>
        </w:tc>
        <w:tc>
          <w:tcPr>
            <w:tcW w:type="dxa" w:w="1224"/>
          </w:tcPr>
          <w:p>
            <w:pPr>
              <w:spacing w:after="20"/>
              <w:jc w:val="right"/>
            </w:pPr>
            <w:r>
              <w:rPr>
                <w:color w:val="1C3A36"/>
                <w:sz w:val="12"/>
              </w:rPr>
              <w:t>1,659</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other variable and fixed production costs, FY2024 comparative, USD million</w:t>
            </w:r>
          </w:p>
        </w:tc>
      </w:tr>
      <w:tr>
        <w:tc>
          <w:tcPr>
            <w:tcW w:type="dxa" w:w="1872"/>
          </w:tcPr>
          <w:p>
            <w:pPr>
              <w:spacing w:after="20"/>
            </w:pPr>
            <w:r>
              <w:rPr>
                <w:color w:val="1C3A36"/>
                <w:sz w:val="12"/>
              </w:rPr>
              <w:t>othprod fy25</w:t>
            </w:r>
          </w:p>
        </w:tc>
        <w:tc>
          <w:tcPr>
            <w:tcW w:type="dxa" w:w="1224"/>
          </w:tcPr>
          <w:p>
            <w:pPr>
              <w:spacing w:after="20"/>
              <w:jc w:val="right"/>
            </w:pPr>
            <w:r>
              <w:rPr>
                <w:color w:val="1C3A36"/>
                <w:sz w:val="12"/>
              </w:rPr>
              <w:t>1,804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other variable and fixed production costs, FY2025, USD million</w:t>
            </w:r>
          </w:p>
        </w:tc>
      </w:tr>
      <w:tr>
        <w:tc>
          <w:tcPr>
            <w:tcW w:type="dxa" w:w="1872"/>
          </w:tcPr>
          <w:p>
            <w:pPr>
              <w:spacing w:after="20"/>
            </w:pPr>
            <w:r>
              <w:rPr>
                <w:color w:val="1C3A36"/>
                <w:sz w:val="12"/>
              </w:rPr>
              <w:t>othprod h126</w:t>
            </w:r>
          </w:p>
        </w:tc>
        <w:tc>
          <w:tcPr>
            <w:tcW w:type="dxa" w:w="1224"/>
          </w:tcPr>
          <w:p>
            <w:pPr>
              <w:spacing w:after="20"/>
              <w:jc w:val="right"/>
            </w:pPr>
            <w:r>
              <w:rPr>
                <w:color w:val="1C3A36"/>
                <w:sz w:val="12"/>
              </w:rPr>
              <w:t>676</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other variable and fixed production costs, H1 2026, USD million</w:t>
            </w:r>
          </w:p>
        </w:tc>
      </w:tr>
      <w:tr>
        <w:tc>
          <w:tcPr>
            <w:tcW w:type="dxa" w:w="1872"/>
          </w:tcPr>
          <w:p>
            <w:pPr>
              <w:spacing w:after="20"/>
            </w:pPr>
            <w:r>
              <w:rPr>
                <w:color w:val="1C3A36"/>
                <w:sz w:val="12"/>
              </w:rPr>
              <w:t>pat fy23</w:t>
            </w:r>
          </w:p>
        </w:tc>
        <w:tc>
          <w:tcPr>
            <w:tcW w:type="dxa" w:w="1224"/>
          </w:tcPr>
          <w:p>
            <w:pPr>
              <w:spacing w:after="20"/>
              <w:jc w:val="right"/>
            </w:pPr>
            <w:r>
              <w:rPr>
                <w:color w:val="1C3A36"/>
                <w:sz w:val="12"/>
              </w:rPr>
              <w:t>1,000,670</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profit for the year</w:t>
            </w:r>
          </w:p>
        </w:tc>
      </w:tr>
      <w:tr>
        <w:tc>
          <w:tcPr>
            <w:tcW w:type="dxa" w:w="1872"/>
          </w:tcPr>
          <w:p>
            <w:pPr>
              <w:spacing w:after="20"/>
            </w:pPr>
            <w:r>
              <w:rPr>
                <w:color w:val="1C3A36"/>
                <w:sz w:val="12"/>
              </w:rPr>
              <w:t>pat fy24</w:t>
            </w:r>
          </w:p>
        </w:tc>
        <w:tc>
          <w:tcPr>
            <w:tcW w:type="dxa" w:w="1224"/>
          </w:tcPr>
          <w:p>
            <w:pPr>
              <w:spacing w:after="20"/>
              <w:jc w:val="right"/>
            </w:pPr>
            <w:r>
              <w:rPr>
                <w:color w:val="1C3A36"/>
                <w:sz w:val="12"/>
              </w:rPr>
              <w:t>1,238,948</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profit for the year</w:t>
            </w:r>
          </w:p>
        </w:tc>
      </w:tr>
      <w:tr>
        <w:tc>
          <w:tcPr>
            <w:tcW w:type="dxa" w:w="1872"/>
          </w:tcPr>
          <w:p>
            <w:pPr>
              <w:spacing w:after="20"/>
            </w:pPr>
            <w:r>
              <w:rPr>
                <w:color w:val="1C3A36"/>
                <w:sz w:val="12"/>
              </w:rPr>
              <w:t>pat fy25</w:t>
            </w:r>
          </w:p>
        </w:tc>
        <w:tc>
          <w:tcPr>
            <w:tcW w:type="dxa" w:w="1224"/>
          </w:tcPr>
          <w:p>
            <w:pPr>
              <w:spacing w:after="20"/>
              <w:jc w:val="right"/>
            </w:pPr>
            <w:r>
              <w:rPr>
                <w:color w:val="1C3A36"/>
                <w:sz w:val="12"/>
              </w:rPr>
              <w:t>1,099,130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profit for the year</w:t>
            </w:r>
          </w:p>
        </w:tc>
      </w:tr>
      <w:tr>
        <w:tc>
          <w:tcPr>
            <w:tcW w:type="dxa" w:w="1872"/>
          </w:tcPr>
          <w:p>
            <w:pPr>
              <w:spacing w:after="20"/>
            </w:pPr>
            <w:r>
              <w:rPr>
                <w:color w:val="1C3A36"/>
                <w:sz w:val="12"/>
              </w:rPr>
              <w:t>pat h126</w:t>
            </w:r>
          </w:p>
        </w:tc>
        <w:tc>
          <w:tcPr>
            <w:tcW w:type="dxa" w:w="1224"/>
          </w:tcPr>
          <w:p>
            <w:pPr>
              <w:spacing w:after="20"/>
              <w:jc w:val="right"/>
            </w:pPr>
            <w:r>
              <w:rPr>
                <w:color w:val="1C3A36"/>
                <w:sz w:val="12"/>
              </w:rPr>
              <w:t>346,561</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profit for the six-month period</w:t>
            </w:r>
          </w:p>
        </w:tc>
      </w:tr>
      <w:tr>
        <w:tc>
          <w:tcPr>
            <w:tcW w:type="dxa" w:w="1872"/>
          </w:tcPr>
          <w:p>
            <w:pPr>
              <w:spacing w:after="20"/>
            </w:pPr>
            <w:r>
              <w:rPr>
                <w:color w:val="1C3A36"/>
                <w:sz w:val="12"/>
              </w:rPr>
              <w:t>pat owners fy23</w:t>
            </w:r>
          </w:p>
        </w:tc>
        <w:tc>
          <w:tcPr>
            <w:tcW w:type="dxa" w:w="1224"/>
          </w:tcPr>
          <w:p>
            <w:pPr>
              <w:spacing w:after="20"/>
              <w:jc w:val="right"/>
            </w:pPr>
            <w:r>
              <w:rPr>
                <w:color w:val="1C3A36"/>
                <w:sz w:val="12"/>
              </w:rPr>
              <w:t>991,125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profit attributable to owners of the Company</w:t>
            </w:r>
          </w:p>
        </w:tc>
      </w:tr>
      <w:tr>
        <w:tc>
          <w:tcPr>
            <w:tcW w:type="dxa" w:w="1872"/>
          </w:tcPr>
          <w:p>
            <w:pPr>
              <w:spacing w:after="20"/>
            </w:pPr>
            <w:r>
              <w:rPr>
                <w:color w:val="1C3A36"/>
                <w:sz w:val="12"/>
              </w:rPr>
              <w:t>pat owners fy24</w:t>
            </w:r>
          </w:p>
        </w:tc>
        <w:tc>
          <w:tcPr>
            <w:tcW w:type="dxa" w:w="1224"/>
          </w:tcPr>
          <w:p>
            <w:pPr>
              <w:spacing w:after="20"/>
              <w:jc w:val="right"/>
            </w:pPr>
            <w:r>
              <w:rPr>
                <w:color w:val="1C3A36"/>
                <w:sz w:val="12"/>
              </w:rPr>
              <w:t>1,225,273</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profit attributable to owners</w:t>
            </w:r>
          </w:p>
        </w:tc>
      </w:tr>
      <w:tr>
        <w:tc>
          <w:tcPr>
            <w:tcW w:type="dxa" w:w="1872"/>
          </w:tcPr>
          <w:p>
            <w:pPr>
              <w:spacing w:after="20"/>
            </w:pPr>
            <w:r>
              <w:rPr>
                <w:color w:val="1C3A36"/>
                <w:sz w:val="12"/>
              </w:rPr>
              <w:t>pat owners fy25</w:t>
            </w:r>
          </w:p>
        </w:tc>
        <w:tc>
          <w:tcPr>
            <w:tcW w:type="dxa" w:w="1224"/>
          </w:tcPr>
          <w:p>
            <w:pPr>
              <w:spacing w:after="20"/>
              <w:jc w:val="right"/>
            </w:pPr>
            <w:r>
              <w:rPr>
                <w:color w:val="1C3A36"/>
                <w:sz w:val="12"/>
              </w:rPr>
              <w:t>1,089,178</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profit attributable to shareholders of the Parent</w:t>
            </w:r>
          </w:p>
        </w:tc>
      </w:tr>
      <w:tr>
        <w:tc>
          <w:tcPr>
            <w:tcW w:type="dxa" w:w="1872"/>
          </w:tcPr>
          <w:p>
            <w:pPr>
              <w:spacing w:after="20"/>
            </w:pPr>
            <w:r>
              <w:rPr>
                <w:color w:val="1C3A36"/>
                <w:sz w:val="12"/>
              </w:rPr>
              <w:t>pbt fy23</w:t>
            </w:r>
          </w:p>
        </w:tc>
        <w:tc>
          <w:tcPr>
            <w:tcW w:type="dxa" w:w="1224"/>
          </w:tcPr>
          <w:p>
            <w:pPr>
              <w:spacing w:after="20"/>
              <w:jc w:val="right"/>
            </w:pPr>
            <w:r>
              <w:rPr>
                <w:color w:val="1C3A36"/>
                <w:sz w:val="12"/>
              </w:rPr>
              <w:t>1,401,003</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profit before tax</w:t>
            </w:r>
          </w:p>
        </w:tc>
      </w:tr>
      <w:tr>
        <w:tc>
          <w:tcPr>
            <w:tcW w:type="dxa" w:w="1872"/>
          </w:tcPr>
          <w:p>
            <w:pPr>
              <w:spacing w:after="20"/>
            </w:pPr>
            <w:r>
              <w:rPr>
                <w:color w:val="1C3A36"/>
                <w:sz w:val="12"/>
              </w:rPr>
              <w:t>pbt fy24</w:t>
            </w:r>
          </w:p>
        </w:tc>
        <w:tc>
          <w:tcPr>
            <w:tcW w:type="dxa" w:w="1224"/>
          </w:tcPr>
          <w:p>
            <w:pPr>
              <w:spacing w:after="20"/>
              <w:jc w:val="right"/>
            </w:pPr>
            <w:r>
              <w:rPr>
                <w:color w:val="1C3A36"/>
                <w:sz w:val="12"/>
              </w:rPr>
              <w:t>1,745,309</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profit before tax</w:t>
            </w:r>
          </w:p>
        </w:tc>
      </w:tr>
      <w:tr>
        <w:tc>
          <w:tcPr>
            <w:tcW w:type="dxa" w:w="1872"/>
          </w:tcPr>
          <w:p>
            <w:pPr>
              <w:spacing w:after="20"/>
            </w:pPr>
            <w:r>
              <w:rPr>
                <w:color w:val="1C3A36"/>
                <w:sz w:val="12"/>
              </w:rPr>
              <w:t>pbt fy25</w:t>
            </w:r>
          </w:p>
        </w:tc>
        <w:tc>
          <w:tcPr>
            <w:tcW w:type="dxa" w:w="1224"/>
          </w:tcPr>
          <w:p>
            <w:pPr>
              <w:spacing w:after="20"/>
              <w:jc w:val="right"/>
            </w:pPr>
            <w:r>
              <w:rPr>
                <w:color w:val="1C3A36"/>
                <w:sz w:val="12"/>
              </w:rPr>
              <w:t>1,539,844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profit before tax</w:t>
            </w:r>
          </w:p>
        </w:tc>
      </w:tr>
      <w:tr>
        <w:tc>
          <w:tcPr>
            <w:tcW w:type="dxa" w:w="1872"/>
          </w:tcPr>
          <w:p>
            <w:pPr>
              <w:spacing w:after="20"/>
            </w:pPr>
            <w:r>
              <w:rPr>
                <w:color w:val="1C3A36"/>
                <w:sz w:val="12"/>
              </w:rPr>
              <w:t>pbt h126</w:t>
            </w:r>
          </w:p>
        </w:tc>
        <w:tc>
          <w:tcPr>
            <w:tcW w:type="dxa" w:w="1224"/>
          </w:tcPr>
          <w:p>
            <w:pPr>
              <w:spacing w:after="20"/>
              <w:jc w:val="right"/>
            </w:pPr>
            <w:r>
              <w:rPr>
                <w:color w:val="1C3A36"/>
                <w:sz w:val="12"/>
              </w:rPr>
              <w:t>462,680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profit before tax, six months</w:t>
            </w:r>
          </w:p>
        </w:tc>
      </w:tr>
      <w:tr>
        <w:tc>
          <w:tcPr>
            <w:tcW w:type="dxa" w:w="1872"/>
          </w:tcPr>
          <w:p>
            <w:pPr>
              <w:spacing w:after="20"/>
            </w:pPr>
            <w:r>
              <w:rPr>
                <w:color w:val="1C3A36"/>
                <w:sz w:val="12"/>
              </w:rPr>
              <w:t>ppe fy23</w:t>
            </w:r>
          </w:p>
        </w:tc>
        <w:tc>
          <w:tcPr>
            <w:tcW w:type="dxa" w:w="1224"/>
          </w:tcPr>
          <w:p>
            <w:pPr>
              <w:spacing w:after="20"/>
              <w:jc w:val="right"/>
            </w:pPr>
            <w:r>
              <w:rPr>
                <w:color w:val="1C3A36"/>
                <w:sz w:val="12"/>
              </w:rPr>
              <w:t>6,677,355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property, plant and equipment, comparative column</w:t>
            </w:r>
          </w:p>
        </w:tc>
      </w:tr>
      <w:tr>
        <w:tc>
          <w:tcPr>
            <w:tcW w:type="dxa" w:w="1872"/>
          </w:tcPr>
          <w:p>
            <w:pPr>
              <w:spacing w:after="20"/>
            </w:pPr>
            <w:r>
              <w:rPr>
                <w:color w:val="1C3A36"/>
                <w:sz w:val="12"/>
              </w:rPr>
              <w:t>ppe fy24</w:t>
            </w:r>
          </w:p>
        </w:tc>
        <w:tc>
          <w:tcPr>
            <w:tcW w:type="dxa" w:w="1224"/>
          </w:tcPr>
          <w:p>
            <w:pPr>
              <w:spacing w:after="20"/>
              <w:jc w:val="right"/>
            </w:pPr>
            <w:r>
              <w:rPr>
                <w:color w:val="1C3A36"/>
                <w:sz w:val="12"/>
              </w:rPr>
              <w:t>6,292,502</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property, plant and equipment</w:t>
            </w:r>
          </w:p>
        </w:tc>
      </w:tr>
      <w:tr>
        <w:tc>
          <w:tcPr>
            <w:tcW w:type="dxa" w:w="1872"/>
          </w:tcPr>
          <w:p>
            <w:pPr>
              <w:spacing w:after="20"/>
            </w:pPr>
            <w:r>
              <w:rPr>
                <w:color w:val="1C3A36"/>
                <w:sz w:val="12"/>
              </w:rPr>
              <w:t>ppe fy25</w:t>
            </w:r>
          </w:p>
        </w:tc>
        <w:tc>
          <w:tcPr>
            <w:tcW w:type="dxa" w:w="1224"/>
          </w:tcPr>
          <w:p>
            <w:pPr>
              <w:spacing w:after="20"/>
              <w:jc w:val="right"/>
            </w:pPr>
            <w:r>
              <w:rPr>
                <w:color w:val="1C3A36"/>
                <w:sz w:val="12"/>
              </w:rPr>
              <w:t>6,082,232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property, plant and equipment (note 6)</w:t>
            </w:r>
          </w:p>
        </w:tc>
      </w:tr>
      <w:tr>
        <w:tc>
          <w:tcPr>
            <w:tcW w:type="dxa" w:w="1872"/>
          </w:tcPr>
          <w:p>
            <w:pPr>
              <w:spacing w:after="20"/>
            </w:pPr>
            <w:r>
              <w:rPr>
                <w:color w:val="1C3A36"/>
                <w:sz w:val="12"/>
              </w:rPr>
              <w:t>prem pe fy23</w:t>
            </w:r>
          </w:p>
        </w:tc>
        <w:tc>
          <w:tcPr>
            <w:tcW w:type="dxa" w:w="1224"/>
          </w:tcPr>
          <w:p>
            <w:pPr>
              <w:spacing w:after="20"/>
              <w:jc w:val="right"/>
            </w:pPr>
            <w:r>
              <w:rPr>
                <w:color w:val="1C3A36"/>
                <w:sz w:val="12"/>
              </w:rPr>
              <w:t>215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polyethylene premia, FY2023, USD/t</w:t>
            </w:r>
          </w:p>
        </w:tc>
      </w:tr>
      <w:tr>
        <w:tc>
          <w:tcPr>
            <w:tcW w:type="dxa" w:w="1872"/>
          </w:tcPr>
          <w:p>
            <w:pPr>
              <w:spacing w:after="20"/>
            </w:pPr>
            <w:r>
              <w:rPr>
                <w:color w:val="1C3A36"/>
                <w:sz w:val="12"/>
              </w:rPr>
              <w:t>prem pe fy24</w:t>
            </w:r>
          </w:p>
        </w:tc>
        <w:tc>
          <w:tcPr>
            <w:tcW w:type="dxa" w:w="1224"/>
          </w:tcPr>
          <w:p>
            <w:pPr>
              <w:spacing w:after="20"/>
              <w:jc w:val="right"/>
            </w:pPr>
            <w:r>
              <w:rPr>
                <w:color w:val="1C3A36"/>
                <w:sz w:val="12"/>
              </w:rPr>
              <w:t>197</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polyethylene premia, FY2024, USD/t</w:t>
            </w:r>
          </w:p>
        </w:tc>
      </w:tr>
      <w:tr>
        <w:tc>
          <w:tcPr>
            <w:tcW w:type="dxa" w:w="1872"/>
          </w:tcPr>
          <w:p>
            <w:pPr>
              <w:spacing w:after="20"/>
            </w:pPr>
            <w:r>
              <w:rPr>
                <w:color w:val="1C3A36"/>
                <w:sz w:val="12"/>
              </w:rPr>
              <w:t>prem pe fy25</w:t>
            </w:r>
          </w:p>
        </w:tc>
        <w:tc>
          <w:tcPr>
            <w:tcW w:type="dxa" w:w="1224"/>
          </w:tcPr>
          <w:p>
            <w:pPr>
              <w:spacing w:after="20"/>
              <w:jc w:val="right"/>
            </w:pPr>
            <w:r>
              <w:rPr>
                <w:color w:val="1C3A36"/>
                <w:sz w:val="12"/>
              </w:rPr>
              <w:t>224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premia, FY2025, USD/t</w:t>
            </w:r>
          </w:p>
        </w:tc>
      </w:tr>
      <w:tr>
        <w:tc>
          <w:tcPr>
            <w:tcW w:type="dxa" w:w="1872"/>
          </w:tcPr>
          <w:p>
            <w:pPr>
              <w:spacing w:after="20"/>
            </w:pPr>
            <w:r>
              <w:rPr>
                <w:color w:val="1C3A36"/>
                <w:sz w:val="12"/>
              </w:rPr>
              <w:t>prem pe h126</w:t>
            </w:r>
          </w:p>
        </w:tc>
        <w:tc>
          <w:tcPr>
            <w:tcW w:type="dxa" w:w="1224"/>
          </w:tcPr>
          <w:p>
            <w:pPr>
              <w:spacing w:after="20"/>
              <w:jc w:val="right"/>
            </w:pPr>
            <w:r>
              <w:rPr>
                <w:color w:val="1C3A36"/>
                <w:sz w:val="12"/>
              </w:rPr>
              <w:t>300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polyethylene premia, H1 2026, USD/t</w:t>
            </w:r>
          </w:p>
        </w:tc>
      </w:tr>
      <w:tr>
        <w:tc>
          <w:tcPr>
            <w:tcW w:type="dxa" w:w="1872"/>
          </w:tcPr>
          <w:p>
            <w:pPr>
              <w:spacing w:after="20"/>
            </w:pPr>
            <w:r>
              <w:rPr>
                <w:color w:val="1C3A36"/>
                <w:sz w:val="12"/>
              </w:rPr>
              <w:t>prem pe ttc</w:t>
            </w:r>
          </w:p>
        </w:tc>
        <w:tc>
          <w:tcPr>
            <w:tcW w:type="dxa" w:w="1224"/>
          </w:tcPr>
          <w:p>
            <w:pPr>
              <w:spacing w:after="20"/>
              <w:jc w:val="right"/>
            </w:pPr>
            <w:r>
              <w:rPr>
                <w:color w:val="1C3A36"/>
                <w:sz w:val="12"/>
              </w:rPr>
              <w:t>200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management through-the-cycle premia guidance for polyethylene, reiterated at Q2 2026, c. USD 200/t</w:t>
            </w:r>
          </w:p>
        </w:tc>
      </w:tr>
      <w:tr>
        <w:tc>
          <w:tcPr>
            <w:tcW w:type="dxa" w:w="1872"/>
          </w:tcPr>
          <w:p>
            <w:pPr>
              <w:spacing w:after="20"/>
            </w:pPr>
            <w:r>
              <w:rPr>
                <w:color w:val="1C3A36"/>
                <w:sz w:val="12"/>
              </w:rPr>
              <w:t>prem pp fy23</w:t>
            </w:r>
          </w:p>
        </w:tc>
        <w:tc>
          <w:tcPr>
            <w:tcW w:type="dxa" w:w="1224"/>
          </w:tcPr>
          <w:p>
            <w:pPr>
              <w:spacing w:after="20"/>
              <w:jc w:val="right"/>
            </w:pPr>
            <w:r>
              <w:rPr>
                <w:color w:val="1C3A36"/>
                <w:sz w:val="12"/>
              </w:rPr>
              <w:t>125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polypropylene premia, FY2023, USD/t</w:t>
            </w:r>
          </w:p>
        </w:tc>
      </w:tr>
      <w:tr>
        <w:tc>
          <w:tcPr>
            <w:tcW w:type="dxa" w:w="1872"/>
          </w:tcPr>
          <w:p>
            <w:pPr>
              <w:spacing w:after="20"/>
            </w:pPr>
            <w:r>
              <w:rPr>
                <w:color w:val="1C3A36"/>
                <w:sz w:val="12"/>
              </w:rPr>
              <w:t>prem pp fy24</w:t>
            </w:r>
          </w:p>
        </w:tc>
        <w:tc>
          <w:tcPr>
            <w:tcW w:type="dxa" w:w="1224"/>
          </w:tcPr>
          <w:p>
            <w:pPr>
              <w:spacing w:after="20"/>
              <w:jc w:val="right"/>
            </w:pPr>
            <w:r>
              <w:rPr>
                <w:color w:val="1C3A36"/>
                <w:sz w:val="12"/>
              </w:rPr>
              <w:t>150</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polypropylene premia, FY2024, USD/t</w:t>
            </w:r>
          </w:p>
        </w:tc>
      </w:tr>
      <w:tr>
        <w:tc>
          <w:tcPr>
            <w:tcW w:type="dxa" w:w="1872"/>
          </w:tcPr>
          <w:p>
            <w:pPr>
              <w:spacing w:after="20"/>
            </w:pPr>
            <w:r>
              <w:rPr>
                <w:color w:val="1C3A36"/>
                <w:sz w:val="12"/>
              </w:rPr>
              <w:t>prem pp fy25</w:t>
            </w:r>
          </w:p>
        </w:tc>
        <w:tc>
          <w:tcPr>
            <w:tcW w:type="dxa" w:w="1224"/>
          </w:tcPr>
          <w:p>
            <w:pPr>
              <w:spacing w:after="20"/>
              <w:jc w:val="right"/>
            </w:pPr>
            <w:r>
              <w:rPr>
                <w:color w:val="1C3A36"/>
                <w:sz w:val="12"/>
              </w:rPr>
              <w:t>134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premia, FY2025, USD/t</w:t>
            </w:r>
          </w:p>
        </w:tc>
      </w:tr>
      <w:tr>
        <w:tc>
          <w:tcPr>
            <w:tcW w:type="dxa" w:w="1872"/>
          </w:tcPr>
          <w:p>
            <w:pPr>
              <w:spacing w:after="20"/>
            </w:pPr>
            <w:r>
              <w:rPr>
                <w:color w:val="1C3A36"/>
                <w:sz w:val="12"/>
              </w:rPr>
              <w:t>prem pp h126</w:t>
            </w:r>
          </w:p>
        </w:tc>
        <w:tc>
          <w:tcPr>
            <w:tcW w:type="dxa" w:w="1224"/>
          </w:tcPr>
          <w:p>
            <w:pPr>
              <w:spacing w:after="20"/>
              <w:jc w:val="right"/>
            </w:pPr>
            <w:r>
              <w:rPr>
                <w:color w:val="1C3A36"/>
                <w:sz w:val="12"/>
              </w:rPr>
              <w:t>187</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polypropylene premia, H1 2026, USD/t</w:t>
            </w:r>
          </w:p>
        </w:tc>
      </w:tr>
      <w:tr>
        <w:tc>
          <w:tcPr>
            <w:tcW w:type="dxa" w:w="1872"/>
          </w:tcPr>
          <w:p>
            <w:pPr>
              <w:spacing w:after="20"/>
            </w:pPr>
            <w:r>
              <w:rPr>
                <w:color w:val="1C3A36"/>
                <w:sz w:val="12"/>
              </w:rPr>
              <w:t>prem pp ttc</w:t>
            </w:r>
          </w:p>
        </w:tc>
        <w:tc>
          <w:tcPr>
            <w:tcW w:type="dxa" w:w="1224"/>
          </w:tcPr>
          <w:p>
            <w:pPr>
              <w:spacing w:after="20"/>
              <w:jc w:val="right"/>
            </w:pPr>
            <w:r>
              <w:rPr>
                <w:color w:val="1C3A36"/>
                <w:sz w:val="12"/>
              </w:rPr>
              <w:t>140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management through-the-cycle premia guidance for polypropylene, reiterated at Q2 2026, c. USD 140/t</w:t>
            </w:r>
          </w:p>
        </w:tc>
      </w:tr>
      <w:tr>
        <w:tc>
          <w:tcPr>
            <w:tcW w:type="dxa" w:w="1872"/>
          </w:tcPr>
          <w:p>
            <w:pPr>
              <w:spacing w:after="20"/>
            </w:pPr>
            <w:r>
              <w:rPr>
                <w:color w:val="1C3A36"/>
                <w:sz w:val="12"/>
              </w:rPr>
              <w:t>prepaid fy25</w:t>
            </w:r>
          </w:p>
        </w:tc>
        <w:tc>
          <w:tcPr>
            <w:tcW w:type="dxa" w:w="1224"/>
          </w:tcPr>
          <w:p>
            <w:pPr>
              <w:spacing w:after="20"/>
              <w:jc w:val="right"/>
            </w:pPr>
            <w:r>
              <w:rPr>
                <w:color w:val="1C3A36"/>
                <w:sz w:val="12"/>
              </w:rPr>
              <w:t>48,090</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prepayments and other receivables (note 10b)</w:t>
            </w:r>
          </w:p>
        </w:tc>
      </w:tr>
      <w:tr>
        <w:tc>
          <w:tcPr>
            <w:tcW w:type="dxa" w:w="1872"/>
          </w:tcPr>
          <w:p>
            <w:pPr>
              <w:spacing w:after="20"/>
            </w:pPr>
            <w:r>
              <w:rPr>
                <w:color w:val="1C3A36"/>
                <w:sz w:val="12"/>
              </w:rPr>
              <w:t>prod h126</w:t>
            </w:r>
          </w:p>
        </w:tc>
        <w:tc>
          <w:tcPr>
            <w:tcW w:type="dxa" w:w="1224"/>
          </w:tcPr>
          <w:p>
            <w:pPr>
              <w:spacing w:after="20"/>
              <w:jc w:val="right"/>
            </w:pPr>
            <w:r>
              <w:rPr>
                <w:color w:val="1C3A36"/>
                <w:sz w:val="12"/>
              </w:rPr>
              <w:t>1,929</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total production, H1 2026, kt, against 2,201 kt in H1 2025</w:t>
            </w:r>
          </w:p>
        </w:tc>
      </w:tr>
      <w:tr>
        <w:tc>
          <w:tcPr>
            <w:tcW w:type="dxa" w:w="1872"/>
          </w:tcPr>
          <w:p>
            <w:pPr>
              <w:spacing w:after="20"/>
            </w:pPr>
            <w:r>
              <w:rPr>
                <w:color w:val="1C3A36"/>
                <w:sz w:val="12"/>
              </w:rPr>
              <w:t>prod pe fy25</w:t>
            </w:r>
          </w:p>
        </w:tc>
        <w:tc>
          <w:tcPr>
            <w:tcW w:type="dxa" w:w="1224"/>
          </w:tcPr>
          <w:p>
            <w:pPr>
              <w:spacing w:after="20"/>
              <w:jc w:val="right"/>
            </w:pPr>
            <w:r>
              <w:rPr>
                <w:color w:val="1C3A36"/>
                <w:sz w:val="12"/>
              </w:rPr>
              <w:t>2,817</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production volume, FY2025, kt</w:t>
            </w:r>
          </w:p>
        </w:tc>
      </w:tr>
      <w:tr>
        <w:tc>
          <w:tcPr>
            <w:tcW w:type="dxa" w:w="1872"/>
          </w:tcPr>
          <w:p>
            <w:pPr>
              <w:spacing w:after="20"/>
            </w:pPr>
            <w:r>
              <w:rPr>
                <w:color w:val="1C3A36"/>
                <w:sz w:val="12"/>
              </w:rPr>
              <w:t>prod pp fy25</w:t>
            </w:r>
          </w:p>
        </w:tc>
        <w:tc>
          <w:tcPr>
            <w:tcW w:type="dxa" w:w="1224"/>
          </w:tcPr>
          <w:p>
            <w:pPr>
              <w:spacing w:after="20"/>
              <w:jc w:val="right"/>
            </w:pPr>
            <w:r>
              <w:rPr>
                <w:color w:val="1C3A36"/>
                <w:sz w:val="12"/>
              </w:rPr>
              <w:t>2,225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production volume, FY2025, kt</w:t>
            </w:r>
          </w:p>
        </w:tc>
      </w:tr>
      <w:tr>
        <w:tc>
          <w:tcPr>
            <w:tcW w:type="dxa" w:w="1872"/>
          </w:tcPr>
          <w:p>
            <w:pPr>
              <w:spacing w:after="20"/>
            </w:pPr>
            <w:r>
              <w:rPr>
                <w:color w:val="1C3A36"/>
                <w:sz w:val="12"/>
              </w:rPr>
              <w:t>rev fy23</w:t>
            </w:r>
          </w:p>
        </w:tc>
        <w:tc>
          <w:tcPr>
            <w:tcW w:type="dxa" w:w="1224"/>
          </w:tcPr>
          <w:p>
            <w:pPr>
              <w:spacing w:after="20"/>
              <w:jc w:val="right"/>
            </w:pPr>
            <w:r>
              <w:rPr>
                <w:color w:val="1C3A36"/>
                <w:sz w:val="12"/>
              </w:rPr>
              <w:t>5,791,345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consolidated statement of profit or loss, revenue</w:t>
            </w:r>
          </w:p>
        </w:tc>
      </w:tr>
      <w:tr>
        <w:tc>
          <w:tcPr>
            <w:tcW w:type="dxa" w:w="1872"/>
          </w:tcPr>
          <w:p>
            <w:pPr>
              <w:spacing w:after="20"/>
            </w:pPr>
            <w:r>
              <w:rPr>
                <w:color w:val="1C3A36"/>
                <w:sz w:val="12"/>
              </w:rPr>
              <w:t>rev fy24</w:t>
            </w:r>
          </w:p>
        </w:tc>
        <w:tc>
          <w:tcPr>
            <w:tcW w:type="dxa" w:w="1224"/>
          </w:tcPr>
          <w:p>
            <w:pPr>
              <w:spacing w:after="20"/>
              <w:jc w:val="right"/>
            </w:pPr>
            <w:r>
              <w:rPr>
                <w:color w:val="1C3A36"/>
                <w:sz w:val="12"/>
              </w:rPr>
              <w:t>6,026,123</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consolidated statement of profit or loss, revenue</w:t>
            </w:r>
          </w:p>
        </w:tc>
      </w:tr>
      <w:tr>
        <w:tc>
          <w:tcPr>
            <w:tcW w:type="dxa" w:w="1872"/>
          </w:tcPr>
          <w:p>
            <w:pPr>
              <w:spacing w:after="20"/>
            </w:pPr>
            <w:r>
              <w:rPr>
                <w:color w:val="1C3A36"/>
                <w:sz w:val="12"/>
              </w:rPr>
              <w:t>rev fy25</w:t>
            </w:r>
          </w:p>
        </w:tc>
        <w:tc>
          <w:tcPr>
            <w:tcW w:type="dxa" w:w="1224"/>
          </w:tcPr>
          <w:p>
            <w:pPr>
              <w:spacing w:after="20"/>
              <w:jc w:val="right"/>
            </w:pPr>
            <w:r>
              <w:rPr>
                <w:color w:val="1C3A36"/>
                <w:sz w:val="12"/>
              </w:rPr>
              <w:t>5,847,773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consolidated statement of profit or loss, revenue (note 19)</w:t>
            </w:r>
          </w:p>
        </w:tc>
      </w:tr>
      <w:tr>
        <w:tc>
          <w:tcPr>
            <w:tcW w:type="dxa" w:w="1872"/>
          </w:tcPr>
          <w:p>
            <w:pPr>
              <w:spacing w:after="20"/>
            </w:pPr>
            <w:r>
              <w:rPr>
                <w:color w:val="1C3A36"/>
                <w:sz w:val="12"/>
              </w:rPr>
              <w:t>rev h126</w:t>
            </w:r>
          </w:p>
        </w:tc>
        <w:tc>
          <w:tcPr>
            <w:tcW w:type="dxa" w:w="1224"/>
          </w:tcPr>
          <w:p>
            <w:pPr>
              <w:spacing w:after="20"/>
              <w:jc w:val="right"/>
            </w:pPr>
            <w:r>
              <w:rPr>
                <w:color w:val="1C3A36"/>
                <w:sz w:val="12"/>
              </w:rPr>
              <w:t>2,581,161</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revenue for the six-month period</w:t>
            </w:r>
          </w:p>
        </w:tc>
      </w:tr>
      <w:tr>
        <w:tc>
          <w:tcPr>
            <w:tcW w:type="dxa" w:w="1872"/>
          </w:tcPr>
          <w:p>
            <w:pPr>
              <w:spacing w:after="20"/>
            </w:pPr>
            <w:r>
              <w:rPr>
                <w:color w:val="1C3A36"/>
                <w:sz w:val="12"/>
              </w:rPr>
              <w:t>rev oth fy25</w:t>
            </w:r>
          </w:p>
        </w:tc>
        <w:tc>
          <w:tcPr>
            <w:tcW w:type="dxa" w:w="1224"/>
          </w:tcPr>
          <w:p>
            <w:pPr>
              <w:spacing w:after="20"/>
              <w:jc w:val="right"/>
            </w:pPr>
            <w:r>
              <w:rPr>
                <w:color w:val="1C3A36"/>
                <w:sz w:val="12"/>
              </w:rPr>
              <w:t>44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ethylene and others revenue, FY2025, USD million</w:t>
            </w:r>
          </w:p>
        </w:tc>
      </w:tr>
      <w:tr>
        <w:tc>
          <w:tcPr>
            <w:tcW w:type="dxa" w:w="1872"/>
          </w:tcPr>
          <w:p>
            <w:pPr>
              <w:spacing w:after="20"/>
            </w:pPr>
            <w:r>
              <w:rPr>
                <w:color w:val="1C3A36"/>
                <w:sz w:val="12"/>
              </w:rPr>
              <w:t>rev pe fy25</w:t>
            </w:r>
          </w:p>
        </w:tc>
        <w:tc>
          <w:tcPr>
            <w:tcW w:type="dxa" w:w="1224"/>
          </w:tcPr>
          <w:p>
            <w:pPr>
              <w:spacing w:after="20"/>
              <w:jc w:val="right"/>
            </w:pPr>
            <w:r>
              <w:rPr>
                <w:color w:val="1C3A36"/>
                <w:sz w:val="12"/>
              </w:rPr>
              <w:t>3,436</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revenue, FY2025, USD million</w:t>
            </w:r>
          </w:p>
        </w:tc>
      </w:tr>
      <w:tr>
        <w:tc>
          <w:tcPr>
            <w:tcW w:type="dxa" w:w="1872"/>
          </w:tcPr>
          <w:p>
            <w:pPr>
              <w:spacing w:after="20"/>
            </w:pPr>
            <w:r>
              <w:rPr>
                <w:color w:val="1C3A36"/>
                <w:sz w:val="12"/>
              </w:rPr>
              <w:t>rev pp fy25</w:t>
            </w:r>
          </w:p>
        </w:tc>
        <w:tc>
          <w:tcPr>
            <w:tcW w:type="dxa" w:w="1224"/>
          </w:tcPr>
          <w:p>
            <w:pPr>
              <w:spacing w:after="20"/>
              <w:jc w:val="right"/>
            </w:pPr>
            <w:r>
              <w:rPr>
                <w:color w:val="1C3A36"/>
                <w:sz w:val="12"/>
              </w:rPr>
              <w:t>2,368</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revenue, FY2025, USD million</w:t>
            </w:r>
          </w:p>
        </w:tc>
      </w:tr>
      <w:tr>
        <w:tc>
          <w:tcPr>
            <w:tcW w:type="dxa" w:w="1872"/>
          </w:tcPr>
          <w:p>
            <w:pPr>
              <w:spacing w:after="20"/>
            </w:pPr>
            <w:r>
              <w:rPr>
                <w:color w:val="1C3A36"/>
                <w:sz w:val="12"/>
              </w:rPr>
              <w:t>rev q126</w:t>
            </w:r>
          </w:p>
        </w:tc>
        <w:tc>
          <w:tcPr>
            <w:tcW w:type="dxa" w:w="1224"/>
          </w:tcPr>
          <w:p>
            <w:pPr>
              <w:spacing w:after="20"/>
              <w:jc w:val="right"/>
            </w:pPr>
            <w:r>
              <w:rPr>
                <w:color w:val="1C3A36"/>
                <w:sz w:val="12"/>
              </w:rPr>
              <w:t>1,175,190</w:t>
            </w:r>
          </w:p>
        </w:tc>
        <w:tc>
          <w:tcPr>
            <w:tcW w:type="dxa" w:w="1008"/>
          </w:tcPr>
          <w:p>
            <w:pPr>
              <w:spacing w:after="20"/>
              <w:jc w:val="right"/>
            </w:pPr>
            <w:r>
              <w:rPr>
                <w:color w:val="1C3A36"/>
                <w:sz w:val="12"/>
              </w:rPr>
              <w:t>2026-03-31</w:t>
            </w:r>
          </w:p>
        </w:tc>
        <w:tc>
          <w:tcPr>
            <w:tcW w:type="dxa" w:w="5688"/>
          </w:tcPr>
          <w:p>
            <w:pPr>
              <w:spacing w:after="20"/>
              <w:jc w:val="right"/>
            </w:pPr>
            <w:r>
              <w:rPr>
                <w:color w:val="1C3A36"/>
                <w:sz w:val="12"/>
              </w:rPr>
              <w:t>Borouge plc Q2 2026 Management Discussion &amp; Analysis — Q1 2026 revenue of USD 1,175 million; the interim statements report the six-month figure and the three-month figure, and Q1 is the difference (2,581,161 less 1,405,971)</w:t>
            </w:r>
          </w:p>
        </w:tc>
      </w:tr>
      <w:tr>
        <w:tc>
          <w:tcPr>
            <w:tcW w:type="dxa" w:w="1872"/>
          </w:tcPr>
          <w:p>
            <w:pPr>
              <w:spacing w:after="20"/>
            </w:pPr>
            <w:r>
              <w:rPr>
                <w:color w:val="1C3A36"/>
                <w:sz w:val="12"/>
              </w:rPr>
              <w:t>rev q226</w:t>
            </w:r>
          </w:p>
        </w:tc>
        <w:tc>
          <w:tcPr>
            <w:tcW w:type="dxa" w:w="1224"/>
          </w:tcPr>
          <w:p>
            <w:pPr>
              <w:spacing w:after="20"/>
              <w:jc w:val="right"/>
            </w:pPr>
            <w:r>
              <w:rPr>
                <w:color w:val="1C3A36"/>
                <w:sz w:val="12"/>
              </w:rPr>
              <w:t>1,405,971</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revenue for the three-month period ended 30 June 2026</w:t>
            </w:r>
          </w:p>
        </w:tc>
      </w:tr>
      <w:tr>
        <w:tc>
          <w:tcPr>
            <w:tcW w:type="dxa" w:w="1872"/>
          </w:tcPr>
          <w:p>
            <w:pPr>
              <w:spacing w:after="20"/>
            </w:pPr>
            <w:r>
              <w:rPr>
                <w:color w:val="1C3A36"/>
                <w:sz w:val="12"/>
              </w:rPr>
              <w:t>rou fy24</w:t>
            </w:r>
          </w:p>
        </w:tc>
        <w:tc>
          <w:tcPr>
            <w:tcW w:type="dxa" w:w="1224"/>
          </w:tcPr>
          <w:p>
            <w:pPr>
              <w:spacing w:after="20"/>
              <w:jc w:val="right"/>
            </w:pPr>
            <w:r>
              <w:rPr>
                <w:color w:val="1C3A36"/>
                <w:sz w:val="12"/>
              </w:rPr>
              <w:t>24,797</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right-of-use assets</w:t>
            </w:r>
          </w:p>
        </w:tc>
      </w:tr>
      <w:tr>
        <w:tc>
          <w:tcPr>
            <w:tcW w:type="dxa" w:w="1872"/>
          </w:tcPr>
          <w:p>
            <w:pPr>
              <w:spacing w:after="20"/>
            </w:pPr>
            <w:r>
              <w:rPr>
                <w:color w:val="1C3A36"/>
                <w:sz w:val="12"/>
              </w:rPr>
              <w:t>rou fy25</w:t>
            </w:r>
          </w:p>
        </w:tc>
        <w:tc>
          <w:tcPr>
            <w:tcW w:type="dxa" w:w="1224"/>
          </w:tcPr>
          <w:p>
            <w:pPr>
              <w:spacing w:after="20"/>
              <w:jc w:val="right"/>
            </w:pPr>
            <w:r>
              <w:rPr>
                <w:color w:val="1C3A36"/>
                <w:sz w:val="12"/>
              </w:rPr>
              <w:t>23,327</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right-of-use assets (note 8a)</w:t>
            </w:r>
          </w:p>
        </w:tc>
      </w:tr>
      <w:tr>
        <w:tc>
          <w:tcPr>
            <w:tcW w:type="dxa" w:w="1872"/>
          </w:tcPr>
          <w:p>
            <w:pPr>
              <w:spacing w:after="20"/>
            </w:pPr>
            <w:r>
              <w:rPr>
                <w:color w:val="1C3A36"/>
                <w:sz w:val="12"/>
              </w:rPr>
              <w:t>sd exda h126</w:t>
            </w:r>
          </w:p>
        </w:tc>
        <w:tc>
          <w:tcPr>
            <w:tcW w:type="dxa" w:w="1224"/>
          </w:tcPr>
          <w:p>
            <w:pPr>
              <w:spacing w:after="20"/>
              <w:jc w:val="right"/>
            </w:pPr>
            <w:r>
              <w:rPr>
                <w:color w:val="1C3A36"/>
                <w:sz w:val="12"/>
              </w:rPr>
              <w:t>347</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selling and distribution expenses, H1 2026, USD million, up 81% year on year on higher freight and logistics costs while alternative routes are in use</w:t>
            </w:r>
          </w:p>
        </w:tc>
      </w:tr>
      <w:tr>
        <w:tc>
          <w:tcPr>
            <w:tcW w:type="dxa" w:w="1872"/>
          </w:tcPr>
          <w:p>
            <w:pPr>
              <w:spacing w:after="20"/>
            </w:pPr>
            <w:r>
              <w:rPr>
                <w:color w:val="1C3A36"/>
                <w:sz w:val="12"/>
              </w:rPr>
              <w:t>sd fy23</w:t>
            </w:r>
          </w:p>
        </w:tc>
        <w:tc>
          <w:tcPr>
            <w:tcW w:type="dxa" w:w="1224"/>
          </w:tcPr>
          <w:p>
            <w:pPr>
              <w:spacing w:after="20"/>
              <w:jc w:val="right"/>
            </w:pPr>
            <w:r>
              <w:rPr>
                <w:color w:val="1C3A36"/>
                <w:sz w:val="12"/>
              </w:rPr>
              <w:t>399,495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selling and distribution expenses</w:t>
            </w:r>
          </w:p>
        </w:tc>
      </w:tr>
      <w:tr>
        <w:tc>
          <w:tcPr>
            <w:tcW w:type="dxa" w:w="1872"/>
          </w:tcPr>
          <w:p>
            <w:pPr>
              <w:spacing w:after="20"/>
            </w:pPr>
            <w:r>
              <w:rPr>
                <w:color w:val="1C3A36"/>
                <w:sz w:val="12"/>
              </w:rPr>
              <w:t>sd fy24</w:t>
            </w:r>
          </w:p>
        </w:tc>
        <w:tc>
          <w:tcPr>
            <w:tcW w:type="dxa" w:w="1224"/>
          </w:tcPr>
          <w:p>
            <w:pPr>
              <w:spacing w:after="20"/>
              <w:jc w:val="right"/>
            </w:pPr>
            <w:r>
              <w:rPr>
                <w:color w:val="1C3A36"/>
                <w:sz w:val="12"/>
              </w:rPr>
              <w:t>471,963</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selling and distribution expenses</w:t>
            </w:r>
          </w:p>
        </w:tc>
      </w:tr>
      <w:tr>
        <w:tc>
          <w:tcPr>
            <w:tcW w:type="dxa" w:w="1872"/>
          </w:tcPr>
          <w:p>
            <w:pPr>
              <w:spacing w:after="20"/>
            </w:pPr>
            <w:r>
              <w:rPr>
                <w:color w:val="1C3A36"/>
                <w:sz w:val="12"/>
              </w:rPr>
              <w:t>sd fy25</w:t>
            </w:r>
          </w:p>
        </w:tc>
        <w:tc>
          <w:tcPr>
            <w:tcW w:type="dxa" w:w="1224"/>
          </w:tcPr>
          <w:p>
            <w:pPr>
              <w:spacing w:after="20"/>
              <w:jc w:val="right"/>
            </w:pPr>
            <w:r>
              <w:rPr>
                <w:color w:val="1C3A36"/>
                <w:sz w:val="12"/>
              </w:rPr>
              <w:t>416,028</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selling and distribution expenses (note 24)</w:t>
            </w:r>
          </w:p>
        </w:tc>
      </w:tr>
      <w:tr>
        <w:tc>
          <w:tcPr>
            <w:tcW w:type="dxa" w:w="1872"/>
          </w:tcPr>
          <w:p>
            <w:pPr>
              <w:spacing w:after="20"/>
            </w:pPr>
            <w:r>
              <w:rPr>
                <w:color w:val="1C3A36"/>
                <w:sz w:val="12"/>
              </w:rPr>
              <w:t>sd h126</w:t>
            </w:r>
          </w:p>
        </w:tc>
        <w:tc>
          <w:tcPr>
            <w:tcW w:type="dxa" w:w="1224"/>
          </w:tcPr>
          <w:p>
            <w:pPr>
              <w:spacing w:after="20"/>
              <w:jc w:val="right"/>
            </w:pPr>
            <w:r>
              <w:rPr>
                <w:color w:val="1C3A36"/>
                <w:sz w:val="12"/>
              </w:rPr>
              <w:t>346,738</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selling and distribution expenses, six months</w:t>
            </w:r>
          </w:p>
        </w:tc>
      </w:tr>
      <w:tr>
        <w:tc>
          <w:tcPr>
            <w:tcW w:type="dxa" w:w="1872"/>
          </w:tcPr>
          <w:p>
            <w:pPr>
              <w:spacing w:after="20"/>
            </w:pPr>
            <w:r>
              <w:rPr>
                <w:color w:val="1C3A36"/>
                <w:sz w:val="12"/>
              </w:rPr>
              <w:t>shares issued</w:t>
            </w:r>
          </w:p>
        </w:tc>
        <w:tc>
          <w:tcPr>
            <w:tcW w:type="dxa" w:w="1224"/>
          </w:tcPr>
          <w:p>
            <w:pPr>
              <w:spacing w:after="20"/>
              <w:jc w:val="right"/>
            </w:pPr>
            <w:r>
              <w:rPr>
                <w:color w:val="1C3A36"/>
                <w:sz w:val="12"/>
              </w:rPr>
              <w:t>30,057,691,583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note 14 (share capital) and note 29: 30,057,691,583 ordinary shares of USD 0.16 each in issue</w:t>
            </w:r>
          </w:p>
        </w:tc>
      </w:tr>
      <w:tr>
        <w:tc>
          <w:tcPr>
            <w:tcW w:type="dxa" w:w="1872"/>
          </w:tcPr>
          <w:p>
            <w:pPr>
              <w:spacing w:after="20"/>
            </w:pPr>
            <w:r>
              <w:rPr>
                <w:color w:val="1C3A36"/>
                <w:sz w:val="12"/>
              </w:rPr>
              <w:t>shares wavg fy24</w:t>
            </w:r>
          </w:p>
        </w:tc>
        <w:tc>
          <w:tcPr>
            <w:tcW w:type="dxa" w:w="1224"/>
          </w:tcPr>
          <w:p>
            <w:pPr>
              <w:spacing w:after="20"/>
              <w:jc w:val="right"/>
            </w:pPr>
            <w:r>
              <w:rPr>
                <w:color w:val="1C3A36"/>
                <w:sz w:val="12"/>
              </w:rPr>
              <w:t>30,057,691,583</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2025 (statutory), Ernst &amp; Young, note 29, comparative column</w:t>
            </w:r>
          </w:p>
        </w:tc>
      </w:tr>
      <w:tr>
        <w:tc>
          <w:tcPr>
            <w:tcW w:type="dxa" w:w="1872"/>
          </w:tcPr>
          <w:p>
            <w:pPr>
              <w:spacing w:after="20"/>
            </w:pPr>
            <w:r>
              <w:rPr>
                <w:color w:val="1C3A36"/>
                <w:sz w:val="12"/>
              </w:rPr>
              <w:t>shares wavg fy25</w:t>
            </w:r>
          </w:p>
        </w:tc>
        <w:tc>
          <w:tcPr>
            <w:tcW w:type="dxa" w:w="1224"/>
          </w:tcPr>
          <w:p>
            <w:pPr>
              <w:spacing w:after="20"/>
              <w:jc w:val="right"/>
            </w:pPr>
            <w:r>
              <w:rPr>
                <w:color w:val="1C3A36"/>
                <w:sz w:val="12"/>
              </w:rPr>
              <w:t>29,937,557,774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note 29: weighted average number of shares in issue for the year, after the weighted effect of treasury shares acquired during 2025</w:t>
            </w:r>
          </w:p>
        </w:tc>
      </w:tr>
      <w:tr>
        <w:tc>
          <w:tcPr>
            <w:tcW w:type="dxa" w:w="1872"/>
          </w:tcPr>
          <w:p>
            <w:pPr>
              <w:spacing w:after="20"/>
            </w:pPr>
            <w:r>
              <w:rPr>
                <w:color w:val="1C3A36"/>
                <w:sz w:val="12"/>
              </w:rPr>
              <w:t>spot aed</w:t>
            </w:r>
          </w:p>
        </w:tc>
        <w:tc>
          <w:tcPr>
            <w:tcW w:type="dxa" w:w="1224"/>
          </w:tcPr>
          <w:p>
            <w:pPr>
              <w:spacing w:after="20"/>
              <w:jc w:val="right"/>
            </w:pPr>
            <w:r>
              <w:rPr>
                <w:color w:val="1C3A36"/>
                <w:sz w:val="12"/>
              </w:rPr>
              <w:t>2.4</w:t>
            </w:r>
          </w:p>
        </w:tc>
        <w:tc>
          <w:tcPr>
            <w:tcW w:type="dxa" w:w="1008"/>
          </w:tcPr>
          <w:p>
            <w:pPr>
              <w:spacing w:after="20"/>
              <w:jc w:val="right"/>
            </w:pPr>
            <w:r>
              <w:rPr>
                <w:color w:val="1C3A36"/>
                <w:sz w:val="12"/>
              </w:rPr>
              <w:t>2026-08-07</w:t>
            </w:r>
          </w:p>
        </w:tc>
        <w:tc>
          <w:tcPr>
            <w:tcW w:type="dxa" w:w="5688"/>
          </w:tcPr>
          <w:p>
            <w:pPr>
              <w:spacing w:after="20"/>
              <w:jc w:val="right"/>
            </w:pPr>
            <w:r>
              <w:rPr>
                <w:color w:val="1C3A36"/>
                <w:sz w:val="12"/>
              </w:rPr>
              <w:t>Closing price 07-Aug-2026 on the supplied ADX daily series for Borouge (open 2.40, high 2.41, low 2.39, volume 10.94m shares)</w:t>
            </w:r>
          </w:p>
        </w:tc>
      </w:tr>
      <w:tr>
        <w:tc>
          <w:tcPr>
            <w:tcW w:type="dxa" w:w="1872"/>
          </w:tcPr>
          <w:p>
            <w:pPr>
              <w:spacing w:after="20"/>
            </w:pPr>
            <w:r>
              <w:rPr>
                <w:color w:val="1C3A36"/>
                <w:sz w:val="12"/>
              </w:rPr>
              <w:t>sublease c fy25</w:t>
            </w:r>
          </w:p>
        </w:tc>
        <w:tc>
          <w:tcPr>
            <w:tcW w:type="dxa" w:w="1224"/>
          </w:tcPr>
          <w:p>
            <w:pPr>
              <w:spacing w:after="20"/>
              <w:jc w:val="right"/>
            </w:pPr>
            <w:r>
              <w:rPr>
                <w:color w:val="1C3A36"/>
                <w:sz w:val="12"/>
              </w:rPr>
              <w:t>5,952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investments in sublease, current</w:t>
            </w:r>
          </w:p>
        </w:tc>
      </w:tr>
      <w:tr>
        <w:tc>
          <w:tcPr>
            <w:tcW w:type="dxa" w:w="1872"/>
          </w:tcPr>
          <w:p>
            <w:pPr>
              <w:spacing w:after="20"/>
            </w:pPr>
            <w:r>
              <w:rPr>
                <w:color w:val="1C3A36"/>
                <w:sz w:val="12"/>
              </w:rPr>
              <w:t>sublease nc fy25</w:t>
            </w:r>
          </w:p>
        </w:tc>
        <w:tc>
          <w:tcPr>
            <w:tcW w:type="dxa" w:w="1224"/>
          </w:tcPr>
          <w:p>
            <w:pPr>
              <w:spacing w:after="20"/>
              <w:jc w:val="right"/>
            </w:pPr>
            <w:r>
              <w:rPr>
                <w:color w:val="1C3A36"/>
                <w:sz w:val="12"/>
              </w:rPr>
              <w:t>135,697</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investment in sublease, non-current</w:t>
            </w:r>
          </w:p>
        </w:tc>
      </w:tr>
      <w:tr>
        <w:tc>
          <w:tcPr>
            <w:tcW w:type="dxa" w:w="1872"/>
          </w:tcPr>
          <w:p>
            <w:pPr>
              <w:spacing w:after="20"/>
            </w:pPr>
            <w:r>
              <w:rPr>
                <w:color w:val="1C3A36"/>
                <w:sz w:val="12"/>
              </w:rPr>
              <w:t>ta fy23</w:t>
            </w:r>
          </w:p>
        </w:tc>
        <w:tc>
          <w:tcPr>
            <w:tcW w:type="dxa" w:w="1224"/>
          </w:tcPr>
          <w:p>
            <w:pPr>
              <w:spacing w:after="20"/>
              <w:jc w:val="right"/>
            </w:pPr>
            <w:r>
              <w:rPr>
                <w:color w:val="1C3A36"/>
                <w:sz w:val="12"/>
              </w:rPr>
              <w:t>8,943,896</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2024 (statutory), Ernst &amp; Young — total assets, comparative</w:t>
            </w:r>
          </w:p>
        </w:tc>
      </w:tr>
      <w:tr>
        <w:tc>
          <w:tcPr>
            <w:tcW w:type="dxa" w:w="1872"/>
          </w:tcPr>
          <w:p>
            <w:pPr>
              <w:spacing w:after="20"/>
            </w:pPr>
            <w:r>
              <w:rPr>
                <w:color w:val="1C3A36"/>
                <w:sz w:val="12"/>
              </w:rPr>
              <w:t>ta fy24</w:t>
            </w:r>
          </w:p>
        </w:tc>
        <w:tc>
          <w:tcPr>
            <w:tcW w:type="dxa" w:w="1224"/>
          </w:tcPr>
          <w:p>
            <w:pPr>
              <w:spacing w:after="20"/>
              <w:jc w:val="right"/>
            </w:pPr>
            <w:r>
              <w:rPr>
                <w:color w:val="1C3A36"/>
                <w:sz w:val="12"/>
              </w:rPr>
              <w:t>8,707,465</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total assets</w:t>
            </w:r>
          </w:p>
        </w:tc>
      </w:tr>
      <w:tr>
        <w:tc>
          <w:tcPr>
            <w:tcW w:type="dxa" w:w="1872"/>
          </w:tcPr>
          <w:p>
            <w:pPr>
              <w:spacing w:after="20"/>
            </w:pPr>
            <w:r>
              <w:rPr>
                <w:color w:val="1C3A36"/>
                <w:sz w:val="12"/>
              </w:rPr>
              <w:t>ta fy25</w:t>
            </w:r>
          </w:p>
        </w:tc>
        <w:tc>
          <w:tcPr>
            <w:tcW w:type="dxa" w:w="1224"/>
          </w:tcPr>
          <w:p>
            <w:pPr>
              <w:spacing w:after="20"/>
              <w:jc w:val="right"/>
            </w:pPr>
            <w:r>
              <w:rPr>
                <w:color w:val="1C3A36"/>
                <w:sz w:val="12"/>
              </w:rPr>
              <w:t>8,489,104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total assets</w:t>
            </w:r>
          </w:p>
        </w:tc>
      </w:tr>
      <w:tr>
        <w:tc>
          <w:tcPr>
            <w:tcW w:type="dxa" w:w="1872"/>
          </w:tcPr>
          <w:p>
            <w:pPr>
              <w:spacing w:after="20"/>
            </w:pPr>
            <w:r>
              <w:rPr>
                <w:color w:val="1C3A36"/>
                <w:sz w:val="12"/>
              </w:rPr>
              <w:t>ta h126</w:t>
            </w:r>
          </w:p>
        </w:tc>
        <w:tc>
          <w:tcPr>
            <w:tcW w:type="dxa" w:w="1224"/>
          </w:tcPr>
          <w:p>
            <w:pPr>
              <w:spacing w:after="20"/>
              <w:jc w:val="right"/>
            </w:pPr>
            <w:r>
              <w:rPr>
                <w:color w:val="1C3A36"/>
                <w:sz w:val="12"/>
              </w:rPr>
              <w:t>8,595,755</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total assets</w:t>
            </w:r>
          </w:p>
        </w:tc>
      </w:tr>
      <w:tr>
        <w:tc>
          <w:tcPr>
            <w:tcW w:type="dxa" w:w="1872"/>
          </w:tcPr>
          <w:p>
            <w:pPr>
              <w:spacing w:after="20"/>
            </w:pPr>
            <w:r>
              <w:rPr>
                <w:color w:val="1C3A36"/>
                <w:sz w:val="12"/>
              </w:rPr>
              <w:t>tax applicable rate fy25</w:t>
            </w:r>
          </w:p>
        </w:tc>
        <w:tc>
          <w:tcPr>
            <w:tcW w:type="dxa" w:w="1224"/>
          </w:tcPr>
          <w:p>
            <w:pPr>
              <w:spacing w:after="20"/>
              <w:jc w:val="right"/>
            </w:pPr>
            <w:r>
              <w:rPr>
                <w:color w:val="1C3A36"/>
                <w:sz w:val="12"/>
              </w:rPr>
              <w:t>0.3824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note 13(b) reconciliation of effective tax rate: the applicable rate on accounting profit, which the Group states as 38.24% for 2025 against 29.66% for 2024</w:t>
            </w:r>
          </w:p>
        </w:tc>
      </w:tr>
      <w:tr>
        <w:tc>
          <w:tcPr>
            <w:tcW w:type="dxa" w:w="1872"/>
          </w:tcPr>
          <w:p>
            <w:pPr>
              <w:spacing w:after="20"/>
            </w:pPr>
            <w:r>
              <w:rPr>
                <w:color w:val="1C3A36"/>
                <w:sz w:val="12"/>
              </w:rPr>
              <w:t>tax fy23</w:t>
            </w:r>
          </w:p>
        </w:tc>
        <w:tc>
          <w:tcPr>
            <w:tcW w:type="dxa" w:w="1224"/>
          </w:tcPr>
          <w:p>
            <w:pPr>
              <w:spacing w:after="20"/>
              <w:jc w:val="right"/>
            </w:pPr>
            <w:r>
              <w:rPr>
                <w:color w:val="1C3A36"/>
                <w:sz w:val="12"/>
              </w:rPr>
              <w:t>400,333</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audited consolidated financial statements for the year ended 31 December 2023 (statutory), Ernst &amp; Young, signed 31 January 2024 — income tax expense (note 12a)</w:t>
            </w:r>
          </w:p>
        </w:tc>
      </w:tr>
      <w:tr>
        <w:tc>
          <w:tcPr>
            <w:tcW w:type="dxa" w:w="1872"/>
          </w:tcPr>
          <w:p>
            <w:pPr>
              <w:spacing w:after="20"/>
            </w:pPr>
            <w:r>
              <w:rPr>
                <w:color w:val="1C3A36"/>
                <w:sz w:val="12"/>
              </w:rPr>
              <w:t>tax fy24</w:t>
            </w:r>
          </w:p>
        </w:tc>
        <w:tc>
          <w:tcPr>
            <w:tcW w:type="dxa" w:w="1224"/>
          </w:tcPr>
          <w:p>
            <w:pPr>
              <w:spacing w:after="20"/>
              <w:jc w:val="right"/>
            </w:pPr>
            <w:r>
              <w:rPr>
                <w:color w:val="1C3A36"/>
                <w:sz w:val="12"/>
              </w:rPr>
              <w:t>506,361</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audited consolidated financial statements for the year ended 31 December 2024 (statutory), Ernst &amp; Young — income tax expense (note 12a)</w:t>
            </w:r>
          </w:p>
        </w:tc>
      </w:tr>
      <w:tr>
        <w:tc>
          <w:tcPr>
            <w:tcW w:type="dxa" w:w="1872"/>
          </w:tcPr>
          <w:p>
            <w:pPr>
              <w:spacing w:after="20"/>
            </w:pPr>
            <w:r>
              <w:rPr>
                <w:color w:val="1C3A36"/>
                <w:sz w:val="12"/>
              </w:rPr>
              <w:t>tax fy25</w:t>
            </w:r>
          </w:p>
        </w:tc>
        <w:tc>
          <w:tcPr>
            <w:tcW w:type="dxa" w:w="1224"/>
          </w:tcPr>
          <w:p>
            <w:pPr>
              <w:spacing w:after="20"/>
              <w:jc w:val="right"/>
            </w:pPr>
            <w:r>
              <w:rPr>
                <w:color w:val="1C3A36"/>
                <w:sz w:val="12"/>
              </w:rPr>
              <w:t>440,714</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income tax expense (note 13a): current UAE 385,236, current foreign 11,360, deferred 44,118</w:t>
            </w:r>
          </w:p>
        </w:tc>
      </w:tr>
      <w:tr>
        <w:tc>
          <w:tcPr>
            <w:tcW w:type="dxa" w:w="1872"/>
          </w:tcPr>
          <w:p>
            <w:pPr>
              <w:spacing w:after="20"/>
            </w:pPr>
            <w:r>
              <w:rPr>
                <w:color w:val="1C3A36"/>
                <w:sz w:val="12"/>
              </w:rPr>
              <w:t>tax h126</w:t>
            </w:r>
          </w:p>
        </w:tc>
        <w:tc>
          <w:tcPr>
            <w:tcW w:type="dxa" w:w="1224"/>
          </w:tcPr>
          <w:p>
            <w:pPr>
              <w:spacing w:after="20"/>
              <w:jc w:val="right"/>
            </w:pPr>
            <w:r>
              <w:rPr>
                <w:color w:val="1C3A36"/>
                <w:sz w:val="12"/>
              </w:rPr>
              <w:t>116,119</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 income tax expense, six months (note 15)</w:t>
            </w:r>
          </w:p>
        </w:tc>
      </w:tr>
      <w:tr>
        <w:tc>
          <w:tcPr>
            <w:tcW w:type="dxa" w:w="1872"/>
          </w:tcPr>
          <w:p>
            <w:pPr>
              <w:spacing w:after="20"/>
            </w:pPr>
            <w:r>
              <w:rPr>
                <w:color w:val="1C3A36"/>
                <w:sz w:val="12"/>
              </w:rPr>
              <w:t>taxpaid fy25</w:t>
            </w:r>
          </w:p>
        </w:tc>
        <w:tc>
          <w:tcPr>
            <w:tcW w:type="dxa" w:w="1224"/>
          </w:tcPr>
          <w:p>
            <w:pPr>
              <w:spacing w:after="20"/>
              <w:jc w:val="right"/>
            </w:pPr>
            <w:r>
              <w:rPr>
                <w:color w:val="1C3A36"/>
                <w:sz w:val="12"/>
              </w:rPr>
              <w:t>389,595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tax paid</w:t>
            </w:r>
          </w:p>
        </w:tc>
      </w:tr>
      <w:tr>
        <w:tc>
          <w:tcPr>
            <w:tcW w:type="dxa" w:w="1872"/>
          </w:tcPr>
          <w:p>
            <w:pPr>
              <w:spacing w:after="20"/>
            </w:pPr>
            <w:r>
              <w:rPr>
                <w:color w:val="1C3A36"/>
                <w:sz w:val="12"/>
              </w:rPr>
              <w:t>taxpay fy25</w:t>
            </w:r>
          </w:p>
        </w:tc>
        <w:tc>
          <w:tcPr>
            <w:tcW w:type="dxa" w:w="1224"/>
          </w:tcPr>
          <w:p>
            <w:pPr>
              <w:spacing w:after="20"/>
              <w:jc w:val="right"/>
            </w:pPr>
            <w:r>
              <w:rPr>
                <w:color w:val="1C3A36"/>
                <w:sz w:val="12"/>
              </w:rPr>
              <w:t>54,499</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income tax payable</w:t>
            </w:r>
          </w:p>
        </w:tc>
      </w:tr>
      <w:tr>
        <w:tc>
          <w:tcPr>
            <w:tcW w:type="dxa" w:w="1872"/>
          </w:tcPr>
          <w:p>
            <w:pPr>
              <w:spacing w:after="20"/>
            </w:pPr>
            <w:r>
              <w:rPr>
                <w:color w:val="1C3A36"/>
                <w:sz w:val="12"/>
              </w:rPr>
              <w:t>tl fy25</w:t>
            </w:r>
          </w:p>
        </w:tc>
        <w:tc>
          <w:tcPr>
            <w:tcW w:type="dxa" w:w="1224"/>
          </w:tcPr>
          <w:p>
            <w:pPr>
              <w:spacing w:after="20"/>
              <w:jc w:val="right"/>
            </w:pPr>
            <w:r>
              <w:rPr>
                <w:color w:val="1C3A36"/>
                <w:sz w:val="12"/>
              </w:rPr>
              <w:t>4,373,422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 total liabilities</w:t>
            </w:r>
          </w:p>
        </w:tc>
      </w:tr>
      <w:tr>
        <w:tc>
          <w:tcPr>
            <w:tcW w:type="dxa" w:w="1872"/>
          </w:tcPr>
          <w:p>
            <w:pPr>
              <w:spacing w:after="20"/>
            </w:pPr>
            <w:r>
              <w:rPr>
                <w:color w:val="1C3A36"/>
                <w:sz w:val="12"/>
              </w:rPr>
              <w:t>treasury cost fy25</w:t>
            </w:r>
          </w:p>
        </w:tc>
        <w:tc>
          <w:tcPr>
            <w:tcW w:type="dxa" w:w="1224"/>
          </w:tcPr>
          <w:p>
            <w:pPr>
              <w:spacing w:after="20"/>
              <w:jc w:val="right"/>
            </w:pPr>
            <w:r>
              <w:rPr>
                <w:color w:val="1C3A36"/>
                <w:sz w:val="12"/>
              </w:rPr>
              <w:t>158,223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audited consolidated financial statements for the year ended 31 December 2025 (statutory), Ernst &amp; Young, note 31 (treasury shares), USD'000</w:t>
            </w:r>
          </w:p>
        </w:tc>
      </w:tr>
      <w:tr>
        <w:tc>
          <w:tcPr>
            <w:tcW w:type="dxa" w:w="1872"/>
          </w:tcPr>
          <w:p>
            <w:pPr>
              <w:spacing w:after="20"/>
            </w:pPr>
            <w:r>
              <w:rPr>
                <w:color w:val="1C3A36"/>
                <w:sz w:val="12"/>
              </w:rPr>
              <w:t>treasury cost h126</w:t>
            </w:r>
          </w:p>
        </w:tc>
        <w:tc>
          <w:tcPr>
            <w:tcW w:type="dxa" w:w="1224"/>
          </w:tcPr>
          <w:p>
            <w:pPr>
              <w:spacing w:after="20"/>
              <w:jc w:val="right"/>
            </w:pPr>
            <w:r>
              <w:rPr>
                <w:color w:val="1C3A36"/>
                <w:sz w:val="12"/>
              </w:rPr>
              <w:t>216,703</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condensed consolidated interim financial statements for the six months ended 30 June 2026 (unaudited), reviewed, statement of changes in equity: cumulative cost of own shares acquired, USD'000</w:t>
            </w:r>
          </w:p>
        </w:tc>
      </w:tr>
      <w:tr>
        <w:tc>
          <w:tcPr>
            <w:tcW w:type="dxa" w:w="1872"/>
          </w:tcPr>
          <w:p>
            <w:pPr>
              <w:spacing w:after="20"/>
            </w:pPr>
            <w:r>
              <w:rPr>
                <w:color w:val="1C3A36"/>
                <w:sz w:val="12"/>
              </w:rPr>
              <w:t>util guide 2026</w:t>
            </w:r>
          </w:p>
        </w:tc>
        <w:tc>
          <w:tcPr>
            <w:tcW w:type="dxa" w:w="1224"/>
          </w:tcPr>
          <w:p>
            <w:pPr>
              <w:spacing w:after="20"/>
              <w:jc w:val="right"/>
            </w:pPr>
            <w:r>
              <w:rPr>
                <w:color w:val="1C3A36"/>
                <w:sz w:val="12"/>
              </w:rPr>
              <w:t>1.05</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'management expects to achieve average utilisation of around 105% for FY 2026', guidance given before the 5 April 2026 incident and the Strait of Hormuz closure and superseded by the Q2 2026 statement that management is targeting higher utilisation in H2 2026 subject to feedstock and logistics availability and freedom of navigation</w:t>
            </w:r>
          </w:p>
        </w:tc>
      </w:tr>
      <w:tr>
        <w:tc>
          <w:tcPr>
            <w:tcW w:type="dxa" w:w="1872"/>
          </w:tcPr>
          <w:p>
            <w:pPr>
              <w:spacing w:after="20"/>
            </w:pPr>
            <w:r>
              <w:rPr>
                <w:color w:val="1C3A36"/>
                <w:sz w:val="12"/>
              </w:rPr>
              <w:t>util pe fy24</w:t>
            </w:r>
          </w:p>
        </w:tc>
        <w:tc>
          <w:tcPr>
            <w:tcW w:type="dxa" w:w="1224"/>
          </w:tcPr>
          <w:p>
            <w:pPr>
              <w:spacing w:after="20"/>
              <w:jc w:val="right"/>
            </w:pPr>
            <w:r>
              <w:rPr>
                <w:color w:val="1C3A36"/>
                <w:sz w:val="12"/>
              </w:rPr>
              <w:t>1.1</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polyethylene utilisation rate, FY2024, 110%</w:t>
            </w:r>
          </w:p>
        </w:tc>
      </w:tr>
      <w:tr>
        <w:tc>
          <w:tcPr>
            <w:tcW w:type="dxa" w:w="1872"/>
          </w:tcPr>
          <w:p>
            <w:pPr>
              <w:spacing w:after="20"/>
            </w:pPr>
            <w:r>
              <w:rPr>
                <w:color w:val="1C3A36"/>
                <w:sz w:val="12"/>
              </w:rPr>
              <w:t>util pe fy25</w:t>
            </w:r>
          </w:p>
        </w:tc>
        <w:tc>
          <w:tcPr>
            <w:tcW w:type="dxa" w:w="1224"/>
          </w:tcPr>
          <w:p>
            <w:pPr>
              <w:spacing w:after="20"/>
              <w:jc w:val="right"/>
            </w:pPr>
            <w:r>
              <w:rPr>
                <w:color w:val="1C3A36"/>
                <w:sz w:val="12"/>
              </w:rPr>
              <w:t>1.02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utilisation rate, FY2025, stated as 102% including the impact of the Borouge 3 turnaround in Q2 2025</w:t>
            </w:r>
          </w:p>
        </w:tc>
      </w:tr>
      <w:tr>
        <w:tc>
          <w:tcPr>
            <w:tcW w:type="dxa" w:w="1872"/>
          </w:tcPr>
          <w:p>
            <w:pPr>
              <w:spacing w:after="20"/>
            </w:pPr>
            <w:r>
              <w:rPr>
                <w:color w:val="1C3A36"/>
                <w:sz w:val="12"/>
              </w:rPr>
              <w:t>util pe h126</w:t>
            </w:r>
          </w:p>
        </w:tc>
        <w:tc>
          <w:tcPr>
            <w:tcW w:type="dxa" w:w="1224"/>
          </w:tcPr>
          <w:p>
            <w:pPr>
              <w:spacing w:after="20"/>
              <w:jc w:val="right"/>
            </w:pPr>
            <w:r>
              <w:rPr>
                <w:color w:val="1C3A36"/>
                <w:sz w:val="12"/>
              </w:rPr>
              <w:t>0.7300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polyethylene utilisation rate, H1 2026, 73%, after the 5 April incident and the Strait of Hormuz closure</w:t>
            </w:r>
          </w:p>
        </w:tc>
      </w:tr>
      <w:tr>
        <w:tc>
          <w:tcPr>
            <w:tcW w:type="dxa" w:w="1872"/>
          </w:tcPr>
          <w:p>
            <w:pPr>
              <w:spacing w:after="20"/>
            </w:pPr>
            <w:r>
              <w:rPr>
                <w:color w:val="1C3A36"/>
                <w:sz w:val="12"/>
              </w:rPr>
              <w:t>util pp fy24</w:t>
            </w:r>
          </w:p>
        </w:tc>
        <w:tc>
          <w:tcPr>
            <w:tcW w:type="dxa" w:w="1224"/>
          </w:tcPr>
          <w:p>
            <w:pPr>
              <w:spacing w:after="20"/>
              <w:jc w:val="right"/>
            </w:pPr>
            <w:r>
              <w:rPr>
                <w:color w:val="1C3A36"/>
                <w:sz w:val="12"/>
              </w:rPr>
              <w:t>0.9800</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polypropylene utilisation rate, FY2024, 98%</w:t>
            </w:r>
          </w:p>
        </w:tc>
      </w:tr>
      <w:tr>
        <w:tc>
          <w:tcPr>
            <w:tcW w:type="dxa" w:w="1872"/>
          </w:tcPr>
          <w:p>
            <w:pPr>
              <w:spacing w:after="20"/>
            </w:pPr>
            <w:r>
              <w:rPr>
                <w:color w:val="1C3A36"/>
                <w:sz w:val="12"/>
              </w:rPr>
              <w:t>util pp fy25</w:t>
            </w:r>
          </w:p>
        </w:tc>
        <w:tc>
          <w:tcPr>
            <w:tcW w:type="dxa" w:w="1224"/>
          </w:tcPr>
          <w:p>
            <w:pPr>
              <w:spacing w:after="20"/>
              <w:jc w:val="right"/>
            </w:pPr>
            <w:r>
              <w:rPr>
                <w:color w:val="1C3A36"/>
                <w:sz w:val="12"/>
              </w:rPr>
              <w:t>1</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utilisation rate, FY2025, 100%</w:t>
            </w:r>
          </w:p>
        </w:tc>
      </w:tr>
      <w:tr>
        <w:tc>
          <w:tcPr>
            <w:tcW w:type="dxa" w:w="1872"/>
          </w:tcPr>
          <w:p>
            <w:pPr>
              <w:spacing w:after="20"/>
            </w:pPr>
            <w:r>
              <w:rPr>
                <w:color w:val="1C3A36"/>
                <w:sz w:val="12"/>
              </w:rPr>
              <w:t>util pp h126</w:t>
            </w:r>
          </w:p>
        </w:tc>
        <w:tc>
          <w:tcPr>
            <w:tcW w:type="dxa" w:w="1224"/>
          </w:tcPr>
          <w:p>
            <w:pPr>
              <w:spacing w:after="20"/>
              <w:jc w:val="right"/>
            </w:pPr>
            <w:r>
              <w:rPr>
                <w:color w:val="1C3A36"/>
                <w:sz w:val="12"/>
              </w:rPr>
              <w:t>0.8400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polypropylene utilisation rate, H1 2026, 84%</w:t>
            </w:r>
          </w:p>
        </w:tc>
      </w:tr>
      <w:tr>
        <w:tc>
          <w:tcPr>
            <w:tcW w:type="dxa" w:w="1872"/>
          </w:tcPr>
          <w:p>
            <w:pPr>
              <w:spacing w:after="20"/>
            </w:pPr>
            <w:r>
              <w:rPr>
                <w:color w:val="1C3A36"/>
                <w:sz w:val="12"/>
              </w:rPr>
              <w:t>vol oth fy23</w:t>
            </w:r>
          </w:p>
        </w:tc>
        <w:tc>
          <w:tcPr>
            <w:tcW w:type="dxa" w:w="1224"/>
          </w:tcPr>
          <w:p>
            <w:pPr>
              <w:spacing w:after="20"/>
              <w:jc w:val="right"/>
            </w:pPr>
            <w:r>
              <w:rPr>
                <w:color w:val="1C3A36"/>
                <w:sz w:val="12"/>
              </w:rPr>
              <w:t>116</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ethylene and others sales volumes, FY2023, kt</w:t>
            </w:r>
          </w:p>
        </w:tc>
      </w:tr>
      <w:tr>
        <w:tc>
          <w:tcPr>
            <w:tcW w:type="dxa" w:w="1872"/>
          </w:tcPr>
          <w:p>
            <w:pPr>
              <w:spacing w:after="20"/>
            </w:pPr>
            <w:r>
              <w:rPr>
                <w:color w:val="1C3A36"/>
                <w:sz w:val="12"/>
              </w:rPr>
              <w:t>vol oth fy24</w:t>
            </w:r>
          </w:p>
        </w:tc>
        <w:tc>
          <w:tcPr>
            <w:tcW w:type="dxa" w:w="1224"/>
          </w:tcPr>
          <w:p>
            <w:pPr>
              <w:spacing w:after="20"/>
              <w:jc w:val="right"/>
            </w:pPr>
            <w:r>
              <w:rPr>
                <w:color w:val="1C3A36"/>
                <w:sz w:val="12"/>
              </w:rPr>
              <w:t>10</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ethylene and others sales volumes, FY2024, kt</w:t>
            </w:r>
          </w:p>
        </w:tc>
      </w:tr>
      <w:tr>
        <w:tc>
          <w:tcPr>
            <w:tcW w:type="dxa" w:w="1872"/>
          </w:tcPr>
          <w:p>
            <w:pPr>
              <w:spacing w:after="20"/>
            </w:pPr>
            <w:r>
              <w:rPr>
                <w:color w:val="1C3A36"/>
                <w:sz w:val="12"/>
              </w:rPr>
              <w:t>vol oth fy25</w:t>
            </w:r>
          </w:p>
        </w:tc>
        <w:tc>
          <w:tcPr>
            <w:tcW w:type="dxa" w:w="1224"/>
          </w:tcPr>
          <w:p>
            <w:pPr>
              <w:spacing w:after="20"/>
              <w:jc w:val="right"/>
            </w:pPr>
            <w:r>
              <w:rPr>
                <w:color w:val="1C3A36"/>
                <w:sz w:val="12"/>
              </w:rPr>
              <w:t>13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ethylene and others sales volumes, FY2025, kt</w:t>
            </w:r>
          </w:p>
        </w:tc>
      </w:tr>
      <w:tr>
        <w:tc>
          <w:tcPr>
            <w:tcW w:type="dxa" w:w="1872"/>
          </w:tcPr>
          <w:p>
            <w:pPr>
              <w:spacing w:after="20"/>
            </w:pPr>
            <w:r>
              <w:rPr>
                <w:color w:val="1C3A36"/>
                <w:sz w:val="12"/>
              </w:rPr>
              <w:t>vol pe fy23</w:t>
            </w:r>
          </w:p>
        </w:tc>
        <w:tc>
          <w:tcPr>
            <w:tcW w:type="dxa" w:w="1224"/>
          </w:tcPr>
          <w:p>
            <w:pPr>
              <w:spacing w:after="20"/>
              <w:jc w:val="right"/>
            </w:pPr>
            <w:r>
              <w:rPr>
                <w:color w:val="1C3A36"/>
                <w:sz w:val="12"/>
              </w:rPr>
              <w:t>2,715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polyethylene sales volumes, FY2023 comparative, kt</w:t>
            </w:r>
          </w:p>
        </w:tc>
      </w:tr>
      <w:tr>
        <w:tc>
          <w:tcPr>
            <w:tcW w:type="dxa" w:w="1872"/>
          </w:tcPr>
          <w:p>
            <w:pPr>
              <w:spacing w:after="20"/>
            </w:pPr>
            <w:r>
              <w:rPr>
                <w:color w:val="1C3A36"/>
                <w:sz w:val="12"/>
              </w:rPr>
              <w:t>vol pe fy24</w:t>
            </w:r>
          </w:p>
        </w:tc>
        <w:tc>
          <w:tcPr>
            <w:tcW w:type="dxa" w:w="1224"/>
          </w:tcPr>
          <w:p>
            <w:pPr>
              <w:spacing w:after="20"/>
              <w:jc w:val="right"/>
            </w:pPr>
            <w:r>
              <w:rPr>
                <w:color w:val="1C3A36"/>
                <w:sz w:val="12"/>
              </w:rPr>
              <w:t>3,072</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polyethylene sales volumes, FY2024 comparative, kt</w:t>
            </w:r>
          </w:p>
        </w:tc>
      </w:tr>
      <w:tr>
        <w:tc>
          <w:tcPr>
            <w:tcW w:type="dxa" w:w="1872"/>
          </w:tcPr>
          <w:p>
            <w:pPr>
              <w:spacing w:after="20"/>
            </w:pPr>
            <w:r>
              <w:rPr>
                <w:color w:val="1C3A36"/>
                <w:sz w:val="12"/>
              </w:rPr>
              <w:t>vol pe fy25</w:t>
            </w:r>
          </w:p>
        </w:tc>
        <w:tc>
          <w:tcPr>
            <w:tcW w:type="dxa" w:w="1224"/>
          </w:tcPr>
          <w:p>
            <w:pPr>
              <w:spacing w:after="20"/>
              <w:jc w:val="right"/>
            </w:pPr>
            <w:r>
              <w:rPr>
                <w:color w:val="1C3A36"/>
                <w:sz w:val="12"/>
              </w:rPr>
              <w:t>3,053</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polyethylene sales volumes, FY2025, kt</w:t>
            </w:r>
          </w:p>
        </w:tc>
      </w:tr>
      <w:tr>
        <w:tc>
          <w:tcPr>
            <w:tcW w:type="dxa" w:w="1872"/>
          </w:tcPr>
          <w:p>
            <w:pPr>
              <w:spacing w:after="20"/>
            </w:pPr>
            <w:r>
              <w:rPr>
                <w:color w:val="1C3A36"/>
                <w:sz w:val="12"/>
              </w:rPr>
              <w:t>vol pe h126</w:t>
            </w:r>
          </w:p>
        </w:tc>
        <w:tc>
          <w:tcPr>
            <w:tcW w:type="dxa" w:w="1224"/>
          </w:tcPr>
          <w:p>
            <w:pPr>
              <w:spacing w:after="20"/>
              <w:jc w:val="right"/>
            </w:pPr>
            <w:r>
              <w:rPr>
                <w:color w:val="1C3A36"/>
                <w:sz w:val="12"/>
              </w:rPr>
              <w:t>1,048</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polyethylene sales volumes, H1 2026, kt</w:t>
            </w:r>
          </w:p>
        </w:tc>
      </w:tr>
      <w:tr>
        <w:tc>
          <w:tcPr>
            <w:tcW w:type="dxa" w:w="1872"/>
          </w:tcPr>
          <w:p>
            <w:pPr>
              <w:spacing w:after="20"/>
            </w:pPr>
            <w:r>
              <w:rPr>
                <w:color w:val="1C3A36"/>
                <w:sz w:val="12"/>
              </w:rPr>
              <w:t>vol pp fy23</w:t>
            </w:r>
          </w:p>
        </w:tc>
        <w:tc>
          <w:tcPr>
            <w:tcW w:type="dxa" w:w="1224"/>
          </w:tcPr>
          <w:p>
            <w:pPr>
              <w:spacing w:after="20"/>
              <w:jc w:val="right"/>
            </w:pPr>
            <w:r>
              <w:rPr>
                <w:color w:val="1C3A36"/>
                <w:sz w:val="12"/>
              </w:rPr>
              <w:t>2,285</w:t>
            </w:r>
          </w:p>
        </w:tc>
        <w:tc>
          <w:tcPr>
            <w:tcW w:type="dxa" w:w="1008"/>
          </w:tcPr>
          <w:p>
            <w:pPr>
              <w:spacing w:after="20"/>
              <w:jc w:val="right"/>
            </w:pPr>
            <w:r>
              <w:rPr>
                <w:color w:val="1C3A36"/>
                <w:sz w:val="12"/>
              </w:rPr>
              <w:t>2023-12-31</w:t>
            </w:r>
          </w:p>
        </w:tc>
        <w:tc>
          <w:tcPr>
            <w:tcW w:type="dxa" w:w="5688"/>
          </w:tcPr>
          <w:p>
            <w:pPr>
              <w:spacing w:after="20"/>
              <w:jc w:val="right"/>
            </w:pPr>
            <w:r>
              <w:rPr>
                <w:color w:val="1C3A36"/>
                <w:sz w:val="12"/>
              </w:rPr>
              <w:t>Borouge plc Q4/FY 2024 Management Discussion &amp; Analysis — polypropylene sales volumes, FY2023 comparative, kt</w:t>
            </w:r>
          </w:p>
        </w:tc>
      </w:tr>
      <w:tr>
        <w:tc>
          <w:tcPr>
            <w:tcW w:type="dxa" w:w="1872"/>
          </w:tcPr>
          <w:p>
            <w:pPr>
              <w:spacing w:after="20"/>
            </w:pPr>
            <w:r>
              <w:rPr>
                <w:color w:val="1C3A36"/>
                <w:sz w:val="12"/>
              </w:rPr>
              <w:t>vol pp fy24</w:t>
            </w:r>
          </w:p>
        </w:tc>
        <w:tc>
          <w:tcPr>
            <w:tcW w:type="dxa" w:w="1224"/>
          </w:tcPr>
          <w:p>
            <w:pPr>
              <w:spacing w:after="20"/>
              <w:jc w:val="right"/>
            </w:pPr>
            <w:r>
              <w:rPr>
                <w:color w:val="1C3A36"/>
                <w:sz w:val="12"/>
              </w:rPr>
              <w:t>2,253</w:t>
            </w:r>
          </w:p>
        </w:tc>
        <w:tc>
          <w:tcPr>
            <w:tcW w:type="dxa" w:w="1008"/>
          </w:tcPr>
          <w:p>
            <w:pPr>
              <w:spacing w:after="20"/>
              <w:jc w:val="right"/>
            </w:pPr>
            <w:r>
              <w:rPr>
                <w:color w:val="1C3A36"/>
                <w:sz w:val="12"/>
              </w:rPr>
              <w:t>2024-12-31</w:t>
            </w:r>
          </w:p>
        </w:tc>
        <w:tc>
          <w:tcPr>
            <w:tcW w:type="dxa" w:w="5688"/>
          </w:tcPr>
          <w:p>
            <w:pPr>
              <w:spacing w:after="20"/>
              <w:jc w:val="right"/>
            </w:pPr>
            <w:r>
              <w:rPr>
                <w:color w:val="1C3A36"/>
                <w:sz w:val="12"/>
              </w:rPr>
              <w:t>Borouge plc Q4/FY 2025 Management Discussion &amp; Analysis — polypropylene sales volumes, FY2024 comparative, kt</w:t>
            </w:r>
          </w:p>
        </w:tc>
      </w:tr>
      <w:tr>
        <w:tc>
          <w:tcPr>
            <w:tcW w:type="dxa" w:w="1872"/>
          </w:tcPr>
          <w:p>
            <w:pPr>
              <w:spacing w:after="20"/>
            </w:pPr>
            <w:r>
              <w:rPr>
                <w:color w:val="1C3A36"/>
                <w:sz w:val="12"/>
              </w:rPr>
              <w:t>vol pp fy25</w:t>
            </w:r>
          </w:p>
        </w:tc>
        <w:tc>
          <w:tcPr>
            <w:tcW w:type="dxa" w:w="1224"/>
          </w:tcPr>
          <w:p>
            <w:pPr>
              <w:spacing w:after="20"/>
              <w:jc w:val="right"/>
            </w:pPr>
            <w:r>
              <w:rPr>
                <w:color w:val="1C3A36"/>
                <w:sz w:val="12"/>
              </w:rPr>
              <w:t>2,322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Borouge plc Q4/FY 2025 Management Discussion &amp; Analysis — polypropylene sales volumes, FY2025, kt</w:t>
            </w:r>
          </w:p>
        </w:tc>
      </w:tr>
      <w:tr>
        <w:tc>
          <w:tcPr>
            <w:tcW w:type="dxa" w:w="1872"/>
          </w:tcPr>
          <w:p>
            <w:pPr>
              <w:spacing w:after="20"/>
            </w:pPr>
            <w:r>
              <w:rPr>
                <w:color w:val="1C3A36"/>
                <w:sz w:val="12"/>
              </w:rPr>
              <w:t>vol pp h126</w:t>
            </w:r>
          </w:p>
        </w:tc>
        <w:tc>
          <w:tcPr>
            <w:tcW w:type="dxa" w:w="1224"/>
          </w:tcPr>
          <w:p>
            <w:pPr>
              <w:spacing w:after="20"/>
              <w:jc w:val="right"/>
            </w:pPr>
            <w:r>
              <w:rPr>
                <w:color w:val="1C3A36"/>
                <w:sz w:val="12"/>
              </w:rPr>
              <w:t>910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Borouge plc Q2 2026 Management Discussion &amp; Analysis — polypropylene sales volumes, H1 2026, kt</w:t>
            </w:r>
          </w:p>
        </w:tc>
      </w:tr>
    </w:tbl>
    <w:p>
      <w:pPr>
        <w:spacing w:after="40"/>
      </w:pPr>
    </w:p>
    <w:p>
      <w:pPr>
        <w:spacing w:after="200" w:before="0"/>
      </w:pPr>
      <w:r>
        <w:rPr>
          <w:b w:val="0"/>
          <w:i/>
          <w:color w:val="6E7B77"/>
          <w:sz w:val="17"/>
        </w:rPr>
        <w:t>Table 2 — The company input register. Values in USD thousand unless the source text says otherwise.</w:t>
      </w:r>
    </w:p>
    <w:p>
      <w:pPr>
        <w:spacing w:after="80" w:before="200"/>
      </w:pPr>
      <w:r>
        <w:rPr>
          <w:b/>
          <w:i w:val="0"/>
          <w:color w:val="1C3A36"/>
          <w:sz w:val="24"/>
        </w:rPr>
        <w:t>2.2  Market, country and industry inputs</w:t>
      </w:r>
    </w:p>
    <w:p>
      <w:pPr>
        <w:spacing w:after="120" w:before="0"/>
      </w:pPr>
      <w:r>
        <w:rPr>
          <w:b w:val="0"/>
          <w:i w:val="0"/>
          <w:color w:val="1C3A36"/>
          <w:sz w:val="21"/>
        </w:rPr>
        <w:t>44 inputs. These set the cost of capital, the macro backdrop and the forecast price direction. None of them is a source for a figure Borouge reports.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224"/>
        <w:gridCol w:w="1008"/>
        <w:gridCol w:w="5688"/>
      </w:tblGrid>
      <w:tr>
        <w:tc>
          <w:tcPr>
            <w:tcW w:type="dxa" w:w="1872"/>
            <w:shd w:val="clear" w:color="auto" w:fill="EAF0EE"/>
          </w:tcPr>
          <w:p>
            <w:pPr>
              <w:spacing w:after="20"/>
            </w:pPr>
            <w:r>
              <w:rPr>
                <w:b/>
                <w:color w:val="1C3A36"/>
                <w:sz w:val="12"/>
              </w:rPr>
              <w:t>Input</w:t>
            </w:r>
          </w:p>
        </w:tc>
        <w:tc>
          <w:tcPr>
            <w:tcW w:type="dxa" w:w="1224"/>
            <w:shd w:val="clear" w:color="auto" w:fill="EAF0EE"/>
          </w:tcPr>
          <w:p>
            <w:pPr>
              <w:spacing w:after="20"/>
            </w:pPr>
            <w:r>
              <w:rPr>
                <w:b/>
                <w:color w:val="1C3A36"/>
                <w:sz w:val="12"/>
              </w:rPr>
              <w:t>Value</w:t>
            </w:r>
          </w:p>
        </w:tc>
        <w:tc>
          <w:tcPr>
            <w:tcW w:type="dxa" w:w="1008"/>
            <w:shd w:val="clear" w:color="auto" w:fill="EAF0EE"/>
          </w:tcPr>
          <w:p>
            <w:pPr>
              <w:spacing w:after="20"/>
            </w:pPr>
            <w:r>
              <w:rPr>
                <w:b/>
                <w:color w:val="1C3A36"/>
                <w:sz w:val="12"/>
              </w:rPr>
              <w:t>As at</w:t>
            </w:r>
          </w:p>
        </w:tc>
        <w:tc>
          <w:tcPr>
            <w:tcW w:type="dxa" w:w="5688"/>
            <w:shd w:val="clear" w:color="auto" w:fill="EAF0EE"/>
          </w:tcPr>
          <w:p>
            <w:pPr>
              <w:spacing w:after="20"/>
            </w:pPr>
            <w:r>
              <w:rPr>
                <w:b/>
                <w:color w:val="1C3A36"/>
                <w:sz w:val="12"/>
              </w:rPr>
              <w:t>Source and construction</w:t>
            </w:r>
          </w:p>
        </w:tc>
      </w:tr>
      <w:tr>
        <w:tc>
          <w:tcPr>
            <w:tcW w:type="dxa" w:w="1872"/>
          </w:tcPr>
          <w:p>
            <w:pPr>
              <w:spacing w:after="20"/>
            </w:pPr>
            <w:r>
              <w:rPr>
                <w:color w:val="1C3A36"/>
                <w:sz w:val="12"/>
              </w:rPr>
              <w:t>analyst consensus target</w:t>
            </w:r>
          </w:p>
        </w:tc>
        <w:tc>
          <w:tcPr>
            <w:tcW w:type="dxa" w:w="1224"/>
          </w:tcPr>
          <w:p>
            <w:pPr>
              <w:spacing w:after="20"/>
              <w:jc w:val="right"/>
            </w:pPr>
            <w:r>
              <w:rPr>
                <w:color w:val="1C3A36"/>
                <w:sz w:val="12"/>
              </w:rPr>
              <w:t>2.78</w:t>
            </w:r>
          </w:p>
        </w:tc>
        <w:tc>
          <w:tcPr>
            <w:tcW w:type="dxa" w:w="1008"/>
          </w:tcPr>
          <w:p>
            <w:pPr>
              <w:spacing w:after="20"/>
              <w:jc w:val="right"/>
            </w:pPr>
            <w:r>
              <w:rPr>
                <w:color w:val="1C3A36"/>
                <w:sz w:val="12"/>
              </w:rPr>
              <w:t>2026-08-09</w:t>
            </w:r>
          </w:p>
        </w:tc>
        <w:tc>
          <w:tcPr>
            <w:tcW w:type="dxa" w:w="5688"/>
          </w:tcPr>
          <w:p>
            <w:pPr>
              <w:spacing w:after="20"/>
              <w:jc w:val="right"/>
            </w:pPr>
            <w:r>
              <w:rPr>
                <w:color w:val="1C3A36"/>
                <w:sz w:val="12"/>
              </w:rPr>
              <w:t>Consensus of 13 analysts, average target price AED 2.78, reported by stockanalysis.com on 9 August 2026; a second panel of 5 analysts on Investing.com averages AED 2.66 with a high of AED 3.048 and a low of AED 2.299. THIRD-PARTY OPINION, recorded for contrast only and used in no calculation</w:t>
            </w:r>
          </w:p>
        </w:tc>
      </w:tr>
      <w:tr>
        <w:tc>
          <w:tcPr>
            <w:tcW w:type="dxa" w:w="1872"/>
          </w:tcPr>
          <w:p>
            <w:pPr>
              <w:spacing w:after="20"/>
            </w:pPr>
            <w:r>
              <w:rPr>
                <w:color w:val="1C3A36"/>
                <w:sz w:val="12"/>
              </w:rPr>
              <w:t>b4 accretion post rampup</w:t>
            </w:r>
          </w:p>
        </w:tc>
        <w:tc>
          <w:tcPr>
            <w:tcW w:type="dxa" w:w="1224"/>
          </w:tcPr>
          <w:p>
            <w:pPr>
              <w:spacing w:after="20"/>
              <w:jc w:val="right"/>
            </w:pPr>
            <w:r>
              <w:rPr>
                <w:color w:val="1C3A36"/>
                <w:sz w:val="12"/>
              </w:rPr>
              <w:t>0.1000</w:t>
            </w:r>
          </w:p>
        </w:tc>
        <w:tc>
          <w:tcPr>
            <w:tcW w:type="dxa" w:w="1008"/>
          </w:tcPr>
          <w:p>
            <w:pPr>
              <w:spacing w:after="20"/>
              <w:jc w:val="right"/>
            </w:pPr>
            <w:r>
              <w:rPr>
                <w:color w:val="1C3A36"/>
                <w:sz w:val="12"/>
              </w:rPr>
              <w:t>2026-03-19</w:t>
            </w:r>
          </w:p>
        </w:tc>
        <w:tc>
          <w:tcPr>
            <w:tcW w:type="dxa" w:w="5688"/>
          </w:tcPr>
          <w:p>
            <w:pPr>
              <w:spacing w:after="20"/>
              <w:jc w:val="right"/>
            </w:pPr>
            <w:r>
              <w:rPr>
                <w:color w:val="1C3A36"/>
                <w:sz w:val="12"/>
              </w:rPr>
              <w:t>ADNOC press release, 19 March 2026 — approximately 10% annual earnings accretion to Borouge plc after Borouge 4 ramp-up</w:t>
            </w:r>
          </w:p>
        </w:tc>
      </w:tr>
      <w:tr>
        <w:tc>
          <w:tcPr>
            <w:tcW w:type="dxa" w:w="1872"/>
          </w:tcPr>
          <w:p>
            <w:pPr>
              <w:spacing w:after="20"/>
            </w:pPr>
            <w:r>
              <w:rPr>
                <w:color w:val="1C3A36"/>
                <w:sz w:val="12"/>
              </w:rPr>
              <w:t>b4 capacity</w:t>
            </w:r>
          </w:p>
        </w:tc>
        <w:tc>
          <w:tcPr>
            <w:tcW w:type="dxa" w:w="1224"/>
          </w:tcPr>
          <w:p>
            <w:pPr>
              <w:spacing w:after="20"/>
              <w:jc w:val="right"/>
            </w:pPr>
            <w:r>
              <w:rPr>
                <w:color w:val="1C3A36"/>
                <w:sz w:val="12"/>
              </w:rPr>
              <w:t>1,400</w:t>
            </w:r>
          </w:p>
        </w:tc>
        <w:tc>
          <w:tcPr>
            <w:tcW w:type="dxa" w:w="1008"/>
          </w:tcPr>
          <w:p>
            <w:pPr>
              <w:spacing w:after="20"/>
              <w:jc w:val="right"/>
            </w:pPr>
            <w:r>
              <w:rPr>
                <w:color w:val="1C3A36"/>
                <w:sz w:val="12"/>
              </w:rPr>
              <w:t>2026-03-31</w:t>
            </w:r>
          </w:p>
        </w:tc>
        <w:tc>
          <w:tcPr>
            <w:tcW w:type="dxa" w:w="5688"/>
          </w:tcPr>
          <w:p>
            <w:pPr>
              <w:spacing w:after="20"/>
              <w:jc w:val="right"/>
            </w:pPr>
            <w:r>
              <w:rPr>
                <w:color w:val="1C3A36"/>
                <w:sz w:val="12"/>
              </w:rPr>
              <w:t>Borouge 4 adds 1.4 million tonnes per annum of polyethylene, making Ruwais the world's largest single-site polyolefin complex — ADNOC and OMV completion releases. Borouge plc markets this volume but does not own the capacity, so it never enters the unit build</w:t>
            </w:r>
          </w:p>
        </w:tc>
      </w:tr>
      <w:tr>
        <w:tc>
          <w:tcPr>
            <w:tcW w:type="dxa" w:w="1872"/>
          </w:tcPr>
          <w:p>
            <w:pPr>
              <w:spacing w:after="20"/>
            </w:pPr>
            <w:r>
              <w:rPr>
                <w:color w:val="1C3A36"/>
                <w:sz w:val="12"/>
              </w:rPr>
              <w:t>b4 cumulative net profit 3y</w:t>
            </w:r>
          </w:p>
        </w:tc>
        <w:tc>
          <w:tcPr>
            <w:tcW w:type="dxa" w:w="1224"/>
          </w:tcPr>
          <w:p>
            <w:pPr>
              <w:spacing w:after="20"/>
              <w:jc w:val="right"/>
            </w:pPr>
            <w:r>
              <w:rPr>
                <w:color w:val="1C3A36"/>
                <w:sz w:val="12"/>
              </w:rPr>
              <w:t>400</w:t>
            </w:r>
          </w:p>
        </w:tc>
        <w:tc>
          <w:tcPr>
            <w:tcW w:type="dxa" w:w="1008"/>
          </w:tcPr>
          <w:p>
            <w:pPr>
              <w:spacing w:after="20"/>
              <w:jc w:val="right"/>
            </w:pPr>
            <w:r>
              <w:rPr>
                <w:color w:val="1C3A36"/>
                <w:sz w:val="12"/>
              </w:rPr>
              <w:t>2026-03-19</w:t>
            </w:r>
          </w:p>
        </w:tc>
        <w:tc>
          <w:tcPr>
            <w:tcW w:type="dxa" w:w="5688"/>
          </w:tcPr>
          <w:p>
            <w:pPr>
              <w:spacing w:after="20"/>
              <w:jc w:val="right"/>
            </w:pPr>
            <w:r>
              <w:rPr>
                <w:color w:val="1C3A36"/>
                <w:sz w:val="12"/>
              </w:rPr>
              <w:t>ADNOC press release, 19 March 2026 — the Asset Usage Agreement is expected to deliver Borouge plc USD 400 million of cumulative net profit over the next three years</w:t>
            </w:r>
          </w:p>
        </w:tc>
      </w:tr>
      <w:tr>
        <w:tc>
          <w:tcPr>
            <w:tcW w:type="dxa" w:w="1872"/>
          </w:tcPr>
          <w:p>
            <w:pPr>
              <w:spacing w:after="20"/>
            </w:pPr>
            <w:r>
              <w:rPr>
                <w:color w:val="1C3A36"/>
                <w:sz w:val="12"/>
              </w:rPr>
              <w:t>b4 owner adnoc</w:t>
            </w:r>
          </w:p>
        </w:tc>
        <w:tc>
          <w:tcPr>
            <w:tcW w:type="dxa" w:w="1224"/>
          </w:tcPr>
          <w:p>
            <w:pPr>
              <w:spacing w:after="20"/>
              <w:jc w:val="right"/>
            </w:pPr>
            <w:r>
              <w:rPr>
                <w:color w:val="1C3A36"/>
                <w:sz w:val="12"/>
              </w:rPr>
              <w:t>0.7000</w:t>
            </w:r>
          </w:p>
        </w:tc>
        <w:tc>
          <w:tcPr>
            <w:tcW w:type="dxa" w:w="1008"/>
          </w:tcPr>
          <w:p>
            <w:pPr>
              <w:spacing w:after="20"/>
              <w:jc w:val="right"/>
            </w:pPr>
            <w:r>
              <w:rPr>
                <w:color w:val="1C3A36"/>
                <w:sz w:val="12"/>
              </w:rPr>
              <w:t>2026-03-19</w:t>
            </w:r>
          </w:p>
        </w:tc>
        <w:tc>
          <w:tcPr>
            <w:tcW w:type="dxa" w:w="5688"/>
          </w:tcPr>
          <w:p>
            <w:pPr>
              <w:spacing w:after="20"/>
              <w:jc w:val="right"/>
            </w:pPr>
            <w:r>
              <w:rPr>
                <w:color w:val="1C3A36"/>
                <w:sz w:val="12"/>
              </w:rPr>
              <w:t>ADNOC press release, 'ADNOC and OMV advance formation of Borouge Group International AG', 19 March 2026 — Borouge 4 is owned 70% by ADNOC and 30% by OMV, and is NOT owned by Borouge plc</w:t>
            </w:r>
          </w:p>
        </w:tc>
      </w:tr>
      <w:tr>
        <w:tc>
          <w:tcPr>
            <w:tcW w:type="dxa" w:w="1872"/>
          </w:tcPr>
          <w:p>
            <w:pPr>
              <w:spacing w:after="20"/>
            </w:pPr>
            <w:r>
              <w:rPr>
                <w:color w:val="1C3A36"/>
                <w:sz w:val="12"/>
              </w:rPr>
              <w:t>b4 recontribution</w:t>
            </w:r>
          </w:p>
        </w:tc>
        <w:tc>
          <w:tcPr>
            <w:tcW w:type="dxa" w:w="1224"/>
          </w:tcPr>
          <w:p>
            <w:pPr>
              <w:spacing w:after="20"/>
              <w:jc w:val="right"/>
            </w:pPr>
            <w:r>
              <w:rPr>
                <w:color w:val="1C3A36"/>
                <w:sz w:val="12"/>
              </w:rPr>
              <w:t>2,029</w:t>
            </w:r>
          </w:p>
        </w:tc>
        <w:tc>
          <w:tcPr>
            <w:tcW w:type="dxa" w:w="1008"/>
          </w:tcPr>
          <w:p>
            <w:pPr>
              <w:spacing w:after="20"/>
              <w:jc w:val="right"/>
            </w:pPr>
            <w:r>
              <w:rPr>
                <w:color w:val="1C3A36"/>
                <w:sz w:val="12"/>
              </w:rPr>
              <w:t>2026-03-19</w:t>
            </w:r>
          </w:p>
        </w:tc>
        <w:tc>
          <w:tcPr>
            <w:tcW w:type="dxa" w:w="5688"/>
          </w:tcPr>
          <w:p>
            <w:pPr>
              <w:spacing w:after="20"/>
              <w:jc w:val="right"/>
            </w:pPr>
            <w:r>
              <w:rPr>
                <w:color w:val="1C3A36"/>
                <w:sz w:val="12"/>
              </w:rPr>
              <w:t>ADNOC press release, 19 March 2026 — recontribution of Borouge 4 into Borouge Group International is 'not expected before 2029', deferred from an original expectation of end-2026. Any model built before 19 March 2026 carries the old date</w:t>
            </w:r>
          </w:p>
        </w:tc>
      </w:tr>
      <w:tr>
        <w:tc>
          <w:tcPr>
            <w:tcW w:type="dxa" w:w="1872"/>
          </w:tcPr>
          <w:p>
            <w:pPr>
              <w:spacing w:after="20"/>
            </w:pPr>
            <w:r>
              <w:rPr>
                <w:color w:val="1C3A36"/>
                <w:sz w:val="12"/>
              </w:rPr>
              <w:t>bgi ownership omv</w:t>
            </w:r>
          </w:p>
        </w:tc>
        <w:tc>
          <w:tcPr>
            <w:tcW w:type="dxa" w:w="1224"/>
          </w:tcPr>
          <w:p>
            <w:pPr>
              <w:spacing w:after="20"/>
              <w:jc w:val="right"/>
            </w:pPr>
            <w:r>
              <w:rPr>
                <w:color w:val="1C3A36"/>
                <w:sz w:val="12"/>
              </w:rPr>
              <w:t>0.5000</w:t>
            </w:r>
          </w:p>
        </w:tc>
        <w:tc>
          <w:tcPr>
            <w:tcW w:type="dxa" w:w="1008"/>
          </w:tcPr>
          <w:p>
            <w:pPr>
              <w:spacing w:after="20"/>
              <w:jc w:val="right"/>
            </w:pPr>
            <w:r>
              <w:rPr>
                <w:color w:val="1C3A36"/>
                <w:sz w:val="12"/>
              </w:rPr>
              <w:t>2026-03-31</w:t>
            </w:r>
          </w:p>
        </w:tc>
        <w:tc>
          <w:tcPr>
            <w:tcW w:type="dxa" w:w="5688"/>
          </w:tcPr>
          <w:p>
            <w:pPr>
              <w:spacing w:after="20"/>
              <w:jc w:val="right"/>
            </w:pPr>
            <w:r>
              <w:rPr>
                <w:color w:val="1C3A36"/>
                <w:sz w:val="12"/>
              </w:rPr>
              <w:t>OMV press release, 'OMV and XRG complete transactions to create Borouge International', 31 March 2026 — at completion Borouge Group International is held 50% by OMV and 50% by XRG, a wholly owned ADNOC subsidiary, under joint control. The 46.94/46.94/6.12 split announced on 4 March 2025 was a pro-forma structure contingent on Borouge plc's free float accepting an exchange that has not happened. Borouge plc minorities were NOT rolled in and Borouge plc remains separately listed on ADX</w:t>
            </w:r>
          </w:p>
        </w:tc>
      </w:tr>
      <w:tr>
        <w:tc>
          <w:tcPr>
            <w:tcW w:type="dxa" w:w="1872"/>
          </w:tcPr>
          <w:p>
            <w:pPr>
              <w:spacing w:after="20"/>
            </w:pPr>
            <w:r>
              <w:rPr>
                <w:color w:val="1C3A36"/>
                <w:sz w:val="12"/>
              </w:rPr>
              <w:t>bgi tender year</w:t>
            </w:r>
          </w:p>
        </w:tc>
        <w:tc>
          <w:tcPr>
            <w:tcW w:type="dxa" w:w="1224"/>
          </w:tcPr>
          <w:p>
            <w:pPr>
              <w:spacing w:after="20"/>
              <w:jc w:val="right"/>
            </w:pPr>
            <w:r>
              <w:rPr>
                <w:color w:val="1C3A36"/>
                <w:sz w:val="12"/>
              </w:rPr>
              <w:t>2,027</w:t>
            </w:r>
          </w:p>
        </w:tc>
        <w:tc>
          <w:tcPr>
            <w:tcW w:type="dxa" w:w="1008"/>
          </w:tcPr>
          <w:p>
            <w:pPr>
              <w:spacing w:after="20"/>
              <w:jc w:val="right"/>
            </w:pPr>
            <w:r>
              <w:rPr>
                <w:color w:val="1C3A36"/>
                <w:sz w:val="12"/>
              </w:rPr>
              <w:t>2026-03-19</w:t>
            </w:r>
          </w:p>
        </w:tc>
        <w:tc>
          <w:tcPr>
            <w:tcW w:type="dxa" w:w="5688"/>
          </w:tcPr>
          <w:p>
            <w:pPr>
              <w:spacing w:after="20"/>
              <w:jc w:val="right"/>
            </w:pPr>
            <w:r>
              <w:rPr>
                <w:color w:val="1C3A36"/>
                <w:sz w:val="12"/>
              </w:rPr>
              <w:t>ADNOC (19 March 2026) and OMV (31 March 2026) — a tender offer converting Borouge plc shares into Borouge Group International AG shares is expected in 2027, subject to market conditions, a BGI equity raise and Securities and Commodities Authority approval. NO EXCHANGE RATIO AND NO IMPLIED VALUATION OF BOROUGE PLC HAS BEEN PUBLISHED as at 9 August 2026; this was verified as absent across all three primary announcements rather than assumed</w:t>
            </w:r>
          </w:p>
        </w:tc>
      </w:tr>
      <w:tr>
        <w:tc>
          <w:tcPr>
            <w:tcW w:type="dxa" w:w="1872"/>
          </w:tcPr>
          <w:p>
            <w:pPr>
              <w:spacing w:after="20"/>
            </w:pPr>
            <w:r>
              <w:rPr>
                <w:color w:val="1C3A36"/>
                <w:sz w:val="12"/>
              </w:rPr>
              <w:t>brent eia</w:t>
            </w:r>
          </w:p>
        </w:tc>
        <w:tc>
          <w:tcPr>
            <w:tcW w:type="dxa" w:w="1224"/>
          </w:tcPr>
          <w:p>
            <w:pPr>
              <w:spacing w:after="20"/>
              <w:jc w:val="right"/>
            </w:pPr>
            <w:r>
              <w:rPr>
                <w:color w:val="1C3A36"/>
                <w:sz w:val="12"/>
              </w:rPr>
              <w:t>82</w:t>
            </w:r>
          </w:p>
        </w:tc>
        <w:tc>
          <w:tcPr>
            <w:tcW w:type="dxa" w:w="1008"/>
          </w:tcPr>
          <w:p>
            <w:pPr>
              <w:spacing w:after="20"/>
              <w:jc w:val="right"/>
            </w:pPr>
            <w:r>
              <w:rPr>
                <w:color w:val="1C3A36"/>
                <w:sz w:val="12"/>
              </w:rPr>
              <w:t>2026-07-31</w:t>
            </w:r>
          </w:p>
        </w:tc>
        <w:tc>
          <w:tcPr>
            <w:tcW w:type="dxa" w:w="5688"/>
          </w:tcPr>
          <w:p>
            <w:pPr>
              <w:spacing w:after="20"/>
              <w:jc w:val="right"/>
            </w:pPr>
            <w:r>
              <w:rPr>
                <w:color w:val="1C3A36"/>
                <w:sz w:val="12"/>
              </w:rPr>
              <w:t>US Energy Information Administration, Short-Term Energy Outlook, July 2026: Brent spot averaging USD 69/bbl in 2025, USD 82/bbl in 2026 and USD 65/bbl in 2027; June 2026 actual USD 85/bbl, down USD 32/bbl from the April 2026 peak</w:t>
            </w:r>
          </w:p>
        </w:tc>
      </w:tr>
      <w:tr>
        <w:tc>
          <w:tcPr>
            <w:tcW w:type="dxa" w:w="1872"/>
          </w:tcPr>
          <w:p>
            <w:pPr>
              <w:spacing w:after="20"/>
            </w:pPr>
            <w:r>
              <w:rPr>
                <w:color w:val="1C3A36"/>
                <w:sz w:val="12"/>
              </w:rPr>
              <w:t>cbuae base rate</w:t>
            </w:r>
          </w:p>
        </w:tc>
        <w:tc>
          <w:tcPr>
            <w:tcW w:type="dxa" w:w="1224"/>
          </w:tcPr>
          <w:p>
            <w:pPr>
              <w:spacing w:after="20"/>
              <w:jc w:val="right"/>
            </w:pPr>
            <w:r>
              <w:rPr>
                <w:color w:val="1C3A36"/>
                <w:sz w:val="12"/>
              </w:rPr>
              <w:t>0.0365</w:t>
            </w:r>
          </w:p>
        </w:tc>
        <w:tc>
          <w:tcPr>
            <w:tcW w:type="dxa" w:w="1008"/>
          </w:tcPr>
          <w:p>
            <w:pPr>
              <w:spacing w:after="20"/>
              <w:jc w:val="right"/>
            </w:pPr>
            <w:r>
              <w:rPr>
                <w:color w:val="1C3A36"/>
                <w:sz w:val="12"/>
              </w:rPr>
              <w:t>2026-06-17</w:t>
            </w:r>
          </w:p>
        </w:tc>
        <w:tc>
          <w:tcPr>
            <w:tcW w:type="dxa" w:w="5688"/>
          </w:tcPr>
          <w:p>
            <w:pPr>
              <w:spacing w:after="20"/>
              <w:jc w:val="right"/>
            </w:pPr>
            <w:r>
              <w:rPr>
                <w:color w:val="1C3A36"/>
                <w:sz w:val="12"/>
              </w:rPr>
              <w:t>Central Bank of the UAE Base Rate, held at 3.65% since 17 June 2026; the dirham peg means the Base Rate tracks the Federal Reserve's policy path</w:t>
            </w:r>
          </w:p>
        </w:tc>
      </w:tr>
      <w:tr>
        <w:tc>
          <w:tcPr>
            <w:tcW w:type="dxa" w:w="1872"/>
          </w:tcPr>
          <w:p>
            <w:pPr>
              <w:spacing w:after="20"/>
            </w:pPr>
            <w:r>
              <w:rPr>
                <w:color w:val="1C3A36"/>
                <w:sz w:val="12"/>
              </w:rPr>
              <w:t>ethane contract real escalation</w:t>
            </w:r>
          </w:p>
        </w:tc>
        <w:tc>
          <w:tcPr>
            <w:tcW w:type="dxa" w:w="1224"/>
          </w:tcPr>
          <w:p>
            <w:pPr>
              <w:spacing w:after="20"/>
              <w:jc w:val="right"/>
            </w:pPr>
            <w:r>
              <w:rPr>
                <w:color w:val="1C3A36"/>
                <w:sz w:val="12"/>
              </w:rPr>
              <w:t>0</w:t>
            </w:r>
          </w:p>
        </w:tc>
        <w:tc>
          <w:tcPr>
            <w:tcW w:type="dxa" w:w="1008"/>
          </w:tcPr>
          <w:p>
            <w:pPr>
              <w:spacing w:after="20"/>
              <w:jc w:val="right"/>
            </w:pPr>
            <w:r>
              <w:rPr>
                <w:color w:val="1C3A36"/>
                <w:sz w:val="12"/>
              </w:rPr>
              <w:t>2026-08-09</w:t>
            </w:r>
          </w:p>
        </w:tc>
        <w:tc>
          <w:tcPr>
            <w:tcW w:type="dxa" w:w="5688"/>
          </w:tcPr>
          <w:p>
            <w:pPr>
              <w:spacing w:after="20"/>
              <w:jc w:val="right"/>
            </w:pPr>
            <w:r>
              <w:rPr>
                <w:color w:val="1C3A36"/>
                <w:sz w:val="12"/>
              </w:rPr>
              <w:t>Real escalation on contracted ethane feedstock. Borouge does not publish the pricing formula of its ADNOC feedstock arrangement, so no escalator can be sourced; the model holds the contracted leg flat in real terms and flags this as an unsourced driver. It is recorded as a negative search result, not as a finding</w:t>
            </w:r>
          </w:p>
        </w:tc>
      </w:tr>
      <w:tr>
        <w:tc>
          <w:tcPr>
            <w:tcW w:type="dxa" w:w="1872"/>
          </w:tcPr>
          <w:p>
            <w:pPr>
              <w:spacing w:after="20"/>
            </w:pPr>
            <w:r>
              <w:rPr>
                <w:color w:val="1C3A36"/>
                <w:sz w:val="12"/>
              </w:rPr>
              <w:t>global growth imf</w:t>
            </w:r>
          </w:p>
        </w:tc>
        <w:tc>
          <w:tcPr>
            <w:tcW w:type="dxa" w:w="1224"/>
          </w:tcPr>
          <w:p>
            <w:pPr>
              <w:spacing w:after="20"/>
              <w:jc w:val="right"/>
            </w:pPr>
            <w:r>
              <w:rPr>
                <w:color w:val="1C3A36"/>
                <w:sz w:val="12"/>
              </w:rPr>
              <w:t>0.0300</w:t>
            </w:r>
          </w:p>
        </w:tc>
        <w:tc>
          <w:tcPr>
            <w:tcW w:type="dxa" w:w="1008"/>
          </w:tcPr>
          <w:p>
            <w:pPr>
              <w:spacing w:after="20"/>
              <w:jc w:val="right"/>
            </w:pPr>
            <w:r>
              <w:rPr>
                <w:color w:val="1C3A36"/>
                <w:sz w:val="12"/>
              </w:rPr>
              <w:t>2026-07-08</w:t>
            </w:r>
          </w:p>
        </w:tc>
        <w:tc>
          <w:tcPr>
            <w:tcW w:type="dxa" w:w="5688"/>
          </w:tcPr>
          <w:p>
            <w:pPr>
              <w:spacing w:after="20"/>
              <w:jc w:val="right"/>
            </w:pPr>
            <w:r>
              <w:rPr>
                <w:color w:val="1C3A36"/>
                <w:sz w:val="12"/>
              </w:rPr>
              <w:t>International Monetary Fund, World Economic Outlook Update, July 2026, 'Global Economy in Crosscurrents of War and Technology', published 8 July 2026, Table 1: global growth of 3.0% in 2026 and 3.4% in 2027, against 3.5% in each of 2024 and 2025</w:t>
            </w:r>
          </w:p>
        </w:tc>
      </w:tr>
      <w:tr>
        <w:tc>
          <w:tcPr>
            <w:tcW w:type="dxa" w:w="1872"/>
          </w:tcPr>
          <w:p>
            <w:pPr>
              <w:spacing w:after="20"/>
            </w:pPr>
            <w:r>
              <w:rPr>
                <w:color w:val="1C3A36"/>
                <w:sz w:val="12"/>
              </w:rPr>
              <w:t>hormuz mou</w:t>
            </w:r>
          </w:p>
        </w:tc>
        <w:tc>
          <w:tcPr>
            <w:tcW w:type="dxa" w:w="1224"/>
          </w:tcPr>
          <w:p>
            <w:pPr>
              <w:spacing w:after="20"/>
              <w:jc w:val="right"/>
            </w:pPr>
            <w:r>
              <w:rPr>
                <w:color w:val="1C3A36"/>
                <w:sz w:val="12"/>
              </w:rPr>
              <w:t>1</w:t>
            </w:r>
          </w:p>
        </w:tc>
        <w:tc>
          <w:tcPr>
            <w:tcW w:type="dxa" w:w="1008"/>
          </w:tcPr>
          <w:p>
            <w:pPr>
              <w:spacing w:after="20"/>
              <w:jc w:val="right"/>
            </w:pPr>
            <w:r>
              <w:rPr>
                <w:color w:val="1C3A36"/>
                <w:sz w:val="12"/>
              </w:rPr>
              <w:t>2026-06-18</w:t>
            </w:r>
          </w:p>
        </w:tc>
        <w:tc>
          <w:tcPr>
            <w:tcW w:type="dxa" w:w="5688"/>
          </w:tcPr>
          <w:p>
            <w:pPr>
              <w:spacing w:after="20"/>
              <w:jc w:val="right"/>
            </w:pPr>
            <w:r>
              <w:rPr>
                <w:color w:val="1C3A36"/>
                <w:sz w:val="12"/>
              </w:rPr>
              <w:t>United States-Iran Memorandum of Understanding signed 18 June 2026 to end the conflict and reopen the Strait of Hormuz, recorded in the US Energy Information Administration Short-Term Energy Outlook, July 2026 edition. The EIA expects most shut-in crude production back near pre-conflict averages by the end of 2026 and the majority back online in the first quarter of 2027. This is the dated, external basis on which the normalisation framing rests — it is an agreement, not a completed restoration of traffic, and Borouge's own July guidance still makes recovery conditional on freedom of navigation</w:t>
            </w:r>
          </w:p>
        </w:tc>
      </w:tr>
      <w:tr>
        <w:tc>
          <w:tcPr>
            <w:tcW w:type="dxa" w:w="1872"/>
          </w:tcPr>
          <w:p>
            <w:pPr>
              <w:spacing w:after="20"/>
            </w:pPr>
            <w:r>
              <w:rPr>
                <w:color w:val="1C3A36"/>
                <w:sz w:val="12"/>
              </w:rPr>
              <w:t>maintenance capex</w:t>
            </w:r>
          </w:p>
        </w:tc>
        <w:tc>
          <w:tcPr>
            <w:tcW w:type="dxa" w:w="1224"/>
          </w:tcPr>
          <w:p>
            <w:pPr>
              <w:spacing w:after="20"/>
              <w:jc w:val="right"/>
            </w:pPr>
            <w:r>
              <w:rPr>
                <w:color w:val="1C3A36"/>
                <w:sz w:val="12"/>
              </w:rPr>
              <w:t>320</w:t>
            </w:r>
          </w:p>
        </w:tc>
        <w:tc>
          <w:tcPr>
            <w:tcW w:type="dxa" w:w="1008"/>
          </w:tcPr>
          <w:p>
            <w:pPr>
              <w:spacing w:after="20"/>
              <w:jc w:val="right"/>
            </w:pPr>
            <w:r>
              <w:rPr>
                <w:color w:val="1C3A36"/>
                <w:sz w:val="12"/>
              </w:rPr>
              <w:t>2026-08-09</w:t>
            </w:r>
          </w:p>
        </w:tc>
        <w:tc>
          <w:tcPr>
            <w:tcW w:type="dxa" w:w="5688"/>
          </w:tcPr>
          <w:p>
            <w:pPr>
              <w:spacing w:after="20"/>
              <w:jc w:val="right"/>
            </w:pPr>
            <w:r>
              <w:rPr>
                <w:color w:val="1C3A36"/>
                <w:sz w:val="12"/>
              </w:rPr>
              <w:t>Steady-state maintenance capital expenditure, USD million a year. The three audited years ran 199, 167 and 308; 2026 is guided below 300. The forecast carries 320 from 2027 because the 2025 reassessment of asset useful lives defers replacement spending without removing it, and a plant running above nameplate consumes maintenance faster than one running below it</w:t>
            </w:r>
          </w:p>
        </w:tc>
      </w:tr>
      <w:tr>
        <w:tc>
          <w:tcPr>
            <w:tcW w:type="dxa" w:w="1872"/>
          </w:tcPr>
          <w:p>
            <w:pPr>
              <w:spacing w:after="20"/>
            </w:pPr>
            <w:r>
              <w:rPr>
                <w:color w:val="1C3A36"/>
                <w:sz w:val="12"/>
              </w:rPr>
              <w:t>mature erp</w:t>
            </w:r>
          </w:p>
        </w:tc>
        <w:tc>
          <w:tcPr>
            <w:tcW w:type="dxa" w:w="1224"/>
          </w:tcPr>
          <w:p>
            <w:pPr>
              <w:spacing w:after="20"/>
              <w:jc w:val="right"/>
            </w:pPr>
            <w:r>
              <w:rPr>
                <w:color w:val="1C3A36"/>
                <w:sz w:val="12"/>
              </w:rPr>
              <w:t>0.0423</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same file, United States row: Aa1, adjusted default spread 0.23%, country risk premium 0.23%, equity risk premium 4.46%, sovereign CDS 0.30%; the mature-market equity risk premium is the US equity risk premium of 4.46% less the US default spread of 0.23%, which is 4.23%, and the same 4.23% is recovered from the UAE row as 4.87% less the 0.64% country risk premium</w:t>
            </w:r>
          </w:p>
        </w:tc>
      </w:tr>
      <w:tr>
        <w:tc>
          <w:tcPr>
            <w:tcW w:type="dxa" w:w="1872"/>
          </w:tcPr>
          <w:p>
            <w:pPr>
              <w:spacing w:after="20"/>
            </w:pPr>
            <w:r>
              <w:rPr>
                <w:color w:val="1C3A36"/>
                <w:sz w:val="12"/>
              </w:rPr>
              <w:t>nci value</w:t>
            </w:r>
          </w:p>
        </w:tc>
        <w:tc>
          <w:tcPr>
            <w:tcW w:type="dxa" w:w="1224"/>
          </w:tcPr>
          <w:p>
            <w:pPr>
              <w:spacing w:after="20"/>
              <w:jc w:val="right"/>
            </w:pPr>
            <w:r>
              <w:rPr>
                <w:color w:val="1C3A36"/>
                <w:sz w:val="12"/>
              </w:rPr>
              <w:t>26.832</w:t>
            </w:r>
          </w:p>
        </w:tc>
        <w:tc>
          <w:tcPr>
            <w:tcW w:type="dxa" w:w="1008"/>
          </w:tcPr>
          <w:p>
            <w:pPr>
              <w:spacing w:after="20"/>
              <w:jc w:val="right"/>
            </w:pPr>
            <w:r>
              <w:rPr>
                <w:color w:val="1C3A36"/>
                <w:sz w:val="12"/>
              </w:rPr>
              <w:t>2025-12-31</w:t>
            </w:r>
          </w:p>
        </w:tc>
        <w:tc>
          <w:tcPr>
            <w:tcW w:type="dxa" w:w="5688"/>
          </w:tcPr>
          <w:p>
            <w:pPr>
              <w:spacing w:after="20"/>
              <w:jc w:val="right"/>
            </w:pPr>
            <w:r>
              <w:rPr>
                <w:color w:val="1C3A36"/>
                <w:sz w:val="12"/>
              </w:rPr>
              <w:t>Non-controlling interests carried at their book value of USD 26.832 million from the FY2025 audited balance sheet. The minority holds 0.9% of group profit, so a market-value uplift on it would not move the per-share result at the second decimal</w:t>
            </w:r>
          </w:p>
        </w:tc>
      </w:tr>
      <w:tr>
        <w:tc>
          <w:tcPr>
            <w:tcW w:type="dxa" w:w="1872"/>
          </w:tcPr>
          <w:p>
            <w:pPr>
              <w:spacing w:after="20"/>
            </w:pPr>
            <w:r>
              <w:rPr>
                <w:color w:val="1C3A36"/>
                <w:sz w:val="12"/>
              </w:rPr>
              <w:t>operating rate recovery year</w:t>
            </w:r>
          </w:p>
        </w:tc>
        <w:tc>
          <w:tcPr>
            <w:tcW w:type="dxa" w:w="1224"/>
          </w:tcPr>
          <w:p>
            <w:pPr>
              <w:spacing w:after="20"/>
              <w:jc w:val="right"/>
            </w:pPr>
            <w:r>
              <w:rPr>
                <w:color w:val="1C3A36"/>
                <w:sz w:val="12"/>
              </w:rPr>
              <w:t>2,032</w:t>
            </w:r>
          </w:p>
        </w:tc>
        <w:tc>
          <w:tcPr>
            <w:tcW w:type="dxa" w:w="1008"/>
          </w:tcPr>
          <w:p>
            <w:pPr>
              <w:spacing w:after="20"/>
              <w:jc w:val="right"/>
            </w:pPr>
            <w:r>
              <w:rPr>
                <w:color w:val="1C3A36"/>
                <w:sz w:val="12"/>
              </w:rPr>
              <w:t>2026-01-31</w:t>
            </w:r>
          </w:p>
        </w:tc>
        <w:tc>
          <w:tcPr>
            <w:tcW w:type="dxa" w:w="5688"/>
          </w:tcPr>
          <w:p>
            <w:pPr>
              <w:spacing w:after="20"/>
              <w:jc w:val="right"/>
            </w:pPr>
            <w:r>
              <w:rPr>
                <w:color w:val="1C3A36"/>
                <w:sz w:val="12"/>
              </w:rPr>
              <w:t>Producer consensus on the return to 1992-2021 average operating rates moved out to 2032, from 2030 a year earlier — ICIS Asian Chemical Connections, 'Five Forecasts for Global Chemical Markets in 2026', January 2026. This is why the forecast benchmark path settles below the 2023-2024 level rather than returning to it</w:t>
            </w:r>
          </w:p>
        </w:tc>
      </w:tr>
      <w:tr>
        <w:tc>
          <w:tcPr>
            <w:tcW w:type="dxa" w:w="1872"/>
          </w:tcPr>
          <w:p>
            <w:pPr>
              <w:spacing w:after="20"/>
            </w:pPr>
            <w:r>
              <w:rPr>
                <w:color w:val="1C3A36"/>
                <w:sz w:val="12"/>
              </w:rPr>
              <w:t>pe capacity growth</w:t>
            </w:r>
          </w:p>
        </w:tc>
        <w:tc>
          <w:tcPr>
            <w:tcW w:type="dxa" w:w="1224"/>
          </w:tcPr>
          <w:p>
            <w:pPr>
              <w:spacing w:after="20"/>
              <w:jc w:val="right"/>
            </w:pPr>
            <w:r>
              <w:rPr>
                <w:color w:val="1C3A36"/>
                <w:sz w:val="12"/>
              </w:rPr>
              <w:t>0.2200</w:t>
            </w:r>
          </w:p>
        </w:tc>
        <w:tc>
          <w:tcPr>
            <w:tcW w:type="dxa" w:w="1008"/>
          </w:tcPr>
          <w:p>
            <w:pPr>
              <w:spacing w:after="20"/>
              <w:jc w:val="right"/>
            </w:pPr>
            <w:r>
              <w:rPr>
                <w:color w:val="1C3A36"/>
                <w:sz w:val="12"/>
              </w:rPr>
              <w:t>2026-05-29</w:t>
            </w:r>
          </w:p>
        </w:tc>
        <w:tc>
          <w:tcPr>
            <w:tcW w:type="dxa" w:w="5688"/>
          </w:tcPr>
          <w:p>
            <w:pPr>
              <w:spacing w:after="20"/>
              <w:jc w:val="right"/>
            </w:pPr>
            <w:r>
              <w:rPr>
                <w:color w:val="1C3A36"/>
                <w:sz w:val="12"/>
              </w:rPr>
              <w:t>Global polyethylene nameplate capacity rising 22% between 2026 and 2034, from 158 million tonnes to 193 million tonnes, per OPIS in the Asia Petrochemical Industry Conference compiled proceedings of 29 May 2026, hosted by the Singapore Chemical Industry Council. ICIS material in the same proceedings states polyethylene capacity additions exceed demand growth until 2030</w:t>
            </w:r>
          </w:p>
        </w:tc>
      </w:tr>
      <w:tr>
        <w:tc>
          <w:tcPr>
            <w:tcW w:type="dxa" w:w="1872"/>
          </w:tcPr>
          <w:p>
            <w:pPr>
              <w:spacing w:after="20"/>
            </w:pPr>
            <w:r>
              <w:rPr>
                <w:color w:val="1C3A36"/>
                <w:sz w:val="12"/>
              </w:rPr>
              <w:t>peer borouge market</w:t>
            </w:r>
          </w:p>
        </w:tc>
        <w:tc>
          <w:tcPr>
            <w:tcW w:type="dxa" w:w="1224"/>
          </w:tcPr>
          <w:p>
            <w:pPr>
              <w:spacing w:after="20"/>
              <w:jc w:val="right"/>
            </w:pPr>
            <w:r>
              <w:rPr>
                <w:color w:val="1C3A36"/>
                <w:sz w:val="12"/>
              </w:rPr>
              <w:t>(table — see the study)</w:t>
            </w:r>
          </w:p>
        </w:tc>
        <w:tc>
          <w:tcPr>
            <w:tcW w:type="dxa" w:w="1008"/>
          </w:tcPr>
          <w:p>
            <w:pPr>
              <w:spacing w:after="20"/>
              <w:jc w:val="right"/>
            </w:pPr>
            <w:r>
              <w:rPr>
                <w:color w:val="1C3A36"/>
                <w:sz w:val="12"/>
              </w:rPr>
              <w:t>2026-08-09</w:t>
            </w:r>
          </w:p>
        </w:tc>
        <w:tc>
          <w:tcPr>
            <w:tcW w:type="dxa" w:w="5688"/>
          </w:tcPr>
          <w:p>
            <w:pPr>
              <w:spacing w:after="20"/>
              <w:jc w:val="right"/>
            </w:pPr>
            <w:r>
              <w:rPr>
                <w:color w:val="1C3A36"/>
                <w:sz w:val="12"/>
              </w:rPr>
              <w:t>stockanalysis.com, Borouge plc statistics page observed 9 August 2026. Shown for contrast against the peer table: Borouge's 33.05% EBITDA margin against a peer set clustered between zero and 14% is the whole question the ground-up build has to answer from the feedstock position and the product premia. Aggregator-sourced, cross-check only</w:t>
            </w:r>
          </w:p>
        </w:tc>
      </w:tr>
      <w:tr>
        <w:tc>
          <w:tcPr>
            <w:tcW w:type="dxa" w:w="1872"/>
          </w:tcPr>
          <w:p>
            <w:pPr>
              <w:spacing w:after="20"/>
            </w:pPr>
            <w:r>
              <w:rPr>
                <w:color w:val="1C3A36"/>
                <w:sz w:val="12"/>
              </w:rPr>
              <w:t>peer iqcd</w:t>
            </w:r>
          </w:p>
        </w:tc>
        <w:tc>
          <w:tcPr>
            <w:tcW w:type="dxa" w:w="1224"/>
          </w:tcPr>
          <w:p>
            <w:pPr>
              <w:spacing w:after="20"/>
              <w:jc w:val="right"/>
            </w:pPr>
            <w:r>
              <w:rPr>
                <w:color w:val="1C3A36"/>
                <w:sz w:val="12"/>
              </w:rPr>
              <w:t>9.9</w:t>
            </w:r>
          </w:p>
        </w:tc>
        <w:tc>
          <w:tcPr>
            <w:tcW w:type="dxa" w:w="1008"/>
          </w:tcPr>
          <w:p>
            <w:pPr>
              <w:spacing w:after="20"/>
              <w:jc w:val="right"/>
            </w:pPr>
            <w:r>
              <w:rPr>
                <w:color w:val="1C3A36"/>
                <w:sz w:val="12"/>
              </w:rPr>
              <w:t>2026-07-02</w:t>
            </w:r>
          </w:p>
        </w:tc>
        <w:tc>
          <w:tcPr>
            <w:tcW w:type="dxa" w:w="5688"/>
          </w:tcPr>
          <w:p>
            <w:pPr>
              <w:spacing w:after="20"/>
              <w:jc w:val="right"/>
            </w:pPr>
            <w:r>
              <w:rPr>
                <w:color w:val="1C3A36"/>
                <w:sz w:val="12"/>
              </w:rPr>
              <w:t>TradingView / PitchBook company profile, Industries Qatar (QE: IQCD) enterprise value to EBITDA of 9.90 as at 2 July 2026. Industries Qatar is the closest listed Gulf comparator: a state-affiliated producer of ethylene, polyethylene and other petrochemicals on advantaged regional feedstock</w:t>
            </w:r>
          </w:p>
        </w:tc>
      </w:tr>
      <w:tr>
        <w:tc>
          <w:tcPr>
            <w:tcW w:type="dxa" w:w="1872"/>
          </w:tcPr>
          <w:p>
            <w:pPr>
              <w:spacing w:after="20"/>
            </w:pPr>
            <w:r>
              <w:rPr>
                <w:color w:val="1C3A36"/>
                <w:sz w:val="12"/>
              </w:rPr>
              <w:t>peer lyb 10y median</w:t>
            </w:r>
          </w:p>
        </w:tc>
        <w:tc>
          <w:tcPr>
            <w:tcW w:type="dxa" w:w="1224"/>
          </w:tcPr>
          <w:p>
            <w:pPr>
              <w:spacing w:after="20"/>
              <w:jc w:val="right"/>
            </w:pPr>
            <w:r>
              <w:rPr>
                <w:color w:val="1C3A36"/>
                <w:sz w:val="12"/>
              </w:rPr>
              <w:t>7.18</w:t>
            </w:r>
          </w:p>
        </w:tc>
        <w:tc>
          <w:tcPr>
            <w:tcW w:type="dxa" w:w="1008"/>
          </w:tcPr>
          <w:p>
            <w:pPr>
              <w:spacing w:after="20"/>
              <w:jc w:val="right"/>
            </w:pPr>
            <w:r>
              <w:rPr>
                <w:color w:val="1C3A36"/>
                <w:sz w:val="12"/>
              </w:rPr>
              <w:t>2026-08-07</w:t>
            </w:r>
          </w:p>
        </w:tc>
        <w:tc>
          <w:tcPr>
            <w:tcW w:type="dxa" w:w="5688"/>
          </w:tcPr>
          <w:p>
            <w:pPr>
              <w:spacing w:after="20"/>
              <w:jc w:val="right"/>
            </w:pPr>
            <w:r>
              <w:rPr>
                <w:color w:val="1C3A36"/>
                <w:sz w:val="12"/>
              </w:rPr>
              <w:t>GuruFocus, LyondellBasell ten-year median EV/EBITDA</w:t>
            </w:r>
          </w:p>
        </w:tc>
      </w:tr>
      <w:tr>
        <w:tc>
          <w:tcPr>
            <w:tcW w:type="dxa" w:w="1872"/>
          </w:tcPr>
          <w:p>
            <w:pPr>
              <w:spacing w:after="20"/>
            </w:pPr>
            <w:r>
              <w:rPr>
                <w:color w:val="1C3A36"/>
                <w:sz w:val="12"/>
              </w:rPr>
              <w:t>peer lyb forward</w:t>
            </w:r>
          </w:p>
        </w:tc>
        <w:tc>
          <w:tcPr>
            <w:tcW w:type="dxa" w:w="1224"/>
          </w:tcPr>
          <w:p>
            <w:pPr>
              <w:spacing w:after="20"/>
              <w:jc w:val="right"/>
            </w:pPr>
            <w:r>
              <w:rPr>
                <w:color w:val="1C3A36"/>
                <w:sz w:val="12"/>
              </w:rPr>
              <w:t>6.5</w:t>
            </w:r>
          </w:p>
        </w:tc>
        <w:tc>
          <w:tcPr>
            <w:tcW w:type="dxa" w:w="1008"/>
          </w:tcPr>
          <w:p>
            <w:pPr>
              <w:spacing w:after="20"/>
              <w:jc w:val="right"/>
            </w:pPr>
            <w:r>
              <w:rPr>
                <w:color w:val="1C3A36"/>
                <w:sz w:val="12"/>
              </w:rPr>
              <w:t>2026-03-19</w:t>
            </w:r>
          </w:p>
        </w:tc>
        <w:tc>
          <w:tcPr>
            <w:tcW w:type="dxa" w:w="5688"/>
          </w:tcPr>
          <w:p>
            <w:pPr>
              <w:spacing w:after="20"/>
              <w:jc w:val="right"/>
            </w:pPr>
            <w:r>
              <w:rPr>
                <w:color w:val="1C3A36"/>
                <w:sz w:val="12"/>
              </w:rPr>
              <w:t>Wells Fargo research note on LyondellBasell, cited in an Investing.com report of the upgrade, applying a 2026 EV/EBITDA multiple of approximately 6.5x to an adjusted EBITDA outlook of USD 6.5 billion. Third-party opinion, used only as one of three through-cycle anchors</w:t>
            </w:r>
          </w:p>
        </w:tc>
      </w:tr>
      <w:tr>
        <w:tc>
          <w:tcPr>
            <w:tcW w:type="dxa" w:w="1872"/>
          </w:tcPr>
          <w:p>
            <w:pPr>
              <w:spacing w:after="20"/>
            </w:pPr>
            <w:r>
              <w:rPr>
                <w:color w:val="1C3A36"/>
                <w:sz w:val="12"/>
              </w:rPr>
              <w:t>peer lyb ltm</w:t>
            </w:r>
          </w:p>
        </w:tc>
        <w:tc>
          <w:tcPr>
            <w:tcW w:type="dxa" w:w="1224"/>
          </w:tcPr>
          <w:p>
            <w:pPr>
              <w:spacing w:after="20"/>
              <w:jc w:val="right"/>
            </w:pPr>
            <w:r>
              <w:rPr>
                <w:color w:val="1C3A36"/>
                <w:sz w:val="12"/>
              </w:rPr>
              <w:t>24</w:t>
            </w:r>
          </w:p>
        </w:tc>
        <w:tc>
          <w:tcPr>
            <w:tcW w:type="dxa" w:w="1008"/>
          </w:tcPr>
          <w:p>
            <w:pPr>
              <w:spacing w:after="20"/>
              <w:jc w:val="right"/>
            </w:pPr>
            <w:r>
              <w:rPr>
                <w:color w:val="1C3A36"/>
                <w:sz w:val="12"/>
              </w:rPr>
              <w:t>2026-08-07</w:t>
            </w:r>
          </w:p>
        </w:tc>
        <w:tc>
          <w:tcPr>
            <w:tcW w:type="dxa" w:w="5688"/>
          </w:tcPr>
          <w:p>
            <w:pPr>
              <w:spacing w:after="20"/>
              <w:jc w:val="right"/>
            </w:pPr>
            <w:r>
              <w:rPr>
                <w:color w:val="1C3A36"/>
                <w:sz w:val="12"/>
              </w:rPr>
              <w:t>GuruFocus, LyondellBasell EV-to-EBITDA (trailing twelve months) of 24.00 as at 7 August 2026, reported by the same source as 234% above its ten-year median</w:t>
            </w:r>
          </w:p>
        </w:tc>
      </w:tr>
      <w:tr>
        <w:tc>
          <w:tcPr>
            <w:tcW w:type="dxa" w:w="1872"/>
          </w:tcPr>
          <w:p>
            <w:pPr>
              <w:spacing w:after="20"/>
            </w:pPr>
            <w:r>
              <w:rPr>
                <w:color w:val="1C3A36"/>
                <w:sz w:val="12"/>
              </w:rPr>
              <w:t>peer sector ev ebitda</w:t>
            </w:r>
          </w:p>
        </w:tc>
        <w:tc>
          <w:tcPr>
            <w:tcW w:type="dxa" w:w="1224"/>
          </w:tcPr>
          <w:p>
            <w:pPr>
              <w:spacing w:after="20"/>
              <w:jc w:val="right"/>
            </w:pPr>
            <w:r>
              <w:rPr>
                <w:color w:val="1C3A36"/>
                <w:sz w:val="12"/>
              </w:rPr>
              <w:t>8.655</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'EV/EBITDA Multiples by Sector (Global)', pages.stern.nyu.edu/~adamodar/pc/datasets/vebitdaGlobal.xls, Industry Averages sheet, file dated 5 January 2026, Chemical (Diversified) row, EV/EBITDA 8.655x across 63 firms</w:t>
            </w:r>
          </w:p>
        </w:tc>
      </w:tr>
      <w:tr>
        <w:tc>
          <w:tcPr>
            <w:tcW w:type="dxa" w:w="1872"/>
          </w:tcPr>
          <w:p>
            <w:pPr>
              <w:spacing w:after="20"/>
            </w:pPr>
            <w:r>
              <w:rPr>
                <w:color w:val="1C3A36"/>
                <w:sz w:val="12"/>
              </w:rPr>
              <w:t>peer table</w:t>
            </w:r>
          </w:p>
        </w:tc>
        <w:tc>
          <w:tcPr>
            <w:tcW w:type="dxa" w:w="1224"/>
          </w:tcPr>
          <w:p>
            <w:pPr>
              <w:spacing w:after="20"/>
              <w:jc w:val="right"/>
            </w:pPr>
            <w:r>
              <w:rPr>
                <w:color w:val="1C3A36"/>
                <w:sz w:val="12"/>
              </w:rPr>
              <w:t>(table — see the study)</w:t>
            </w:r>
          </w:p>
        </w:tc>
        <w:tc>
          <w:tcPr>
            <w:tcW w:type="dxa" w:w="1008"/>
          </w:tcPr>
          <w:p>
            <w:pPr>
              <w:spacing w:after="20"/>
              <w:jc w:val="right"/>
            </w:pPr>
            <w:r>
              <w:rPr>
                <w:color w:val="1C3A36"/>
                <w:sz w:val="12"/>
              </w:rPr>
              <w:t>2026-08-09</w:t>
            </w:r>
          </w:p>
        </w:tc>
        <w:tc>
          <w:tcPr>
            <w:tcW w:type="dxa" w:w="5688"/>
          </w:tcPr>
          <w:p>
            <w:pPr>
              <w:spacing w:after="20"/>
              <w:jc w:val="right"/>
            </w:pPr>
            <w:r>
              <w:rPr>
                <w:color w:val="1C3A36"/>
                <w:sz w:val="12"/>
              </w:rPr>
              <w:t>stockanalysis.com company statistics pages, all eleven observed 9 August 2026, except Industries Qatar, whose figures come from TradingView and PitchBook profiles carrying no precise observation date and should be read as approximately July-August 2026. AGGREGATOR-SOURCED market data, used only as a relative-multiple cross-check and never as a source for any reported financial figure</w:t>
            </w:r>
          </w:p>
        </w:tc>
      </w:tr>
      <w:tr>
        <w:tc>
          <w:tcPr>
            <w:tcW w:type="dxa" w:w="1872"/>
          </w:tcPr>
          <w:p>
            <w:pPr>
              <w:spacing w:after="20"/>
            </w:pPr>
            <w:r>
              <w:rPr>
                <w:color w:val="1C3A36"/>
                <w:sz w:val="12"/>
              </w:rPr>
              <w:t>pp capacity growth</w:t>
            </w:r>
          </w:p>
        </w:tc>
        <w:tc>
          <w:tcPr>
            <w:tcW w:type="dxa" w:w="1224"/>
          </w:tcPr>
          <w:p>
            <w:pPr>
              <w:spacing w:after="20"/>
              <w:jc w:val="right"/>
            </w:pPr>
            <w:r>
              <w:rPr>
                <w:color w:val="1C3A36"/>
                <w:sz w:val="12"/>
              </w:rPr>
              <w:t>0.2000</w:t>
            </w:r>
          </w:p>
        </w:tc>
        <w:tc>
          <w:tcPr>
            <w:tcW w:type="dxa" w:w="1008"/>
          </w:tcPr>
          <w:p>
            <w:pPr>
              <w:spacing w:after="20"/>
              <w:jc w:val="right"/>
            </w:pPr>
            <w:r>
              <w:rPr>
                <w:color w:val="1C3A36"/>
                <w:sz w:val="12"/>
              </w:rPr>
              <w:t>2026-05-29</w:t>
            </w:r>
          </w:p>
        </w:tc>
        <w:tc>
          <w:tcPr>
            <w:tcW w:type="dxa" w:w="5688"/>
          </w:tcPr>
          <w:p>
            <w:pPr>
              <w:spacing w:after="20"/>
              <w:jc w:val="right"/>
            </w:pPr>
            <w:r>
              <w:rPr>
                <w:color w:val="1C3A36"/>
                <w:sz w:val="12"/>
              </w:rPr>
              <w:t>Global polypropylene capacity rising 20% between 2026 and 2034, from 125 million tonnes to 151 million tonnes, per OPIS in the same Asia Petrochemical Industry Conference proceedings</w:t>
            </w:r>
          </w:p>
        </w:tc>
      </w:tr>
      <w:tr>
        <w:tc>
          <w:tcPr>
            <w:tcW w:type="dxa" w:w="1872"/>
          </w:tcPr>
          <w:p>
            <w:pPr>
              <w:spacing w:after="20"/>
            </w:pPr>
            <w:r>
              <w:rPr>
                <w:color w:val="1C3A36"/>
                <w:sz w:val="12"/>
              </w:rPr>
              <w:t>sector unlevered beta</w:t>
            </w:r>
          </w:p>
        </w:tc>
        <w:tc>
          <w:tcPr>
            <w:tcW w:type="dxa" w:w="1224"/>
          </w:tcPr>
          <w:p>
            <w:pPr>
              <w:spacing w:after="20"/>
              <w:jc w:val="right"/>
            </w:pPr>
            <w:r>
              <w:rPr>
                <w:color w:val="1C3A36"/>
                <w:sz w:val="12"/>
              </w:rPr>
              <w:t>1.002</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'Betas by Sector (Global)', pages.stern.nyu.edu/~adamodar/pc/datasets/betaGlobal.xls, Industry Averages sheet, file dated 5 January 2026, Chemical (Basic) row: 909 firms, levered beta 1.2560, D/E 0.5048, effective tax rate 14.72%, unlevered beta 0.9123, cash/firm value 8.96%, unlevered beta corrected for cash 1.0021. Chemical (Basic) is the right row: Borouge sells commodity polyethylene and polypropylene against published Northeast Asia benchmarks, not specialty formulations</w:t>
            </w:r>
          </w:p>
        </w:tc>
      </w:tr>
      <w:tr>
        <w:tc>
          <w:tcPr>
            <w:tcW w:type="dxa" w:w="1872"/>
          </w:tcPr>
          <w:p>
            <w:pPr>
              <w:spacing w:after="20"/>
            </w:pPr>
            <w:r>
              <w:rPr>
                <w:color w:val="1C3A36"/>
                <w:sz w:val="12"/>
              </w:rPr>
              <w:t>sector unlevered beta diversified</w:t>
            </w:r>
          </w:p>
        </w:tc>
        <w:tc>
          <w:tcPr>
            <w:tcW w:type="dxa" w:w="1224"/>
          </w:tcPr>
          <w:p>
            <w:pPr>
              <w:spacing w:after="20"/>
              <w:jc w:val="right"/>
            </w:pPr>
            <w:r>
              <w:rPr>
                <w:color w:val="1C3A36"/>
                <w:sz w:val="12"/>
              </w:rPr>
              <w:t>0.9101</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Same file, Chemical (Diversified) row, unlevered beta corrected for cash, shown as the adjacent classification</w:t>
            </w:r>
          </w:p>
        </w:tc>
      </w:tr>
      <w:tr>
        <w:tc>
          <w:tcPr>
            <w:tcW w:type="dxa" w:w="1872"/>
          </w:tcPr>
          <w:p>
            <w:pPr>
              <w:spacing w:after="20"/>
            </w:pPr>
            <w:r>
              <w:rPr>
                <w:color w:val="1C3A36"/>
                <w:sz w:val="12"/>
              </w:rPr>
              <w:t>sofr</w:t>
            </w:r>
          </w:p>
        </w:tc>
        <w:tc>
          <w:tcPr>
            <w:tcW w:type="dxa" w:w="1224"/>
          </w:tcPr>
          <w:p>
            <w:pPr>
              <w:spacing w:after="20"/>
              <w:jc w:val="right"/>
            </w:pPr>
            <w:r>
              <w:rPr>
                <w:color w:val="1C3A36"/>
                <w:sz w:val="12"/>
              </w:rPr>
              <w:t>0.0365</w:t>
            </w:r>
          </w:p>
        </w:tc>
        <w:tc>
          <w:tcPr>
            <w:tcW w:type="dxa" w:w="1008"/>
          </w:tcPr>
          <w:p>
            <w:pPr>
              <w:spacing w:after="20"/>
              <w:jc w:val="right"/>
            </w:pPr>
            <w:r>
              <w:rPr>
                <w:color w:val="1C3A36"/>
                <w:sz w:val="12"/>
              </w:rPr>
              <w:t>2026-08-06</w:t>
            </w:r>
          </w:p>
        </w:tc>
        <w:tc>
          <w:tcPr>
            <w:tcW w:type="dxa" w:w="5688"/>
          </w:tcPr>
          <w:p>
            <w:pPr>
              <w:spacing w:after="20"/>
              <w:jc w:val="right"/>
            </w:pPr>
            <w:r>
              <w:rPr>
                <w:color w:val="1C3A36"/>
                <w:sz w:val="12"/>
              </w:rPr>
              <w:t>Secured Overnight Financing Rate as published by the Federal Reserve Bank of New York, 3.65% for 6 August 2026</w:t>
            </w:r>
          </w:p>
        </w:tc>
      </w:tr>
      <w:tr>
        <w:tc>
          <w:tcPr>
            <w:tcW w:type="dxa" w:w="1872"/>
          </w:tcPr>
          <w:p>
            <w:pPr>
              <w:spacing w:after="20"/>
            </w:pPr>
            <w:r>
              <w:rPr>
                <w:color w:val="1C3A36"/>
                <w:sz w:val="12"/>
              </w:rPr>
              <w:t>terminal growth</w:t>
            </w:r>
          </w:p>
        </w:tc>
        <w:tc>
          <w:tcPr>
            <w:tcW w:type="dxa" w:w="1224"/>
          </w:tcPr>
          <w:p>
            <w:pPr>
              <w:spacing w:after="20"/>
              <w:jc w:val="right"/>
            </w:pPr>
            <w:r>
              <w:rPr>
                <w:color w:val="1C3A36"/>
                <w:sz w:val="12"/>
              </w:rPr>
              <w:t>0.0200</w:t>
            </w:r>
          </w:p>
        </w:tc>
        <w:tc>
          <w:tcPr>
            <w:tcW w:type="dxa" w:w="1008"/>
          </w:tcPr>
          <w:p>
            <w:pPr>
              <w:spacing w:after="20"/>
              <w:jc w:val="right"/>
            </w:pPr>
            <w:r>
              <w:rPr>
                <w:color w:val="1C3A36"/>
                <w:sz w:val="12"/>
              </w:rPr>
              <w:t>2026-08-09</w:t>
            </w:r>
          </w:p>
        </w:tc>
        <w:tc>
          <w:tcPr>
            <w:tcW w:type="dxa" w:w="5688"/>
          </w:tcPr>
          <w:p>
            <w:pPr>
              <w:spacing w:after="20"/>
              <w:jc w:val="right"/>
            </w:pPr>
            <w:r>
              <w:rPr>
                <w:color w:val="1C3A36"/>
                <w:sz w:val="12"/>
              </w:rPr>
              <w:t>Long-run nominal growth in US dollars for a producer whose owned capacity is fixed. Borouge plc owns no part of the Borouge 4 expansion, so terminal growth cannot embed volume expansion; 2.0% is a price-and-mix rate, below the 4.42% normalised risk-free and below long-run global nominal growth. Sensitised across 1.0% to 3.0% in the study and in the workbook</w:t>
            </w:r>
          </w:p>
        </w:tc>
      </w:tr>
      <w:tr>
        <w:tc>
          <w:tcPr>
            <w:tcW w:type="dxa" w:w="1872"/>
          </w:tcPr>
          <w:p>
            <w:pPr>
              <w:spacing w:after="20"/>
            </w:pPr>
            <w:r>
              <w:rPr>
                <w:color w:val="1C3A36"/>
                <w:sz w:val="12"/>
              </w:rPr>
              <w:t>terminal roc</w:t>
            </w:r>
          </w:p>
        </w:tc>
        <w:tc>
          <w:tcPr>
            <w:tcW w:type="dxa" w:w="1224"/>
          </w:tcPr>
          <w:p>
            <w:pPr>
              <w:spacing w:after="20"/>
              <w:jc w:val="right"/>
            </w:pPr>
            <w:r>
              <w:rPr>
                <w:color w:val="1C3A36"/>
                <w:sz w:val="12"/>
              </w:rPr>
              <w:t>0.1200</w:t>
            </w:r>
          </w:p>
        </w:tc>
        <w:tc>
          <w:tcPr>
            <w:tcW w:type="dxa" w:w="1008"/>
          </w:tcPr>
          <w:p>
            <w:pPr>
              <w:spacing w:after="20"/>
              <w:jc w:val="right"/>
            </w:pPr>
            <w:r>
              <w:rPr>
                <w:color w:val="1C3A36"/>
                <w:sz w:val="12"/>
              </w:rPr>
              <w:t>2026-08-09</w:t>
            </w:r>
          </w:p>
        </w:tc>
        <w:tc>
          <w:tcPr>
            <w:tcW w:type="dxa" w:w="5688"/>
          </w:tcPr>
          <w:p>
            <w:pPr>
              <w:spacing w:after="20"/>
              <w:jc w:val="right"/>
            </w:pPr>
            <w:r>
              <w:rPr>
                <w:color w:val="1C3A36"/>
                <w:sz w:val="12"/>
              </w:rPr>
              <w:t>Terminal return on capital. Borouge earned a return on invested capital in the high teens across the three audited years on advantaged ethane feedstock; 12.0% carries a deliberate competitive erosion toward the level a global polyolefin producer can defend once the current capacity wave is absorbed, while staying above the cost of capital. It sets the terminal reinvestment rate as growth divided by return on capital rather than as a free assumption</w:t>
            </w:r>
          </w:p>
        </w:tc>
      </w:tr>
      <w:tr>
        <w:tc>
          <w:tcPr>
            <w:tcW w:type="dxa" w:w="1872"/>
          </w:tcPr>
          <w:p>
            <w:pPr>
              <w:spacing w:after="20"/>
            </w:pPr>
            <w:r>
              <w:rPr>
                <w:color w:val="1C3A36"/>
                <w:sz w:val="12"/>
              </w:rPr>
              <w:t>uae cds available</w:t>
            </w:r>
          </w:p>
        </w:tc>
        <w:tc>
          <w:tcPr>
            <w:tcW w:type="dxa" w:w="1224"/>
          </w:tcPr>
          <w:p>
            <w:pPr>
              <w:spacing w:after="20"/>
              <w:jc w:val="right"/>
            </w:pPr>
            <w:r>
              <w:rPr>
                <w:color w:val="1C3A36"/>
                <w:sz w:val="12"/>
              </w:rPr>
              <w:t>0</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'Country Default Spreads and Risk Premiums', pages.stern.nyu.edu/~adamodar/New_Home_Page/datafile/ctryprem.html, file last updated 5 January 2026, United Arab Emirates row read from the original file — the sovereign CDS and the CDS-based equity risk premium columns both read NA for the United Arab Emirates, so a CDS-basis cost of capital cannot be published for this sovereign and none is invented</w:t>
            </w:r>
          </w:p>
        </w:tc>
      </w:tr>
      <w:tr>
        <w:tc>
          <w:tcPr>
            <w:tcW w:type="dxa" w:w="1872"/>
          </w:tcPr>
          <w:p>
            <w:pPr>
              <w:spacing w:after="20"/>
            </w:pPr>
            <w:r>
              <w:rPr>
                <w:color w:val="1C3A36"/>
                <w:sz w:val="12"/>
              </w:rPr>
              <w:t>uae corporate tax</w:t>
            </w:r>
          </w:p>
        </w:tc>
        <w:tc>
          <w:tcPr>
            <w:tcW w:type="dxa" w:w="1224"/>
          </w:tcPr>
          <w:p>
            <w:pPr>
              <w:spacing w:after="20"/>
              <w:jc w:val="right"/>
            </w:pPr>
            <w:r>
              <w:rPr>
                <w:color w:val="1C3A36"/>
                <w:sz w:val="12"/>
              </w:rPr>
              <w:t>0.0900</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'Country Default Spreads and Risk Premiums', pages.stern.nyu.edu/~adamodar/New_Home_Page/datafile/ctryprem.html, file last updated 5 January 2026, United Arab Emirates row read from the original file — corporate tax rate column, 9.00%. Borouge's own effective rate is far above this because its Abu Dhabi operations are taxed under a separate concession-style regime; the model uses the company's own disclosed effective rate, not this headline</w:t>
            </w:r>
          </w:p>
        </w:tc>
      </w:tr>
      <w:tr>
        <w:tc>
          <w:tcPr>
            <w:tcW w:type="dxa" w:w="1872"/>
          </w:tcPr>
          <w:p>
            <w:pPr>
              <w:spacing w:after="20"/>
            </w:pPr>
            <w:r>
              <w:rPr>
                <w:color w:val="1C3A36"/>
                <w:sz w:val="12"/>
              </w:rPr>
              <w:t>uae cpi</w:t>
            </w:r>
          </w:p>
        </w:tc>
        <w:tc>
          <w:tcPr>
            <w:tcW w:type="dxa" w:w="1224"/>
          </w:tcPr>
          <w:p>
            <w:pPr>
              <w:spacing w:after="20"/>
              <w:jc w:val="right"/>
            </w:pPr>
            <w:r>
              <w:rPr>
                <w:color w:val="1C3A36"/>
                <w:sz w:val="12"/>
              </w:rPr>
              <w:t>0.0210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Central Bank of the UAE, Quarterly Economic Review, June 2026: inflation forecast of 2.3% for 2026 and 1.9% for 2027; the model carries the 2.1% average of the two as the escalator for domestic cost lines. NOTE: there is no retrievable UAE NATIONAL consumer price index — the Central Bank publishes emirate-level series only (Abu Dhabi +1.4% year on year for January-February 2026, Dubai +3.7% for January-April 2026). Dubai's June 2026 print of +5.7% is running well above the Central Bank's own full-year forecast, which was set on a 12 May 2026 cut-off, so this escalator is more likely too low than too high</w:t>
            </w:r>
          </w:p>
        </w:tc>
      </w:tr>
      <w:tr>
        <w:tc>
          <w:tcPr>
            <w:tcW w:type="dxa" w:w="1872"/>
          </w:tcPr>
          <w:p>
            <w:pPr>
              <w:spacing w:after="20"/>
            </w:pPr>
            <w:r>
              <w:rPr>
                <w:color w:val="1C3A36"/>
                <w:sz w:val="12"/>
              </w:rPr>
              <w:t>uae crp</w:t>
            </w:r>
          </w:p>
        </w:tc>
        <w:tc>
          <w:tcPr>
            <w:tcW w:type="dxa" w:w="1224"/>
          </w:tcPr>
          <w:p>
            <w:pPr>
              <w:spacing w:after="20"/>
              <w:jc w:val="right"/>
            </w:pPr>
            <w:r>
              <w:rPr>
                <w:color w:val="1C3A36"/>
                <w:sz w:val="12"/>
              </w:rPr>
              <w:t>0.0064</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'Country Default Spreads and Risk Premiums', pages.stern.nyu.edu/~adamodar/New_Home_Page/datafile/ctryprem.html, file last updated 5 January 2026, United Arab Emirates row read from the original file — country risk premium 0.64%</w:t>
            </w:r>
          </w:p>
        </w:tc>
      </w:tr>
      <w:tr>
        <w:tc>
          <w:tcPr>
            <w:tcW w:type="dxa" w:w="1872"/>
          </w:tcPr>
          <w:p>
            <w:pPr>
              <w:spacing w:after="20"/>
            </w:pPr>
            <w:r>
              <w:rPr>
                <w:color w:val="1C3A36"/>
                <w:sz w:val="12"/>
              </w:rPr>
              <w:t>uae default spread rating</w:t>
            </w:r>
          </w:p>
        </w:tc>
        <w:tc>
          <w:tcPr>
            <w:tcW w:type="dxa" w:w="1224"/>
          </w:tcPr>
          <w:p>
            <w:pPr>
              <w:spacing w:after="20"/>
              <w:jc w:val="right"/>
            </w:pPr>
            <w:r>
              <w:rPr>
                <w:color w:val="1C3A36"/>
                <w:sz w:val="12"/>
              </w:rPr>
              <w:t>0.0042</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'Country Default Spreads and Risk Premiums', pages.stern.nyu.edu/~adamodar/New_Home_Page/datafile/ctryprem.html, file last updated 5 January 2026, United Arab Emirates row read from the original file — Moody's rating Aa2, adjusted default spread 0.42%</w:t>
            </w:r>
          </w:p>
        </w:tc>
      </w:tr>
      <w:tr>
        <w:tc>
          <w:tcPr>
            <w:tcW w:type="dxa" w:w="1872"/>
          </w:tcPr>
          <w:p>
            <w:pPr>
              <w:spacing w:after="20"/>
            </w:pPr>
            <w:r>
              <w:rPr>
                <w:color w:val="1C3A36"/>
                <w:sz w:val="12"/>
              </w:rPr>
              <w:t>uae erp default spread basis</w:t>
            </w:r>
          </w:p>
        </w:tc>
        <w:tc>
          <w:tcPr>
            <w:tcW w:type="dxa" w:w="1224"/>
          </w:tcPr>
          <w:p>
            <w:pPr>
              <w:spacing w:after="20"/>
              <w:jc w:val="right"/>
            </w:pPr>
            <w:r>
              <w:rPr>
                <w:color w:val="1C3A36"/>
                <w:sz w:val="12"/>
              </w:rPr>
              <w:t>0.0465</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Mature-market equity risk premium of 4.23% plus the UAE adjusted default spread of 0.42%, the construction Damodaran describes in the same file as standard practice. Aswath Damodaran, 'Country Default Spreads and Risk Premiums', pages.stern.nyu.edu/~adamodar/New_Home_Page/datafile/ctryprem.html, file last updated 5 January 2026, United Arab Emirates row read from the original file</w:t>
            </w:r>
          </w:p>
        </w:tc>
      </w:tr>
      <w:tr>
        <w:tc>
          <w:tcPr>
            <w:tcW w:type="dxa" w:w="1872"/>
          </w:tcPr>
          <w:p>
            <w:pPr>
              <w:spacing w:after="20"/>
            </w:pPr>
            <w:r>
              <w:rPr>
                <w:color w:val="1C3A36"/>
                <w:sz w:val="12"/>
              </w:rPr>
              <w:t>uae erp rating</w:t>
            </w:r>
          </w:p>
        </w:tc>
        <w:tc>
          <w:tcPr>
            <w:tcW w:type="dxa" w:w="1224"/>
          </w:tcPr>
          <w:p>
            <w:pPr>
              <w:spacing w:after="20"/>
              <w:jc w:val="right"/>
            </w:pPr>
            <w:r>
              <w:rPr>
                <w:color w:val="1C3A36"/>
                <w:sz w:val="12"/>
              </w:rPr>
              <w:t>0.0487</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'Country Default Spreads and Risk Premiums', pages.stern.nyu.edu/~adamodar/New_Home_Page/datafile/ctryprem.html, file last updated 5 January 2026, United Arab Emirates row read from the original file — total equity risk premium 4.87%, being the mature-market premium plus a country risk premium scaled by relative equity-market volatility</w:t>
            </w:r>
          </w:p>
        </w:tc>
      </w:tr>
      <w:tr>
        <w:tc>
          <w:tcPr>
            <w:tcW w:type="dxa" w:w="1872"/>
          </w:tcPr>
          <w:p>
            <w:pPr>
              <w:spacing w:after="20"/>
            </w:pPr>
            <w:r>
              <w:rPr>
                <w:color w:val="1C3A36"/>
                <w:sz w:val="12"/>
              </w:rPr>
              <w:t>uae gdp growth cbuae</w:t>
            </w:r>
          </w:p>
        </w:tc>
        <w:tc>
          <w:tcPr>
            <w:tcW w:type="dxa" w:w="1224"/>
          </w:tcPr>
          <w:p>
            <w:pPr>
              <w:spacing w:after="20"/>
              <w:jc w:val="right"/>
            </w:pPr>
            <w:r>
              <w:rPr>
                <w:color w:val="1C3A36"/>
                <w:sz w:val="12"/>
              </w:rPr>
              <w:t>0.0170</w:t>
            </w:r>
          </w:p>
        </w:tc>
        <w:tc>
          <w:tcPr>
            <w:tcW w:type="dxa" w:w="1008"/>
          </w:tcPr>
          <w:p>
            <w:pPr>
              <w:spacing w:after="20"/>
              <w:jc w:val="right"/>
            </w:pPr>
            <w:r>
              <w:rPr>
                <w:color w:val="1C3A36"/>
                <w:sz w:val="12"/>
              </w:rPr>
              <w:t>2026-06-30</w:t>
            </w:r>
          </w:p>
        </w:tc>
        <w:tc>
          <w:tcPr>
            <w:tcW w:type="dxa" w:w="5688"/>
          </w:tcPr>
          <w:p>
            <w:pPr>
              <w:spacing w:after="20"/>
              <w:jc w:val="right"/>
            </w:pPr>
            <w:r>
              <w:rPr>
                <w:color w:val="1C3A36"/>
                <w:sz w:val="12"/>
              </w:rPr>
              <w:t>Central Bank of the UAE, Quarterly Economic Review, June 2026 — real GDP growth of 6.2% actual for 2025, forecast 1.7% for 2026 and 9.8% for 2027, the collapse and rebound reflecting the conflict and the recovery of oil output</w:t>
            </w:r>
          </w:p>
        </w:tc>
      </w:tr>
      <w:tr>
        <w:tc>
          <w:tcPr>
            <w:tcW w:type="dxa" w:w="1872"/>
          </w:tcPr>
          <w:p>
            <w:pPr>
              <w:spacing w:after="20"/>
            </w:pPr>
            <w:r>
              <w:rPr>
                <w:color w:val="1C3A36"/>
                <w:sz w:val="12"/>
              </w:rPr>
              <w:t>uae gdp growth imf</w:t>
            </w:r>
          </w:p>
        </w:tc>
        <w:tc>
          <w:tcPr>
            <w:tcW w:type="dxa" w:w="1224"/>
          </w:tcPr>
          <w:p>
            <w:pPr>
              <w:spacing w:after="20"/>
              <w:jc w:val="right"/>
            </w:pPr>
            <w:r>
              <w:rPr>
                <w:color w:val="1C3A36"/>
                <w:sz w:val="12"/>
              </w:rPr>
              <w:t>0.0310</w:t>
            </w:r>
          </w:p>
        </w:tc>
        <w:tc>
          <w:tcPr>
            <w:tcW w:type="dxa" w:w="1008"/>
          </w:tcPr>
          <w:p>
            <w:pPr>
              <w:spacing w:after="20"/>
              <w:jc w:val="right"/>
            </w:pPr>
            <w:r>
              <w:rPr>
                <w:color w:val="1C3A36"/>
                <w:sz w:val="12"/>
              </w:rPr>
              <w:t>2026-04-30</w:t>
            </w:r>
          </w:p>
        </w:tc>
        <w:tc>
          <w:tcPr>
            <w:tcW w:type="dxa" w:w="5688"/>
          </w:tcPr>
          <w:p>
            <w:pPr>
              <w:spacing w:after="20"/>
              <w:jc w:val="right"/>
            </w:pPr>
            <w:r>
              <w:rPr>
                <w:color w:val="1C3A36"/>
                <w:sz w:val="12"/>
              </w:rPr>
              <w:t>International Monetary Fund country page, April 2026 World Economic Outlook vintage — UAE real GDP growth of 3.1% for 2026, against 5.0% in the October 2025 vintage. Reported beside the Central Bank's own 1.7% because the two genuinely disagree by 1.4 percentage points and averaging them would hide that</w:t>
            </w:r>
          </w:p>
        </w:tc>
      </w:tr>
      <w:tr>
        <w:tc>
          <w:tcPr>
            <w:tcW w:type="dxa" w:w="1872"/>
          </w:tcPr>
          <w:p>
            <w:pPr>
              <w:spacing w:after="20"/>
            </w:pPr>
            <w:r>
              <w:rPr>
                <w:color w:val="1C3A36"/>
                <w:sz w:val="12"/>
              </w:rPr>
              <w:t>uae govt yield aed</w:t>
            </w:r>
          </w:p>
        </w:tc>
        <w:tc>
          <w:tcPr>
            <w:tcW w:type="dxa" w:w="1224"/>
          </w:tcPr>
          <w:p>
            <w:pPr>
              <w:spacing w:after="20"/>
              <w:jc w:val="right"/>
            </w:pPr>
            <w:r>
              <w:rPr>
                <w:color w:val="1C3A36"/>
                <w:sz w:val="12"/>
              </w:rPr>
              <w:t>0.0448</w:t>
            </w:r>
          </w:p>
        </w:tc>
        <w:tc>
          <w:tcPr>
            <w:tcW w:type="dxa" w:w="1008"/>
          </w:tcPr>
          <w:p>
            <w:pPr>
              <w:spacing w:after="20"/>
              <w:jc w:val="right"/>
            </w:pPr>
            <w:r>
              <w:rPr>
                <w:color w:val="1C3A36"/>
                <w:sz w:val="12"/>
              </w:rPr>
              <w:t>2026-07-30</w:t>
            </w:r>
          </w:p>
        </w:tc>
        <w:tc>
          <w:tcPr>
            <w:tcW w:type="dxa" w:w="5688"/>
          </w:tcPr>
          <w:p>
            <w:pPr>
              <w:spacing w:after="20"/>
              <w:jc w:val="right"/>
            </w:pPr>
            <w:r>
              <w:rPr>
                <w:color w:val="1C3A36"/>
                <w:sz w:val="12"/>
              </w:rPr>
              <w:t>UAE Ministry of Finance July 2026 Treasury Bond and Sukuk auction, reported by the Emirates News Agency (WAM): the January-2031 T-Bond cleared at a yield to maturity of 4.48%, a spread of 4 basis points over the comparable US Treasury; AED 1.1 billion issued against AED 4.83 billion of bids, 4.4 times covered. This is the SECONDARY-market-clearing yield on the same bond whose Final Terms are cited below, and it supersedes the January issue coupon as the current local risk-free observation. Government of the United Arab Emirates acting through the Ministry of Finance, Final Terms dated 29 January 2026, Treasury Bonds Programme, Series AED01826C264: aggregate face amount AED 550,000,000, issue price 100%, issue date 29 January 2026, maturity date 29 January 2031, coupon 3.90% fixed per annum payable semi-annually; listed on Nasdaq Dubai</w:t>
            </w:r>
          </w:p>
        </w:tc>
      </w:tr>
      <w:tr>
        <w:tc>
          <w:tcPr>
            <w:tcW w:type="dxa" w:w="1872"/>
          </w:tcPr>
          <w:p>
            <w:pPr>
              <w:spacing w:after="20"/>
            </w:pPr>
            <w:r>
              <w:rPr>
                <w:color w:val="1C3A36"/>
                <w:sz w:val="12"/>
              </w:rPr>
              <w:t>uae govt yield aed issue coupon</w:t>
            </w:r>
          </w:p>
        </w:tc>
        <w:tc>
          <w:tcPr>
            <w:tcW w:type="dxa" w:w="1224"/>
          </w:tcPr>
          <w:p>
            <w:pPr>
              <w:spacing w:after="20"/>
              <w:jc w:val="right"/>
            </w:pPr>
            <w:r>
              <w:rPr>
                <w:color w:val="1C3A36"/>
                <w:sz w:val="12"/>
              </w:rPr>
              <w:t>0.0390</w:t>
            </w:r>
          </w:p>
        </w:tc>
        <w:tc>
          <w:tcPr>
            <w:tcW w:type="dxa" w:w="1008"/>
          </w:tcPr>
          <w:p>
            <w:pPr>
              <w:spacing w:after="20"/>
              <w:jc w:val="right"/>
            </w:pPr>
            <w:r>
              <w:rPr>
                <w:color w:val="1C3A36"/>
                <w:sz w:val="12"/>
              </w:rPr>
              <w:t>2026-01-29</w:t>
            </w:r>
          </w:p>
        </w:tc>
        <w:tc>
          <w:tcPr>
            <w:tcW w:type="dxa" w:w="5688"/>
          </w:tcPr>
          <w:p>
            <w:pPr>
              <w:spacing w:after="20"/>
              <w:jc w:val="right"/>
            </w:pPr>
            <w:r>
              <w:rPr>
                <w:color w:val="1C3A36"/>
                <w:sz w:val="12"/>
              </w:rPr>
              <w:t>Government of the United Arab Emirates acting through the Ministry of Finance, Final Terms dated 29 January 2026, Treasury Bonds Programme, Series AED01826C264: aggregate face amount AED 550,000,000, issue price 100%, issue date 29 January 2026, maturity date 29 January 2031, coupon 3.90% fixed per annum payable semi-annually; listed on Nasdaq Dubai. Carried as the issue-date observation; the same bond yielded 4.30% at the May 2026 auction and 4.48% at the July 2026 auction, so the local curve rose materially across the first half of 2026</w:t>
            </w:r>
          </w:p>
        </w:tc>
      </w:tr>
      <w:tr>
        <w:tc>
          <w:tcPr>
            <w:tcW w:type="dxa" w:w="1872"/>
          </w:tcPr>
          <w:p>
            <w:pPr>
              <w:spacing w:after="20"/>
            </w:pPr>
            <w:r>
              <w:rPr>
                <w:color w:val="1C3A36"/>
                <w:sz w:val="12"/>
              </w:rPr>
              <w:t>us default spread</w:t>
            </w:r>
          </w:p>
        </w:tc>
        <w:tc>
          <w:tcPr>
            <w:tcW w:type="dxa" w:w="1224"/>
          </w:tcPr>
          <w:p>
            <w:pPr>
              <w:spacing w:after="20"/>
              <w:jc w:val="right"/>
            </w:pPr>
            <w:r>
              <w:rPr>
                <w:color w:val="1C3A36"/>
                <w:sz w:val="12"/>
              </w:rPr>
              <w:t>0.0023</w:t>
            </w:r>
          </w:p>
        </w:tc>
        <w:tc>
          <w:tcPr>
            <w:tcW w:type="dxa" w:w="1008"/>
          </w:tcPr>
          <w:p>
            <w:pPr>
              <w:spacing w:after="20"/>
              <w:jc w:val="right"/>
            </w:pPr>
            <w:r>
              <w:rPr>
                <w:color w:val="1C3A36"/>
                <w:sz w:val="12"/>
              </w:rPr>
              <w:t>2026-01-05</w:t>
            </w:r>
          </w:p>
        </w:tc>
        <w:tc>
          <w:tcPr>
            <w:tcW w:type="dxa" w:w="5688"/>
          </w:tcPr>
          <w:p>
            <w:pPr>
              <w:spacing w:after="20"/>
              <w:jc w:val="right"/>
            </w:pPr>
            <w:r>
              <w:rPr>
                <w:color w:val="1C3A36"/>
                <w:sz w:val="12"/>
              </w:rPr>
              <w:t>Aswath Damodaran, same file, United States row: Aa1, adjusted default spread 0.23%, country risk premium 0.23%, equity risk premium 4.46%, sovereign CDS 0.30%</w:t>
            </w:r>
          </w:p>
        </w:tc>
      </w:tr>
      <w:tr>
        <w:tc>
          <w:tcPr>
            <w:tcW w:type="dxa" w:w="1872"/>
          </w:tcPr>
          <w:p>
            <w:pPr>
              <w:spacing w:after="20"/>
            </w:pPr>
            <w:r>
              <w:rPr>
                <w:color w:val="1C3A36"/>
                <w:sz w:val="12"/>
              </w:rPr>
              <w:t>ust 10y</w:t>
            </w:r>
          </w:p>
        </w:tc>
        <w:tc>
          <w:tcPr>
            <w:tcW w:type="dxa" w:w="1224"/>
          </w:tcPr>
          <w:p>
            <w:pPr>
              <w:spacing w:after="20"/>
              <w:jc w:val="right"/>
            </w:pPr>
            <w:r>
              <w:rPr>
                <w:color w:val="1C3A36"/>
                <w:sz w:val="12"/>
              </w:rPr>
              <w:t>0.0465</w:t>
            </w:r>
          </w:p>
        </w:tc>
        <w:tc>
          <w:tcPr>
            <w:tcW w:type="dxa" w:w="1008"/>
          </w:tcPr>
          <w:p>
            <w:pPr>
              <w:spacing w:after="20"/>
              <w:jc w:val="right"/>
            </w:pPr>
            <w:r>
              <w:rPr>
                <w:color w:val="1C3A36"/>
                <w:sz w:val="12"/>
              </w:rPr>
              <w:t>2026-08-07</w:t>
            </w:r>
          </w:p>
        </w:tc>
        <w:tc>
          <w:tcPr>
            <w:tcW w:type="dxa" w:w="5688"/>
          </w:tcPr>
          <w:p>
            <w:pPr>
              <w:spacing w:after="20"/>
              <w:jc w:val="right"/>
            </w:pPr>
            <w:r>
              <w:rPr>
                <w:color w:val="1C3A36"/>
                <w:sz w:val="12"/>
              </w:rPr>
              <w:t>US 10-year Treasury note yield, 4.65% on 7 August 2026</w:t>
            </w:r>
          </w:p>
        </w:tc>
      </w:tr>
    </w:tbl>
    <w:p>
      <w:pPr>
        <w:spacing w:after="40"/>
      </w:pPr>
    </w:p>
    <w:p>
      <w:pPr>
        <w:spacing w:after="200" w:before="0"/>
      </w:pPr>
      <w:r>
        <w:rPr>
          <w:b w:val="0"/>
          <w:i/>
          <w:color w:val="6E7B77"/>
          <w:sz w:val="17"/>
        </w:rPr>
        <w:t>Table 3 — The market, country and industry input register.</w:t>
      </w:r>
    </w:p>
    <w:p>
      <w:pPr>
        <w:spacing w:after="80" w:before="200"/>
      </w:pPr>
      <w:r>
        <w:rPr>
          <w:b/>
          <w:i w:val="0"/>
          <w:color w:val="1C3A36"/>
          <w:sz w:val="24"/>
        </w:rPr>
        <w:t>2.3  Forecast drivers</w:t>
      </w:r>
    </w:p>
    <w:p>
      <w:pPr>
        <w:spacing w:after="120" w:before="0"/>
      </w:pPr>
      <w:r>
        <w:rPr>
          <w:b w:val="0"/>
          <w:i w:val="0"/>
          <w:color w:val="1C3A36"/>
          <w:sz w:val="21"/>
        </w:rPr>
        <w:t>The drivers below are the study’s own forward assumptions. Each is anchored on something disclosed, and the anchor is named.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2808"/>
        <w:gridCol w:w="1800"/>
        <w:gridCol w:w="2952"/>
      </w:tblGrid>
      <w:tr>
        <w:tc>
          <w:tcPr>
            <w:tcW w:type="dxa" w:w="2232"/>
            <w:shd w:val="clear" w:color="auto" w:fill="EAF0EE"/>
          </w:tcPr>
          <w:p>
            <w:pPr>
              <w:spacing w:after="20"/>
            </w:pPr>
            <w:r>
              <w:rPr>
                <w:b/>
                <w:color w:val="1C3A36"/>
                <w:sz w:val="14"/>
              </w:rPr>
              <w:t>Driver</w:t>
            </w:r>
          </w:p>
        </w:tc>
        <w:tc>
          <w:tcPr>
            <w:tcW w:type="dxa" w:w="2808"/>
            <w:shd w:val="clear" w:color="auto" w:fill="EAF0EE"/>
          </w:tcPr>
          <w:p>
            <w:pPr>
              <w:spacing w:after="20"/>
            </w:pPr>
            <w:r>
              <w:rPr>
                <w:b/>
                <w:color w:val="1C3A36"/>
                <w:sz w:val="14"/>
              </w:rPr>
              <w:t>Path 2026–2030</w:t>
            </w:r>
          </w:p>
        </w:tc>
        <w:tc>
          <w:tcPr>
            <w:tcW w:type="dxa" w:w="1800"/>
            <w:shd w:val="clear" w:color="auto" w:fill="EAF0EE"/>
          </w:tcPr>
          <w:p>
            <w:pPr>
              <w:spacing w:after="20"/>
            </w:pPr>
            <w:r>
              <w:rPr>
                <w:b/>
                <w:color w:val="1C3A36"/>
                <w:sz w:val="14"/>
              </w:rPr>
              <w:t>Construction</w:t>
            </w:r>
          </w:p>
        </w:tc>
        <w:tc>
          <w:tcPr>
            <w:tcW w:type="dxa" w:w="2952"/>
            <w:shd w:val="clear" w:color="auto" w:fill="EAF0EE"/>
          </w:tcPr>
          <w:p>
            <w:pPr>
              <w:spacing w:after="20"/>
            </w:pPr>
            <w:r>
              <w:rPr>
                <w:b/>
                <w:color w:val="1C3A36"/>
                <w:sz w:val="14"/>
              </w:rPr>
              <w:t>Anchor</w:t>
            </w:r>
          </w:p>
        </w:tc>
      </w:tr>
      <w:tr>
        <w:tc>
          <w:tcPr>
            <w:tcW w:type="dxa" w:w="2232"/>
          </w:tcPr>
          <w:p>
            <w:pPr>
              <w:spacing w:after="20"/>
            </w:pPr>
            <w:r>
              <w:rPr>
                <w:color w:val="1C3A36"/>
                <w:sz w:val="14"/>
              </w:rPr>
              <w:t>Polyethylene utilisation</w:t>
            </w:r>
          </w:p>
        </w:tc>
        <w:tc>
          <w:tcPr>
            <w:tcW w:type="dxa" w:w="2808"/>
          </w:tcPr>
          <w:p>
            <w:pPr>
              <w:spacing w:after="20"/>
              <w:jc w:val="right"/>
            </w:pPr>
            <w:r>
              <w:rPr>
                <w:color w:val="1C3A36"/>
                <w:sz w:val="14"/>
              </w:rPr>
              <w:t>0.8600 · 1.02 · 1.03 · 1.03 · 1.03</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The rates the plant demonstrated in 2024 and 2025</w:t>
            </w:r>
          </w:p>
        </w:tc>
      </w:tr>
      <w:tr>
        <w:tc>
          <w:tcPr>
            <w:tcW w:type="dxa" w:w="2232"/>
          </w:tcPr>
          <w:p>
            <w:pPr>
              <w:spacing w:after="20"/>
            </w:pPr>
            <w:r>
              <w:rPr>
                <w:color w:val="1C3A36"/>
                <w:sz w:val="14"/>
              </w:rPr>
            </w:r>
          </w:p>
        </w:tc>
        <w:tc>
          <w:tcPr>
            <w:tcW w:type="dxa" w:w="2808"/>
          </w:tcPr>
          <w:p>
            <w:pPr>
              <w:spacing w:after="20"/>
              <w:jc w:val="right"/>
            </w:pPr>
            <w:r>
              <w:rPr>
                <w:color w:val="1C3A36"/>
                <w:sz w:val="14"/>
              </w:rPr>
              <w:t>0.8000 · 0.8500 · 0.9300 · 1 · 1.02</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r>
        <w:tc>
          <w:tcPr>
            <w:tcW w:type="dxa" w:w="2232"/>
          </w:tcPr>
          <w:p>
            <w:pPr>
              <w:spacing w:after="20"/>
            </w:pPr>
            <w:r>
              <w:rPr>
                <w:color w:val="1C3A36"/>
                <w:sz w:val="14"/>
              </w:rPr>
              <w:t>Polypropylene utilisation</w:t>
            </w:r>
          </w:p>
        </w:tc>
        <w:tc>
          <w:tcPr>
            <w:tcW w:type="dxa" w:w="2808"/>
          </w:tcPr>
          <w:p>
            <w:pPr>
              <w:spacing w:after="20"/>
              <w:jc w:val="right"/>
            </w:pPr>
            <w:r>
              <w:rPr>
                <w:color w:val="1C3A36"/>
                <w:sz w:val="14"/>
              </w:rPr>
              <w:t>0.9000 · 1 · 1.01 · 1.01 · 1.01</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The rates the plant demonstrated in 2024 and 2025</w:t>
            </w:r>
          </w:p>
        </w:tc>
      </w:tr>
      <w:tr>
        <w:tc>
          <w:tcPr>
            <w:tcW w:type="dxa" w:w="2232"/>
          </w:tcPr>
          <w:p>
            <w:pPr>
              <w:spacing w:after="20"/>
            </w:pPr>
            <w:r>
              <w:rPr>
                <w:color w:val="1C3A36"/>
                <w:sz w:val="14"/>
              </w:rPr>
            </w:r>
          </w:p>
        </w:tc>
        <w:tc>
          <w:tcPr>
            <w:tcW w:type="dxa" w:w="2808"/>
          </w:tcPr>
          <w:p>
            <w:pPr>
              <w:spacing w:after="20"/>
              <w:jc w:val="right"/>
            </w:pPr>
            <w:r>
              <w:rPr>
                <w:color w:val="1C3A36"/>
                <w:sz w:val="14"/>
              </w:rPr>
              <w:t>0.8600 · 0.9000 · 0.9600 · 1 · 1.01</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r>
        <w:tc>
          <w:tcPr>
            <w:tcW w:type="dxa" w:w="2232"/>
          </w:tcPr>
          <w:p>
            <w:pPr>
              <w:spacing w:after="20"/>
            </w:pPr>
            <w:r>
              <w:rPr>
                <w:color w:val="1C3A36"/>
                <w:sz w:val="14"/>
              </w:rPr>
              <w:t>Polyethylene benchmark, USD/t</w:t>
            </w:r>
          </w:p>
        </w:tc>
        <w:tc>
          <w:tcPr>
            <w:tcW w:type="dxa" w:w="2808"/>
          </w:tcPr>
          <w:p>
            <w:pPr>
              <w:spacing w:after="20"/>
              <w:jc w:val="right"/>
            </w:pPr>
            <w:r>
              <w:rPr>
                <w:color w:val="1C3A36"/>
                <w:sz w:val="14"/>
              </w:rPr>
              <w:t>1,010 · 900 · 860 · 870 · 885</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Published capacity growth of 22% to 2034 against demand growing with world output</w:t>
            </w:r>
          </w:p>
        </w:tc>
      </w:tr>
      <w:tr>
        <w:tc>
          <w:tcPr>
            <w:tcW w:type="dxa" w:w="2232"/>
          </w:tcPr>
          <w:p>
            <w:pPr>
              <w:spacing w:after="20"/>
            </w:pPr>
            <w:r>
              <w:rPr>
                <w:color w:val="1C3A36"/>
                <w:sz w:val="14"/>
              </w:rPr>
            </w:r>
          </w:p>
        </w:tc>
        <w:tc>
          <w:tcPr>
            <w:tcW w:type="dxa" w:w="2808"/>
          </w:tcPr>
          <w:p>
            <w:pPr>
              <w:spacing w:after="20"/>
              <w:jc w:val="right"/>
            </w:pPr>
            <w:r>
              <w:rPr>
                <w:color w:val="1C3A36"/>
                <w:sz w:val="14"/>
              </w:rPr>
              <w:t>1,060 · 1,030 · 960 · 910 · 890</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r>
        <w:tc>
          <w:tcPr>
            <w:tcW w:type="dxa" w:w="2232"/>
          </w:tcPr>
          <w:p>
            <w:pPr>
              <w:spacing w:after="20"/>
            </w:pPr>
            <w:r>
              <w:rPr>
                <w:color w:val="1C3A36"/>
                <w:sz w:val="14"/>
              </w:rPr>
              <w:t>Polypropylene benchmark, USD/t</w:t>
            </w:r>
          </w:p>
        </w:tc>
        <w:tc>
          <w:tcPr>
            <w:tcW w:type="dxa" w:w="2808"/>
          </w:tcPr>
          <w:p>
            <w:pPr>
              <w:spacing w:after="20"/>
              <w:jc w:val="right"/>
            </w:pPr>
            <w:r>
              <w:rPr>
                <w:color w:val="1C3A36"/>
                <w:sz w:val="14"/>
              </w:rPr>
              <w:t>1,050 · 930 · 890 · 900 · 915</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Published capacity growth of 20% to 2034</w:t>
            </w:r>
          </w:p>
        </w:tc>
      </w:tr>
      <w:tr>
        <w:tc>
          <w:tcPr>
            <w:tcW w:type="dxa" w:w="2232"/>
          </w:tcPr>
          <w:p>
            <w:pPr>
              <w:spacing w:after="20"/>
            </w:pPr>
            <w:r>
              <w:rPr>
                <w:color w:val="1C3A36"/>
                <w:sz w:val="14"/>
              </w:rPr>
            </w:r>
          </w:p>
        </w:tc>
        <w:tc>
          <w:tcPr>
            <w:tcW w:type="dxa" w:w="2808"/>
          </w:tcPr>
          <w:p>
            <w:pPr>
              <w:spacing w:after="20"/>
              <w:jc w:val="right"/>
            </w:pPr>
            <w:r>
              <w:rPr>
                <w:color w:val="1C3A36"/>
                <w:sz w:val="14"/>
              </w:rPr>
              <w:t>1,105 · 1,070 · 995 · 940 · 920</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r>
        <w:tc>
          <w:tcPr>
            <w:tcW w:type="dxa" w:w="2232"/>
          </w:tcPr>
          <w:p>
            <w:pPr>
              <w:spacing w:after="20"/>
            </w:pPr>
            <w:r>
              <w:rPr>
                <w:color w:val="1C3A36"/>
                <w:sz w:val="14"/>
              </w:rPr>
              <w:t>Polyethylene premium, USD/t</w:t>
            </w:r>
          </w:p>
        </w:tc>
        <w:tc>
          <w:tcPr>
            <w:tcW w:type="dxa" w:w="2808"/>
          </w:tcPr>
          <w:p>
            <w:pPr>
              <w:spacing w:after="20"/>
              <w:jc w:val="right"/>
            </w:pPr>
            <w:r>
              <w:rPr>
                <w:color w:val="1C3A36"/>
                <w:sz w:val="14"/>
              </w:rPr>
              <w:t>260 · 210 · 200 · 200 · 200</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The company’s own through-the-cycle premium guidance</w:t>
            </w:r>
          </w:p>
        </w:tc>
      </w:tr>
      <w:tr>
        <w:tc>
          <w:tcPr>
            <w:tcW w:type="dxa" w:w="2232"/>
          </w:tcPr>
          <w:p>
            <w:pPr>
              <w:spacing w:after="20"/>
            </w:pPr>
            <w:r>
              <w:rPr>
                <w:color w:val="1C3A36"/>
                <w:sz w:val="14"/>
              </w:rPr>
            </w:r>
          </w:p>
        </w:tc>
        <w:tc>
          <w:tcPr>
            <w:tcW w:type="dxa" w:w="2808"/>
          </w:tcPr>
          <w:p>
            <w:pPr>
              <w:spacing w:after="20"/>
              <w:jc w:val="right"/>
            </w:pPr>
            <w:r>
              <w:rPr>
                <w:color w:val="1C3A36"/>
                <w:sz w:val="14"/>
              </w:rPr>
              <w:t>300 · 275 · 240 · 215 · 200</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r>
        <w:tc>
          <w:tcPr>
            <w:tcW w:type="dxa" w:w="2232"/>
          </w:tcPr>
          <w:p>
            <w:pPr>
              <w:spacing w:after="20"/>
            </w:pPr>
            <w:r>
              <w:rPr>
                <w:color w:val="1C3A36"/>
                <w:sz w:val="14"/>
              </w:rPr>
              <w:t>Polypropylene premium, USD/t</w:t>
            </w:r>
          </w:p>
        </w:tc>
        <w:tc>
          <w:tcPr>
            <w:tcW w:type="dxa" w:w="2808"/>
          </w:tcPr>
          <w:p>
            <w:pPr>
              <w:spacing w:after="20"/>
              <w:jc w:val="right"/>
            </w:pPr>
            <w:r>
              <w:rPr>
                <w:color w:val="1C3A36"/>
                <w:sz w:val="14"/>
              </w:rPr>
              <w:t>165 · 145 · 140 · 140 · 140</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The company’s own through-the-cycle premium guidance</w:t>
            </w:r>
          </w:p>
        </w:tc>
      </w:tr>
      <w:tr>
        <w:tc>
          <w:tcPr>
            <w:tcW w:type="dxa" w:w="2232"/>
          </w:tcPr>
          <w:p>
            <w:pPr>
              <w:spacing w:after="20"/>
            </w:pPr>
            <w:r>
              <w:rPr>
                <w:color w:val="1C3A36"/>
                <w:sz w:val="14"/>
              </w:rPr>
            </w:r>
          </w:p>
        </w:tc>
        <w:tc>
          <w:tcPr>
            <w:tcW w:type="dxa" w:w="2808"/>
          </w:tcPr>
          <w:p>
            <w:pPr>
              <w:spacing w:after="20"/>
              <w:jc w:val="right"/>
            </w:pPr>
            <w:r>
              <w:rPr>
                <w:color w:val="1C3A36"/>
                <w:sz w:val="14"/>
              </w:rPr>
              <w:t>195 · 180 · 160 · 148 · 140</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r>
        <w:tc>
          <w:tcPr>
            <w:tcW w:type="dxa" w:w="2232"/>
          </w:tcPr>
          <w:p>
            <w:pPr>
              <w:spacing w:after="20"/>
            </w:pPr>
            <w:r>
              <w:rPr>
                <w:color w:val="1C3A36"/>
                <w:sz w:val="14"/>
              </w:rPr>
              <w:t>Selling and distribution, USD/t sold</w:t>
            </w:r>
          </w:p>
        </w:tc>
        <w:tc>
          <w:tcPr>
            <w:tcW w:type="dxa" w:w="2808"/>
          </w:tcPr>
          <w:p>
            <w:pPr>
              <w:spacing w:after="20"/>
              <w:jc w:val="right"/>
            </w:pPr>
            <w:r>
              <w:rPr>
                <w:color w:val="1C3A36"/>
                <w:sz w:val="14"/>
              </w:rPr>
              <w:t>150 · 100 · 82 · 83 · 85</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H1-2026 actual on the re-routed lane, against the audited three-year level on the direct route</w:t>
            </w:r>
          </w:p>
        </w:tc>
      </w:tr>
      <w:tr>
        <w:tc>
          <w:tcPr>
            <w:tcW w:type="dxa" w:w="2232"/>
          </w:tcPr>
          <w:p>
            <w:pPr>
              <w:spacing w:after="20"/>
            </w:pPr>
            <w:r>
              <w:rPr>
                <w:color w:val="1C3A36"/>
                <w:sz w:val="14"/>
              </w:rPr>
            </w:r>
          </w:p>
        </w:tc>
        <w:tc>
          <w:tcPr>
            <w:tcW w:type="dxa" w:w="2808"/>
          </w:tcPr>
          <w:p>
            <w:pPr>
              <w:spacing w:after="20"/>
              <w:jc w:val="right"/>
            </w:pPr>
            <w:r>
              <w:rPr>
                <w:color w:val="1C3A36"/>
                <w:sz w:val="14"/>
              </w:rPr>
              <w:t>172 · 165 · 140 · 110 · 90</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r>
        <w:tc>
          <w:tcPr>
            <w:tcW w:type="dxa" w:w="2232"/>
          </w:tcPr>
          <w:p>
            <w:pPr>
              <w:spacing w:after="20"/>
            </w:pPr>
            <w:r>
              <w:rPr>
                <w:color w:val="1C3A36"/>
                <w:sz w:val="14"/>
              </w:rPr>
              <w:t>Share of feedstock bought at market price</w:t>
            </w:r>
          </w:p>
        </w:tc>
        <w:tc>
          <w:tcPr>
            <w:tcW w:type="dxa" w:w="2808"/>
          </w:tcPr>
          <w:p>
            <w:pPr>
              <w:spacing w:after="20"/>
              <w:jc w:val="right"/>
            </w:pPr>
            <w:r>
              <w:rPr>
                <w:color w:val="1C3A36"/>
                <w:sz w:val="14"/>
              </w:rPr>
              <w:t>0.5500 · 0.3500 · 0.3000 · 0.3000 · 0.3000</w:t>
            </w:r>
          </w:p>
        </w:tc>
        <w:tc>
          <w:tcPr>
            <w:tcW w:type="dxa" w:w="1800"/>
          </w:tcPr>
          <w:p>
            <w:pPr>
              <w:spacing w:after="20"/>
              <w:jc w:val="right"/>
            </w:pPr>
            <w:r>
              <w:rPr>
                <w:color w:val="1C3A36"/>
                <w:sz w:val="14"/>
              </w:rPr>
              <w:t>Shipping normalises</w:t>
            </w:r>
          </w:p>
        </w:tc>
        <w:tc>
          <w:tcPr>
            <w:tcW w:type="dxa" w:w="2952"/>
          </w:tcPr>
          <w:p>
            <w:pPr>
              <w:spacing w:after="20"/>
              <w:jc w:val="right"/>
            </w:pPr>
            <w:r>
              <w:rPr>
                <w:color w:val="1C3A36"/>
                <w:sz w:val="14"/>
              </w:rPr>
              <w:t>H1-2026 disclosure that propylene was bought at market prices while the conversion unit was idled</w:t>
            </w:r>
          </w:p>
        </w:tc>
      </w:tr>
      <w:tr>
        <w:tc>
          <w:tcPr>
            <w:tcW w:type="dxa" w:w="2232"/>
          </w:tcPr>
          <w:p>
            <w:pPr>
              <w:spacing w:after="20"/>
            </w:pPr>
            <w:r>
              <w:rPr>
                <w:color w:val="1C3A36"/>
                <w:sz w:val="14"/>
              </w:rPr>
            </w:r>
          </w:p>
        </w:tc>
        <w:tc>
          <w:tcPr>
            <w:tcW w:type="dxa" w:w="2808"/>
          </w:tcPr>
          <w:p>
            <w:pPr>
              <w:spacing w:after="20"/>
              <w:jc w:val="right"/>
            </w:pPr>
            <w:r>
              <w:rPr>
                <w:color w:val="1C3A36"/>
                <w:sz w:val="14"/>
              </w:rPr>
              <w:t>0.6200 · 0.5800 · 0.4500 · 0.3500 · 0.3000</w:t>
            </w:r>
          </w:p>
        </w:tc>
        <w:tc>
          <w:tcPr>
            <w:tcW w:type="dxa" w:w="1800"/>
          </w:tcPr>
          <w:p>
            <w:pPr>
              <w:spacing w:after="20"/>
              <w:jc w:val="right"/>
            </w:pPr>
            <w:r>
              <w:rPr>
                <w:color w:val="1C3A36"/>
                <w:sz w:val="14"/>
              </w:rPr>
              <w:t>Disruption persists</w:t>
            </w:r>
          </w:p>
        </w:tc>
        <w:tc>
          <w:tcPr>
            <w:tcW w:type="dxa" w:w="2952"/>
          </w:tcPr>
          <w:p>
            <w:pPr>
              <w:spacing w:after="20"/>
              <w:jc w:val="right"/>
            </w:pPr>
            <w:r>
              <w:rPr>
                <w:color w:val="1C3A36"/>
                <w:sz w:val="14"/>
              </w:rPr>
            </w:r>
          </w:p>
        </w:tc>
      </w:tr>
    </w:tbl>
    <w:p>
      <w:pPr>
        <w:spacing w:after="40"/>
      </w:pPr>
    </w:p>
    <w:p>
      <w:pPr>
        <w:spacing w:after="200" w:before="0"/>
      </w:pPr>
      <w:r>
        <w:rPr>
          <w:b w:val="0"/>
          <w:i/>
          <w:color w:val="6E7B77"/>
          <w:sz w:val="17"/>
        </w:rPr>
        <w:t>Table 4 — The forecast drivers, both constructions. The two differ only in utilisation, benchmark prices, premia, freight and the feedstock mix — that is, only in how long the shipping lane stays impaired.</w:t>
      </w:r>
    </w:p>
    <w:p>
      <w:r>
        <w:br w:type="page"/>
      </w:r>
    </w:p>
    <w:p>
      <w:pPr>
        <w:spacing w:after="120" w:before="280"/>
      </w:pPr>
      <w:r>
        <w:rPr>
          <w:b/>
          <w:i w:val="0"/>
          <w:color w:val="1C3A36"/>
          <w:sz w:val="30"/>
        </w:rPr>
        <w:t>3  Judgements, and what would overturn each one</w:t>
      </w:r>
    </w:p>
    <w:p>
      <w:pPr>
        <w:spacing w:after="120" w:before="0"/>
      </w:pPr>
      <w:r>
        <w:rPr>
          <w:b w:val="0"/>
          <w:i w:val="0"/>
          <w:color w:val="1C3A36"/>
          <w:sz w:val="21"/>
        </w:rPr>
        <w:t>These are the places where the study chose. Each is stated with the reasoning and with the specific observation that would prove it wrong.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4248"/>
        <w:gridCol w:w="3600"/>
      </w:tblGrid>
      <w:tr>
        <w:tc>
          <w:tcPr>
            <w:tcW w:type="dxa" w:w="1944"/>
            <w:shd w:val="clear" w:color="auto" w:fill="EAF0EE"/>
          </w:tcPr>
          <w:p>
            <w:pPr>
              <w:spacing w:after="20"/>
            </w:pPr>
            <w:r>
              <w:rPr>
                <w:b/>
                <w:color w:val="1C3A36"/>
                <w:sz w:val="15"/>
              </w:rPr>
              <w:t>Judgement</w:t>
            </w:r>
          </w:p>
        </w:tc>
        <w:tc>
          <w:tcPr>
            <w:tcW w:type="dxa" w:w="4248"/>
            <w:shd w:val="clear" w:color="auto" w:fill="EAF0EE"/>
          </w:tcPr>
          <w:p>
            <w:pPr>
              <w:spacing w:after="20"/>
            </w:pPr>
            <w:r>
              <w:rPr>
                <w:b/>
                <w:color w:val="1C3A36"/>
                <w:sz w:val="15"/>
              </w:rPr>
              <w:t>What the study did</w:t>
            </w:r>
          </w:p>
        </w:tc>
        <w:tc>
          <w:tcPr>
            <w:tcW w:type="dxa" w:w="3600"/>
            <w:shd w:val="clear" w:color="auto" w:fill="EAF0EE"/>
          </w:tcPr>
          <w:p>
            <w:pPr>
              <w:spacing w:after="20"/>
            </w:pPr>
            <w:r>
              <w:rPr>
                <w:b/>
                <w:color w:val="1C3A36"/>
                <w:sz w:val="15"/>
              </w:rPr>
              <w:t>What would overturn it</w:t>
            </w:r>
          </w:p>
        </w:tc>
      </w:tr>
      <w:tr>
        <w:tc>
          <w:tcPr>
            <w:tcW w:type="dxa" w:w="1944"/>
          </w:tcPr>
          <w:p>
            <w:pPr>
              <w:spacing w:after="20"/>
            </w:pPr>
            <w:r>
              <w:rPr>
                <w:color w:val="1C3A36"/>
                <w:sz w:val="15"/>
              </w:rPr>
              <w:t>Which beta to use</w:t>
            </w:r>
          </w:p>
        </w:tc>
        <w:tc>
          <w:tcPr>
            <w:tcW w:type="dxa" w:w="4248"/>
          </w:tcPr>
          <w:p>
            <w:pPr>
              <w:spacing w:after="20"/>
              <w:jc w:val="right"/>
            </w:pPr>
            <w:r>
              <w:rPr>
                <w:color w:val="1C3A36"/>
                <w:sz w:val="15"/>
              </w:rPr>
              <w:t>Neither. Both are published: the share’s own five-year weekly regression of 0.271, and a sector bottom-up beta re-levered to 1.121. The two are carried side by side to a value per share everywhere they appear</w:t>
            </w:r>
          </w:p>
        </w:tc>
        <w:tc>
          <w:tcPr>
            <w:tcW w:type="dxa" w:w="3600"/>
          </w:tcPr>
          <w:p>
            <w:pPr>
              <w:spacing w:after="20"/>
              <w:jc w:val="right"/>
            </w:pPr>
            <w:r>
              <w:rPr>
                <w:color w:val="1C3A36"/>
                <w:sz w:val="15"/>
              </w:rPr>
              <w:t>A longer trading history or a wider free float that let the share’s own regression pass a strong-instrument test rather than a minimum one. A rising R-squared would settle it empirically</w:t>
            </w:r>
          </w:p>
        </w:tc>
      </w:tr>
      <w:tr>
        <w:tc>
          <w:tcPr>
            <w:tcW w:type="dxa" w:w="1944"/>
          </w:tcPr>
          <w:p>
            <w:pPr>
              <w:spacing w:after="20"/>
            </w:pPr>
            <w:r>
              <w:rPr>
                <w:color w:val="1C3A36"/>
                <w:sz w:val="15"/>
              </w:rPr>
              <w:t>Whether thin trading explains the low beta</w:t>
            </w:r>
          </w:p>
        </w:tc>
        <w:tc>
          <w:tcPr>
            <w:tcW w:type="dxa" w:w="4248"/>
          </w:tcPr>
          <w:p>
            <w:pPr>
              <w:spacing w:after="20"/>
              <w:jc w:val="right"/>
            </w:pPr>
            <w:r>
              <w:rPr>
                <w:color w:val="1C3A36"/>
                <w:sz w:val="15"/>
              </w:rPr>
              <w:t>No. A lead-lag correction for infrequent trading was run and moves the estimate DOWN to 0.194, not up. So the low reading is not a stale-price artefact</w:t>
            </w:r>
          </w:p>
        </w:tc>
        <w:tc>
          <w:tcPr>
            <w:tcW w:type="dxa" w:w="3600"/>
          </w:tcPr>
          <w:p>
            <w:pPr>
              <w:spacing w:after="20"/>
              <w:jc w:val="right"/>
            </w:pPr>
            <w:r>
              <w:rPr>
                <w:color w:val="1C3A36"/>
                <w:sz w:val="15"/>
              </w:rPr>
              <w:t>A different correction method giving a materially higher estimate</w:t>
            </w:r>
          </w:p>
        </w:tc>
      </w:tr>
      <w:tr>
        <w:tc>
          <w:tcPr>
            <w:tcW w:type="dxa" w:w="1944"/>
          </w:tcPr>
          <w:p>
            <w:pPr>
              <w:spacing w:after="20"/>
            </w:pPr>
            <w:r>
              <w:rPr>
                <w:color w:val="1C3A36"/>
                <w:sz w:val="15"/>
              </w:rPr>
              <w:t>Whether the 2026 cost step is permanent</w:t>
            </w:r>
          </w:p>
        </w:tc>
        <w:tc>
          <w:tcPr>
            <w:tcW w:type="dxa" w:w="4248"/>
          </w:tcPr>
          <w:p>
            <w:pPr>
              <w:spacing w:after="20"/>
              <w:jc w:val="right"/>
            </w:pPr>
            <w:r>
              <w:rPr>
                <w:color w:val="1C3A36"/>
                <w:sz w:val="15"/>
              </w:rPr>
              <w:t>Not decided. Two full constructions are built and published side by side, differing only in how long the shipping lane stays impaired</w:t>
            </w:r>
          </w:p>
        </w:tc>
        <w:tc>
          <w:tcPr>
            <w:tcW w:type="dxa" w:w="3600"/>
          </w:tcPr>
          <w:p>
            <w:pPr>
              <w:spacing w:after="20"/>
              <w:jc w:val="right"/>
            </w:pPr>
            <w:r>
              <w:rPr>
                <w:color w:val="1C3A36"/>
                <w:sz w:val="15"/>
              </w:rPr>
              <w:t>Full-year 2026 results. Feedstock back toward the low 300s per tonne confirms the temporary reading; a figure still near $395 confirms the other</w:t>
            </w:r>
          </w:p>
        </w:tc>
      </w:tr>
      <w:tr>
        <w:tc>
          <w:tcPr>
            <w:tcW w:type="dxa" w:w="1944"/>
          </w:tcPr>
          <w:p>
            <w:pPr>
              <w:spacing w:after="20"/>
            </w:pPr>
            <w:r>
              <w:rPr>
                <w:color w:val="1C3A36"/>
                <w:sz w:val="15"/>
              </w:rPr>
              <w:t>Whether to carry the H1-2026 realisation residual</w:t>
            </w:r>
          </w:p>
        </w:tc>
        <w:tc>
          <w:tcPr>
            <w:tcW w:type="dxa" w:w="4248"/>
          </w:tcPr>
          <w:p>
            <w:pPr>
              <w:spacing w:after="20"/>
              <w:jc w:val="right"/>
            </w:pPr>
            <w:r>
              <w:rPr>
                <w:color w:val="1C3A36"/>
                <w:sz w:val="15"/>
              </w:rPr>
              <w:t>No. The forecast carries the audited three-year mean rather than the wider half-year figure, on the ground that the widening is shortage pricing rather than a durable improvement in what customers pay</w:t>
            </w:r>
          </w:p>
        </w:tc>
        <w:tc>
          <w:tcPr>
            <w:tcW w:type="dxa" w:w="3600"/>
          </w:tcPr>
          <w:p>
            <w:pPr>
              <w:spacing w:after="20"/>
              <w:jc w:val="right"/>
            </w:pPr>
            <w:r>
              <w:rPr>
                <w:color w:val="1C3A36"/>
                <w:sz w:val="15"/>
              </w:rPr>
              <w:t>A second and third consecutive half-year at the wider residual</w:t>
            </w:r>
          </w:p>
        </w:tc>
      </w:tr>
      <w:tr>
        <w:tc>
          <w:tcPr>
            <w:tcW w:type="dxa" w:w="1944"/>
          </w:tcPr>
          <w:p>
            <w:pPr>
              <w:spacing w:after="20"/>
            </w:pPr>
            <w:r>
              <w:rPr>
                <w:color w:val="1C3A36"/>
                <w:sz w:val="15"/>
              </w:rPr>
              <w:t>Whether to include FY2022 in the historical averages</w:t>
            </w:r>
          </w:p>
        </w:tc>
        <w:tc>
          <w:tcPr>
            <w:tcW w:type="dxa" w:w="4248"/>
          </w:tcPr>
          <w:p>
            <w:pPr>
              <w:spacing w:after="20"/>
              <w:jc w:val="right"/>
            </w:pPr>
            <w:r>
              <w:rPr>
                <w:color w:val="1C3A36"/>
                <w:sz w:val="15"/>
              </w:rPr>
              <w:t>No. It is the post-listing peak-price year and would flatter every through-cycle average. It was obtained and read, and is held as a check</w:t>
            </w:r>
          </w:p>
        </w:tc>
        <w:tc>
          <w:tcPr>
            <w:tcW w:type="dxa" w:w="3600"/>
          </w:tcPr>
          <w:p>
            <w:pPr>
              <w:spacing w:after="20"/>
              <w:jc w:val="right"/>
            </w:pPr>
            <w:r>
              <w:rPr>
                <w:color w:val="1C3A36"/>
                <w:sz w:val="15"/>
              </w:rPr>
              <w:t>Evidence that 2022 pricing represented a durable level rather than a peak</w:t>
            </w:r>
          </w:p>
        </w:tc>
      </w:tr>
      <w:tr>
        <w:tc>
          <w:tcPr>
            <w:tcW w:type="dxa" w:w="1944"/>
          </w:tcPr>
          <w:p>
            <w:pPr>
              <w:spacing w:after="20"/>
            </w:pPr>
            <w:r>
              <w:rPr>
                <w:color w:val="1C3A36"/>
                <w:sz w:val="15"/>
              </w:rPr>
              <w:t>How to value Borouge 4</w:t>
            </w:r>
          </w:p>
        </w:tc>
        <w:tc>
          <w:tcPr>
            <w:tcW w:type="dxa" w:w="4248"/>
          </w:tcPr>
          <w:p>
            <w:pPr>
              <w:spacing w:after="20"/>
              <w:jc w:val="right"/>
            </w:pPr>
            <w:r>
              <w:rPr>
                <w:color w:val="1C3A36"/>
                <w:sz w:val="15"/>
              </w:rPr>
              <w:t>As an operator fee stream worth about $2,970m, never as owned capacity. The sponsors quantify the fee two ways — a cumulative three-year figure and a percentage accretion — and they do not agree, so the LOWER is carried and the gap disclosed</w:t>
            </w:r>
          </w:p>
        </w:tc>
        <w:tc>
          <w:tcPr>
            <w:tcW w:type="dxa" w:w="3600"/>
          </w:tcPr>
          <w:p>
            <w:pPr>
              <w:spacing w:after="20"/>
              <w:jc w:val="right"/>
            </w:pPr>
            <w:r>
              <w:rPr>
                <w:color w:val="1C3A36"/>
                <w:sz w:val="15"/>
              </w:rPr>
              <w:t>Publication of the recontribution terms, or an ownership interest actually transferring to Borouge plc</w:t>
            </w:r>
          </w:p>
        </w:tc>
      </w:tr>
      <w:tr>
        <w:tc>
          <w:tcPr>
            <w:tcW w:type="dxa" w:w="1944"/>
          </w:tcPr>
          <w:p>
            <w:pPr>
              <w:spacing w:after="20"/>
            </w:pPr>
            <w:r>
              <w:rPr>
                <w:color w:val="1C3A36"/>
                <w:sz w:val="15"/>
              </w:rPr>
              <w:t>What terminal growth to use</w:t>
            </w:r>
          </w:p>
        </w:tc>
        <w:tc>
          <w:tcPr>
            <w:tcW w:type="dxa" w:w="4248"/>
          </w:tcPr>
          <w:p>
            <w:pPr>
              <w:spacing w:after="20"/>
              <w:jc w:val="right"/>
            </w:pPr>
            <w:r>
              <w:rPr>
                <w:color w:val="1C3A36"/>
                <w:sz w:val="15"/>
              </w:rPr>
              <w:t>2.0%, long-run dollar inflation, on the specific ground that the company’s OWN capacity is fixed — the expansion at its site belongs to its parents</w:t>
            </w:r>
          </w:p>
        </w:tc>
        <w:tc>
          <w:tcPr>
            <w:tcW w:type="dxa" w:w="3600"/>
          </w:tcPr>
          <w:p>
            <w:pPr>
              <w:spacing w:after="20"/>
              <w:jc w:val="right"/>
            </w:pPr>
            <w:r>
              <w:rPr>
                <w:color w:val="1C3A36"/>
                <w:sz w:val="15"/>
              </w:rPr>
              <w:t>An announced expansion that Borouge plc would actually own</w:t>
            </w:r>
          </w:p>
        </w:tc>
      </w:tr>
      <w:tr>
        <w:tc>
          <w:tcPr>
            <w:tcW w:type="dxa" w:w="1944"/>
          </w:tcPr>
          <w:p>
            <w:pPr>
              <w:spacing w:after="20"/>
            </w:pPr>
            <w:r>
              <w:rPr>
                <w:color w:val="1C3A36"/>
                <w:sz w:val="15"/>
              </w:rPr>
              <w:t>Which tax rate to use</w:t>
            </w:r>
          </w:p>
        </w:tc>
        <w:tc>
          <w:tcPr>
            <w:tcW w:type="dxa" w:w="4248"/>
          </w:tcPr>
          <w:p>
            <w:pPr>
              <w:spacing w:after="20"/>
              <w:jc w:val="right"/>
            </w:pPr>
            <w:r>
              <w:rPr>
                <w:color w:val="1C3A36"/>
                <w:sz w:val="15"/>
              </w:rPr>
              <w:t>The company’s own three-year mean effective rate of 28.74%, not the 9% federal headline. Borouge is taxed under the emirate-level regime that pre-dates the federal tax</w:t>
            </w:r>
          </w:p>
        </w:tc>
        <w:tc>
          <w:tcPr>
            <w:tcW w:type="dxa" w:w="3600"/>
          </w:tcPr>
          <w:p>
            <w:pPr>
              <w:spacing w:after="20"/>
              <w:jc w:val="right"/>
            </w:pPr>
            <w:r>
              <w:rPr>
                <w:color w:val="1C3A36"/>
                <w:sz w:val="15"/>
              </w:rPr>
              <w:t>A change in the fiscal regime applying to the group, or a sustained effective rate at a different level</w:t>
            </w:r>
          </w:p>
        </w:tc>
      </w:tr>
      <w:tr>
        <w:tc>
          <w:tcPr>
            <w:tcW w:type="dxa" w:w="1944"/>
          </w:tcPr>
          <w:p>
            <w:pPr>
              <w:spacing w:after="20"/>
            </w:pPr>
            <w:r>
              <w:rPr>
                <w:color w:val="1C3A36"/>
                <w:sz w:val="15"/>
              </w:rPr>
              <w:t>Whether to use the peer median multiple</w:t>
            </w:r>
          </w:p>
        </w:tc>
        <w:tc>
          <w:tcPr>
            <w:tcW w:type="dxa" w:w="4248"/>
          </w:tcPr>
          <w:p>
            <w:pPr>
              <w:spacing w:after="20"/>
              <w:jc w:val="right"/>
            </w:pPr>
            <w:r>
              <w:rPr>
                <w:color w:val="1C3A36"/>
                <w:sz w:val="15"/>
              </w:rPr>
              <w:t>No. Nine of eleven peers are loss-making and two have no defined multiple, so the median of 13.4x measures a collapsed denominator. Three named through-cycle anchors are used instead</w:t>
            </w:r>
          </w:p>
        </w:tc>
        <w:tc>
          <w:tcPr>
            <w:tcW w:type="dxa" w:w="3600"/>
          </w:tcPr>
          <w:p>
            <w:pPr>
              <w:spacing w:after="20"/>
              <w:jc w:val="right"/>
            </w:pPr>
            <w:r>
              <w:rPr>
                <w:color w:val="1C3A36"/>
                <w:sz w:val="15"/>
              </w:rPr>
              <w:t>A recovery that restores peer profitability, at which point a live median becomes meaningful again</w:t>
            </w:r>
          </w:p>
        </w:tc>
      </w:tr>
      <w:tr>
        <w:tc>
          <w:tcPr>
            <w:tcW w:type="dxa" w:w="1944"/>
          </w:tcPr>
          <w:p>
            <w:pPr>
              <w:spacing w:after="20"/>
            </w:pPr>
            <w:r>
              <w:rPr>
                <w:color w:val="1C3A36"/>
                <w:sz w:val="15"/>
              </w:rPr>
              <w:t>Which risk-free rate construction to use</w:t>
            </w:r>
          </w:p>
        </w:tc>
        <w:tc>
          <w:tcPr>
            <w:tcW w:type="dxa" w:w="4248"/>
          </w:tcPr>
          <w:p>
            <w:pPr>
              <w:spacing w:after="20"/>
              <w:jc w:val="right"/>
            </w:pPr>
            <w:r>
              <w:rPr>
                <w:color w:val="1C3A36"/>
                <w:sz w:val="15"/>
              </w:rPr>
              <w:t>The dollar construction at 4.42%, because the company reports, borrows and sells in dollars. The dirham construction gives 4.06% and the gap is reported rather than reconciled away</w:t>
            </w:r>
          </w:p>
        </w:tc>
        <w:tc>
          <w:tcPr>
            <w:tcW w:type="dxa" w:w="3600"/>
          </w:tcPr>
          <w:p>
            <w:pPr>
              <w:spacing w:after="20"/>
              <w:jc w:val="right"/>
            </w:pPr>
            <w:r>
              <w:rPr>
                <w:color w:val="1C3A36"/>
                <w:sz w:val="15"/>
              </w:rPr>
              <w:t>A change in the peg, which would make the two constructions genuinely different questions rather than two routes to the same one</w:t>
            </w:r>
          </w:p>
        </w:tc>
      </w:tr>
      <w:tr>
        <w:tc>
          <w:tcPr>
            <w:tcW w:type="dxa" w:w="1944"/>
          </w:tcPr>
          <w:p>
            <w:pPr>
              <w:spacing w:after="20"/>
            </w:pPr>
            <w:r>
              <w:rPr>
                <w:color w:val="1C3A36"/>
                <w:sz w:val="15"/>
              </w:rPr>
              <w:t>Whether the related-party debt is at arm’s length</w:t>
            </w:r>
          </w:p>
        </w:tc>
        <w:tc>
          <w:tcPr>
            <w:tcW w:type="dxa" w:w="4248"/>
          </w:tcPr>
          <w:p>
            <w:pPr>
              <w:spacing w:after="20"/>
              <w:jc w:val="right"/>
            </w:pPr>
            <w:r>
              <w:rPr>
                <w:color w:val="1C3A36"/>
                <w:sz w:val="15"/>
              </w:rPr>
              <w:t>Yes, and it was tested rather than assumed. The parent facilities price at 5.52% against an arm’s-length marginal cost of 5.55% and a sovereign floor of 5.07%. The gap is 0.03%</w:t>
            </w:r>
          </w:p>
        </w:tc>
        <w:tc>
          <w:tcPr>
            <w:tcW w:type="dxa" w:w="3600"/>
          </w:tcPr>
          <w:p>
            <w:pPr>
              <w:spacing w:after="20"/>
              <w:jc w:val="right"/>
            </w:pPr>
            <w:r>
              <w:rPr>
                <w:color w:val="1C3A36"/>
                <w:sz w:val="15"/>
              </w:rPr>
              <w:t>A refinancing at a materially different margin, or disclosure that the facilities carry terms a third party would not offer</w:t>
            </w:r>
          </w:p>
        </w:tc>
      </w:tr>
      <w:tr>
        <w:tc>
          <w:tcPr>
            <w:tcW w:type="dxa" w:w="1944"/>
          </w:tcPr>
          <w:p>
            <w:pPr>
              <w:spacing w:after="20"/>
            </w:pPr>
            <w:r>
              <w:rPr>
                <w:color w:val="1C3A36"/>
                <w:sz w:val="15"/>
              </w:rPr>
              <w:t>How much weight the probability bands deserve on this share</w:t>
            </w:r>
          </w:p>
        </w:tc>
        <w:tc>
          <w:tcPr>
            <w:tcW w:type="dxa" w:w="4248"/>
          </w:tcPr>
          <w:p>
            <w:pPr>
              <w:spacing w:after="20"/>
              <w:jc w:val="right"/>
            </w:pPr>
            <w:r>
              <w:rPr>
                <w:color w:val="1C3A36"/>
                <w:sz w:val="15"/>
              </w:rPr>
              <w:t>Less than usual, and the study says so. Tested over the 12 independent windows the history allows, the bands scored -0.090 against their benchmark — worse, because they are too wide for a share this calm</w:t>
            </w:r>
          </w:p>
        </w:tc>
        <w:tc>
          <w:tcPr>
            <w:tcW w:type="dxa" w:w="3600"/>
          </w:tcPr>
          <w:p>
            <w:pPr>
              <w:spacing w:after="20"/>
              <w:jc w:val="right"/>
            </w:pPr>
            <w:r>
              <w:rPr>
                <w:color w:val="1C3A36"/>
                <w:sz w:val="15"/>
              </w:rPr>
              <w:t>More trading history. The share has traded for 4.17 years and the test needs more windows than that allows</w:t>
            </w:r>
          </w:p>
        </w:tc>
      </w:tr>
    </w:tbl>
    <w:p>
      <w:pPr>
        <w:spacing w:after="40"/>
      </w:pPr>
    </w:p>
    <w:p>
      <w:pPr>
        <w:spacing w:after="200" w:before="0"/>
      </w:pPr>
      <w:r>
        <w:rPr>
          <w:b w:val="0"/>
          <w:i/>
          <w:color w:val="6E7B77"/>
          <w:sz w:val="17"/>
        </w:rPr>
        <w:t>Table 5 — The judgement record.</w:t>
      </w:r>
    </w:p>
    <w:p>
      <w:r>
        <w:br w:type="page"/>
      </w:r>
    </w:p>
    <w:p>
      <w:pPr>
        <w:spacing w:after="120" w:before="280"/>
      </w:pPr>
      <w:r>
        <w:rPr>
          <w:b/>
          <w:i w:val="0"/>
          <w:color w:val="1C3A36"/>
          <w:sz w:val="30"/>
        </w:rPr>
        <w:t>4  What was searched for and not found</w:t>
      </w:r>
    </w:p>
    <w:p>
      <w:pPr>
        <w:spacing w:after="120" w:before="0"/>
      </w:pPr>
      <w:r>
        <w:rPr>
          <w:b w:val="0"/>
          <w:i w:val="0"/>
          <w:color w:val="1C3A36"/>
          <w:sz w:val="21"/>
        </w:rPr>
        <w:t>A study is shaped as much by what is missing as by what is there. Each search below came back empty, and each row says what the study did instead of filling the gap.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3240"/>
        <w:gridCol w:w="3600"/>
      </w:tblGrid>
      <w:tr>
        <w:tc>
          <w:tcPr>
            <w:tcW w:type="dxa" w:w="2952"/>
            <w:shd w:val="clear" w:color="auto" w:fill="EAF0EE"/>
          </w:tcPr>
          <w:p>
            <w:pPr>
              <w:spacing w:after="20"/>
            </w:pPr>
            <w:r>
              <w:rPr>
                <w:b/>
                <w:color w:val="1C3A36"/>
                <w:sz w:val="15"/>
              </w:rPr>
              <w:t>Searched for</w:t>
            </w:r>
          </w:p>
        </w:tc>
        <w:tc>
          <w:tcPr>
            <w:tcW w:type="dxa" w:w="3240"/>
            <w:shd w:val="clear" w:color="auto" w:fill="EAF0EE"/>
          </w:tcPr>
          <w:p>
            <w:pPr>
              <w:spacing w:after="20"/>
            </w:pPr>
            <w:r>
              <w:rPr>
                <w:b/>
                <w:color w:val="1C3A36"/>
                <w:sz w:val="15"/>
              </w:rPr>
              <w:t>Where</w:t>
            </w:r>
          </w:p>
        </w:tc>
        <w:tc>
          <w:tcPr>
            <w:tcW w:type="dxa" w:w="3600"/>
            <w:shd w:val="clear" w:color="auto" w:fill="EAF0EE"/>
          </w:tcPr>
          <w:p>
            <w:pPr>
              <w:spacing w:after="20"/>
            </w:pPr>
            <w:r>
              <w:rPr>
                <w:b/>
                <w:color w:val="1C3A36"/>
                <w:sz w:val="15"/>
              </w:rPr>
              <w:t>What the study did instead</w:t>
            </w:r>
          </w:p>
        </w:tc>
      </w:tr>
      <w:tr>
        <w:tc>
          <w:tcPr>
            <w:tcW w:type="dxa" w:w="2952"/>
          </w:tcPr>
          <w:p>
            <w:pPr>
              <w:spacing w:after="20"/>
            </w:pPr>
            <w:r>
              <w:rPr>
                <w:color w:val="1C3A36"/>
                <w:sz w:val="15"/>
              </w:rPr>
              <w:t>The pricing formula of the ADNOC ethane supply arrangement, and any contracted escalation</w:t>
            </w:r>
          </w:p>
        </w:tc>
        <w:tc>
          <w:tcPr>
            <w:tcW w:type="dxa" w:w="3240"/>
          </w:tcPr>
          <w:p>
            <w:pPr>
              <w:spacing w:after="20"/>
              <w:jc w:val="right"/>
            </w:pPr>
            <w:r>
              <w:rPr>
                <w:color w:val="1C3A36"/>
                <w:sz w:val="15"/>
              </w:rPr>
              <w:t>All four annual reports, all four sets of audited statements, both interim sets and every management discussion</w:t>
            </w:r>
          </w:p>
        </w:tc>
        <w:tc>
          <w:tcPr>
            <w:tcW w:type="dxa" w:w="3600"/>
          </w:tcPr>
          <w:p>
            <w:pPr>
              <w:spacing w:after="20"/>
              <w:jc w:val="right"/>
            </w:pPr>
            <w:r>
              <w:rPr>
                <w:color w:val="1C3A36"/>
                <w:sz w:val="15"/>
              </w:rPr>
              <w:t>Carried zero real escalation on the contracted leg and flagged it. Inventing a formula would be worse than carrying zero and saying so; the sensitivity shows what a non-zero escalator costs</w:t>
            </w:r>
          </w:p>
        </w:tc>
      </w:tr>
      <w:tr>
        <w:tc>
          <w:tcPr>
            <w:tcW w:type="dxa" w:w="2952"/>
          </w:tcPr>
          <w:p>
            <w:pPr>
              <w:spacing w:after="20"/>
            </w:pPr>
            <w:r>
              <w:rPr>
                <w:color w:val="1C3A36"/>
                <w:sz w:val="15"/>
              </w:rPr>
              <w:t>Segmental profitability — polyethylene against polypropylene operating profit, segment assets, segment capital employed</w:t>
            </w:r>
          </w:p>
        </w:tc>
        <w:tc>
          <w:tcPr>
            <w:tcW w:type="dxa" w:w="3240"/>
          </w:tcPr>
          <w:p>
            <w:pPr>
              <w:spacing w:after="20"/>
              <w:jc w:val="right"/>
            </w:pPr>
            <w:r>
              <w:rPr>
                <w:color w:val="1C3A36"/>
                <w:sz w:val="15"/>
              </w:rPr>
              <w:t>The same documents. Borouge reports as one operating segment</w:t>
            </w:r>
          </w:p>
        </w:tc>
        <w:tc>
          <w:tcPr>
            <w:tcW w:type="dxa" w:w="3600"/>
          </w:tcPr>
          <w:p>
            <w:pPr>
              <w:spacing w:after="20"/>
              <w:jc w:val="right"/>
            </w:pPr>
            <w:r>
              <w:rPr>
                <w:color w:val="1C3A36"/>
                <w:sz w:val="15"/>
              </w:rPr>
              <w:t>Allocated cost across products on the disclosed physical drivers, and stated the gap in the study rather than presenting an allocation as a disclosure</w:t>
            </w:r>
          </w:p>
        </w:tc>
      </w:tr>
      <w:tr>
        <w:tc>
          <w:tcPr>
            <w:tcW w:type="dxa" w:w="2952"/>
          </w:tcPr>
          <w:p>
            <w:pPr>
              <w:spacing w:after="20"/>
            </w:pPr>
            <w:r>
              <w:rPr>
                <w:color w:val="1C3A36"/>
                <w:sz w:val="15"/>
              </w:rPr>
              <w:t>A published exchange ratio, valuation or prospectus for the expected tender offer</w:t>
            </w:r>
          </w:p>
        </w:tc>
        <w:tc>
          <w:tcPr>
            <w:tcW w:type="dxa" w:w="3240"/>
          </w:tcPr>
          <w:p>
            <w:pPr>
              <w:spacing w:after="20"/>
              <w:jc w:val="right"/>
            </w:pPr>
            <w:r>
              <w:rPr>
                <w:color w:val="1C3A36"/>
                <w:sz w:val="15"/>
              </w:rPr>
              <w:t>Borouge, ADNOC and OMV investor relations</w:t>
            </w:r>
          </w:p>
        </w:tc>
        <w:tc>
          <w:tcPr>
            <w:tcW w:type="dxa" w:w="3600"/>
          </w:tcPr>
          <w:p>
            <w:pPr>
              <w:spacing w:after="20"/>
              <w:jc w:val="right"/>
            </w:pPr>
            <w:r>
              <w:rPr>
                <w:color w:val="1C3A36"/>
                <w:sz w:val="15"/>
              </w:rPr>
              <w:t>Carried the offer as a catalyst and a caveat. No conversion value enters any number in the study</w:t>
            </w:r>
          </w:p>
        </w:tc>
      </w:tr>
      <w:tr>
        <w:tc>
          <w:tcPr>
            <w:tcW w:type="dxa" w:w="2952"/>
          </w:tcPr>
          <w:p>
            <w:pPr>
              <w:spacing w:after="20"/>
            </w:pPr>
            <w:r>
              <w:rPr>
                <w:color w:val="1C3A36"/>
                <w:sz w:val="15"/>
              </w:rPr>
              <w:t>A multi-year capital-expenditure programme</w:t>
            </w:r>
          </w:p>
        </w:tc>
        <w:tc>
          <w:tcPr>
            <w:tcW w:type="dxa" w:w="3240"/>
          </w:tcPr>
          <w:p>
            <w:pPr>
              <w:spacing w:after="20"/>
              <w:jc w:val="right"/>
            </w:pPr>
            <w:r>
              <w:rPr>
                <w:color w:val="1C3A36"/>
                <w:sz w:val="15"/>
              </w:rPr>
              <w:t>Annual reports and every results disclosure. The company guides the year ahead only</w:t>
            </w:r>
          </w:p>
        </w:tc>
        <w:tc>
          <w:tcPr>
            <w:tcW w:type="dxa" w:w="3600"/>
          </w:tcPr>
          <w:p>
            <w:pPr>
              <w:spacing w:after="20"/>
              <w:jc w:val="right"/>
            </w:pPr>
            <w:r>
              <w:rPr>
                <w:color w:val="1C3A36"/>
                <w:sz w:val="15"/>
              </w:rPr>
              <w:t>Set steady-state maintenance capital spend from the company’s own three-year outturn against its current-year guide, flagged it as the one materially top-down driver, and sensitised it</w:t>
            </w:r>
          </w:p>
        </w:tc>
      </w:tr>
      <w:tr>
        <w:tc>
          <w:tcPr>
            <w:tcW w:type="dxa" w:w="2952"/>
          </w:tcPr>
          <w:p>
            <w:pPr>
              <w:spacing w:after="20"/>
            </w:pPr>
            <w:r>
              <w:rPr>
                <w:color w:val="1C3A36"/>
                <w:sz w:val="15"/>
              </w:rPr>
              <w:t>A sovereign credit-default-swap quote for the United Arab Emirates</w:t>
            </w:r>
          </w:p>
        </w:tc>
        <w:tc>
          <w:tcPr>
            <w:tcW w:type="dxa" w:w="3240"/>
          </w:tcPr>
          <w:p>
            <w:pPr>
              <w:spacing w:after="20"/>
              <w:jc w:val="right"/>
            </w:pPr>
            <w:r>
              <w:rPr>
                <w:color w:val="1C3A36"/>
                <w:sz w:val="15"/>
              </w:rPr>
              <w:t>The published country risk file, which carries CDS-based spreads for many sovereigns but not this one</w:t>
            </w:r>
          </w:p>
        </w:tc>
        <w:tc>
          <w:tcPr>
            <w:tcW w:type="dxa" w:w="3600"/>
          </w:tcPr>
          <w:p>
            <w:pPr>
              <w:spacing w:after="20"/>
              <w:jc w:val="right"/>
            </w:pPr>
            <w:r>
              <w:rPr>
                <w:color w:val="1C3A36"/>
                <w:sz w:val="15"/>
              </w:rPr>
              <w:t>Published both equity risk premium bases on the rating basis and stated the absence rather than borrowing a neighbouring sovereign’s quote</w:t>
            </w:r>
          </w:p>
        </w:tc>
      </w:tr>
      <w:tr>
        <w:tc>
          <w:tcPr>
            <w:tcW w:type="dxa" w:w="2952"/>
          </w:tcPr>
          <w:p>
            <w:pPr>
              <w:spacing w:after="20"/>
            </w:pPr>
            <w:r>
              <w:rPr>
                <w:color w:val="1C3A36"/>
                <w:sz w:val="15"/>
              </w:rPr>
              <w:t>Direct access to the exchange’s own web portal</w:t>
            </w:r>
          </w:p>
        </w:tc>
        <w:tc>
          <w:tcPr>
            <w:tcW w:type="dxa" w:w="3240"/>
          </w:tcPr>
          <w:p>
            <w:pPr>
              <w:spacing w:after="20"/>
              <w:jc w:val="right"/>
            </w:pPr>
            <w:r>
              <w:rPr>
                <w:color w:val="1C3A36"/>
                <w:sz w:val="15"/>
              </w:rPr>
              <w:t>adx.ae — refused with an HTTP 403 at the network layer on every attempt</w:t>
            </w:r>
          </w:p>
        </w:tc>
        <w:tc>
          <w:tcPr>
            <w:tcW w:type="dxa" w:w="3600"/>
          </w:tcPr>
          <w:p>
            <w:pPr>
              <w:spacing w:after="20"/>
              <w:jc w:val="right"/>
            </w:pPr>
            <w:r>
              <w:rPr>
                <w:color w:val="1C3A36"/>
                <w:sz w:val="15"/>
              </w:rPr>
              <w:t>Not needed. Every statement was obtained from the company’s own library, and the exchange’s monthly statistics workbooks were obtained separately for the market-capitalisation cross-check</w:t>
            </w:r>
          </w:p>
        </w:tc>
      </w:tr>
    </w:tbl>
    <w:p>
      <w:pPr>
        <w:spacing w:after="40"/>
      </w:pPr>
    </w:p>
    <w:p>
      <w:pPr>
        <w:spacing w:after="200" w:before="0"/>
      </w:pPr>
      <w:r>
        <w:rPr>
          <w:b w:val="0"/>
          <w:i/>
          <w:color w:val="6E7B77"/>
          <w:sz w:val="17"/>
        </w:rPr>
        <w:t>Table 6 — The negative results.</w:t>
      </w:r>
    </w:p>
    <w:p>
      <w:pPr>
        <w:spacing w:after="120" w:before="280"/>
      </w:pPr>
      <w:r>
        <w:rPr>
          <w:b/>
          <w:i w:val="0"/>
          <w:color w:val="1C3A36"/>
          <w:sz w:val="30"/>
        </w:rPr>
        <w:t>5  Where the numbers disagree between sources</w:t>
      </w:r>
    </w:p>
    <w:p>
      <w:pPr>
        <w:spacing w:after="120" w:before="0"/>
      </w:pPr>
      <w:r>
        <w:rPr>
          <w:b w:val="0"/>
          <w:i w:val="0"/>
          <w:color w:val="1C3A36"/>
          <w:sz w:val="21"/>
        </w:rPr>
        <w:t>Two places, and both are reported rather than reconciled.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3384"/>
        <w:gridCol w:w="3888"/>
      </w:tblGrid>
      <w:tr>
        <w:tc>
          <w:tcPr>
            <w:tcW w:type="dxa" w:w="2520"/>
            <w:shd w:val="clear" w:color="auto" w:fill="EAF0EE"/>
          </w:tcPr>
          <w:p>
            <w:pPr>
              <w:spacing w:after="20"/>
            </w:pPr>
            <w:r>
              <w:rPr>
                <w:b/>
                <w:color w:val="1C3A36"/>
                <w:sz w:val="16"/>
              </w:rPr>
              <w:t>Disagreement</w:t>
            </w:r>
          </w:p>
        </w:tc>
        <w:tc>
          <w:tcPr>
            <w:tcW w:type="dxa" w:w="3384"/>
            <w:shd w:val="clear" w:color="auto" w:fill="EAF0EE"/>
          </w:tcPr>
          <w:p>
            <w:pPr>
              <w:spacing w:after="20"/>
            </w:pPr>
            <w:r>
              <w:rPr>
                <w:b/>
                <w:color w:val="1C3A36"/>
                <w:sz w:val="16"/>
              </w:rPr>
              <w:t>The two figures</w:t>
            </w:r>
          </w:p>
        </w:tc>
        <w:tc>
          <w:tcPr>
            <w:tcW w:type="dxa" w:w="3888"/>
            <w:shd w:val="clear" w:color="auto" w:fill="EAF0EE"/>
          </w:tcPr>
          <w:p>
            <w:pPr>
              <w:spacing w:after="20"/>
            </w:pPr>
            <w:r>
              <w:rPr>
                <w:b/>
                <w:color w:val="1C3A36"/>
                <w:sz w:val="16"/>
              </w:rPr>
              <w:t>How the study handles it</w:t>
            </w:r>
          </w:p>
        </w:tc>
      </w:tr>
      <w:tr>
        <w:tc>
          <w:tcPr>
            <w:tcW w:type="dxa" w:w="2520"/>
          </w:tcPr>
          <w:p>
            <w:pPr>
              <w:spacing w:after="20"/>
            </w:pPr>
            <w:r>
              <w:rPr>
                <w:color w:val="1C3A36"/>
                <w:sz w:val="16"/>
              </w:rPr>
              <w:t>The risk-free rate under a hard currency peg</w:t>
            </w:r>
          </w:p>
        </w:tc>
        <w:tc>
          <w:tcPr>
            <w:tcW w:type="dxa" w:w="3384"/>
          </w:tcPr>
          <w:p>
            <w:pPr>
              <w:spacing w:after="20"/>
              <w:jc w:val="right"/>
            </w:pPr>
            <w:r>
              <w:rPr>
                <w:color w:val="1C3A36"/>
                <w:sz w:val="16"/>
              </w:rPr>
              <w:t>4.42% built in dollars against 4.06% built from the dirham government bond</w:t>
            </w:r>
          </w:p>
        </w:tc>
        <w:tc>
          <w:tcPr>
            <w:tcW w:type="dxa" w:w="3888"/>
          </w:tcPr>
          <w:p>
            <w:pPr>
              <w:spacing w:after="20"/>
              <w:jc w:val="right"/>
            </w:pPr>
            <w:r>
              <w:rPr>
                <w:color w:val="1C3A36"/>
                <w:sz w:val="16"/>
              </w:rPr>
              <w:t>Uses the dollar construction, because the company reports and borrows in dollars, and reports the gap in the study rather than averaging it away</w:t>
            </w:r>
          </w:p>
        </w:tc>
      </w:tr>
      <w:tr>
        <w:tc>
          <w:tcPr>
            <w:tcW w:type="dxa" w:w="2520"/>
          </w:tcPr>
          <w:p>
            <w:pPr>
              <w:spacing w:after="20"/>
            </w:pPr>
            <w:r>
              <w:rPr>
                <w:color w:val="1C3A36"/>
                <w:sz w:val="16"/>
              </w:rPr>
              <w:t>The two quantifications of the Borouge 4 fee</w:t>
            </w:r>
          </w:p>
        </w:tc>
        <w:tc>
          <w:tcPr>
            <w:tcW w:type="dxa" w:w="3384"/>
          </w:tcPr>
          <w:p>
            <w:pPr>
              <w:spacing w:after="20"/>
              <w:jc w:val="right"/>
            </w:pPr>
            <w:r>
              <w:rPr>
                <w:color w:val="1C3A36"/>
                <w:sz w:val="16"/>
              </w:rPr>
              <w:t>$400m a year implied by the disclosed three-year cumulative profit, against $119m implied by the disclosed percentage accretion</w:t>
            </w:r>
          </w:p>
        </w:tc>
        <w:tc>
          <w:tcPr>
            <w:tcW w:type="dxa" w:w="3888"/>
          </w:tcPr>
          <w:p>
            <w:pPr>
              <w:spacing w:after="20"/>
              <w:jc w:val="right"/>
            </w:pPr>
            <w:r>
              <w:rPr>
                <w:color w:val="1C3A36"/>
                <w:sz w:val="16"/>
              </w:rPr>
              <w:t>Carries the LOWER and shows both in the workbook. They come from the same press release and cannot both be right</w:t>
            </w:r>
          </w:p>
        </w:tc>
      </w:tr>
      <w:tr>
        <w:tc>
          <w:tcPr>
            <w:tcW w:type="dxa" w:w="2520"/>
          </w:tcPr>
          <w:p>
            <w:pPr>
              <w:spacing w:after="20"/>
            </w:pPr>
            <w:r>
              <w:rPr>
                <w:color w:val="1C3A36"/>
                <w:sz w:val="16"/>
              </w:rPr>
              <w:t>UAE growth forecasts</w:t>
            </w:r>
          </w:p>
        </w:tc>
        <w:tc>
          <w:tcPr>
            <w:tcW w:type="dxa" w:w="3384"/>
          </w:tcPr>
          <w:p>
            <w:pPr>
              <w:spacing w:after="20"/>
              <w:jc w:val="right"/>
            </w:pPr>
            <w:r>
              <w:rPr>
                <w:color w:val="1C3A36"/>
                <w:sz w:val="16"/>
              </w:rPr>
              <w:t>1.7% from the central bank against 3.1% from the IMF for the same year</w:t>
            </w:r>
          </w:p>
        </w:tc>
        <w:tc>
          <w:tcPr>
            <w:tcW w:type="dxa" w:w="3888"/>
          </w:tcPr>
          <w:p>
            <w:pPr>
              <w:spacing w:after="20"/>
              <w:jc w:val="right"/>
            </w:pPr>
            <w:r>
              <w:rPr>
                <w:color w:val="1C3A36"/>
                <w:sz w:val="16"/>
              </w:rPr>
              <w:t>Neither drives a driver. Borouge sells into more than ninety countries, so domestic growth is context rather than an input. UAE inflation IS used, and only for the domestic fixed cost leg</w:t>
            </w:r>
          </w:p>
        </w:tc>
      </w:tr>
    </w:tbl>
    <w:p>
      <w:pPr>
        <w:spacing w:after="40"/>
      </w:pPr>
    </w:p>
    <w:p>
      <w:pPr>
        <w:spacing w:after="200" w:before="0"/>
      </w:pPr>
      <w:r>
        <w:rPr>
          <w:b w:val="0"/>
          <w:i/>
          <w:color w:val="6E7B77"/>
          <w:sz w:val="17"/>
        </w:rPr>
        <w:t>Table 7 — Where sources disagree.</w:t>
      </w:r>
    </w:p>
    <w:p>
      <w:pPr>
        <w:spacing w:after="120" w:before="280"/>
      </w:pPr>
      <w:r>
        <w:rPr>
          <w:b/>
          <w:i w:val="0"/>
          <w:color w:val="1C3A36"/>
          <w:sz w:val="30"/>
        </w:rPr>
        <w:t>6  Where an aggregator was used, and where it was not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Layout w:type="fixed"/>
        <w:tblCellMar>
          <w:top w:w="120" w:type="dxa"/>
          <w:left w:w="160" w:type="dxa"/>
          <w:bottom w:w="120" w:type="dxa"/>
          <w:right w:w="160" w:type="dxa"/>
        </w:tblCellMar>
        <w:tblLayout w:type="fixed"/>
      </w:tblPr>
      <w:tblGrid>
        <w:gridCol w:w="10080"/>
      </w:tblGrid>
      <w:tr>
        <w:tc>
          <w:tcPr>
            <w:tcW w:type="dxa" w:w="10080"/>
            <w:shd w:val="clear" w:color="auto" w:fill="F6F1E6"/>
          </w:tcPr>
          <w:p>
            <w:pPr>
              <w:spacing w:after="100"/>
            </w:pPr>
            <w:r>
              <w:rPr>
                <w:b/>
                <w:color w:val="1C3A36"/>
                <w:sz w:val="19"/>
              </w:rPr>
              <w:t xml:space="preserve">Used, in exactly one place. </w:t>
            </w:r>
            <w:r>
              <w:rPr>
                <w:color w:val="1C3A36"/>
                <w:sz w:val="19"/>
              </w:rPr>
              <w:t>The eleven listed peers’ multiples and margins in the study’s peer table come from market-data aggregators, observed on 9 August 2026. They are used to demonstrate that the peer set cannot produce an honest live multiple — nine of eleven are loss-making — and to cross-check the through-cycle anchors. They are labelled as a cross-check everywhere they appear.</w:t>
            </w:r>
          </w:p>
          <w:p>
            <w:pPr>
              <w:spacing w:after="100"/>
            </w:pPr>
            <w:r>
              <w:rPr>
                <w:b/>
                <w:color w:val="1C3A36"/>
                <w:sz w:val="19"/>
              </w:rPr>
              <w:t xml:space="preserve">Not used, anywhere. </w:t>
            </w:r>
            <w:r>
              <w:rPr>
                <w:color w:val="1C3A36"/>
                <w:sz w:val="19"/>
              </w:rPr>
              <w:t>No aggregator, broker note, press summary or search-result extract is the source of any figure Borouge itself reports. Revenue, volumes, prices, costs, the balance sheet, the cash flow, the tax rate, the debt book and the share count all come from the company’s own published documents listed in Table 1 — every one of which was re-downloaded and verified byte-for-byte identical before this document was written.</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