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13.98</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(187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13.98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Exchange close, from the study's own price library</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2026-08-06</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the central bank's longest-horizon published target, 5% (+/-2) for Q4 2028 — the SAME figure terminal growth is set at.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2.6e+04, 2.6e+04, 2.6e+04, 2.6e+04, 2.6e+04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0.1, 0.07, 0.06, 0.05, 0.05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Domestic inflation converging from the June 2026 print (14.3%) on the central bank's own target ladder: 7% (+/-2) for Q4 2026, which falls in FY2026/27-FY2027/28, and 5% (+/-2) for Q4 2028, which falls in FY2028/29, held thereafter. RE-SET 1 September 2026 so that the explicit path lands on the terminal inflation rather than stepping down to it at the terminal boundary.</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530, 500, 470, 450, 440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price path, mean-reverting from the August 2026 quote toward the cash cost of the marginal gas-based producer.</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set at the central bank's LONGEST-HORIZON published inflation target: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Weights of the four lenses in the weighted central this edition publishes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4e+04, 4.1e+04, 4.2e+04, 4.3e+04, 4.4e+04</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emerging-market real policy rate,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1.011e+04, 1.092e+04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1.55e+05, 1.6e+05, 1.65e+05, 1.7e+05, 1.75e+05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4.05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