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w:t>
            </w:r>
          </w:p>
        </w:tc>
        <w:tc>
          <w:tcPr>
            <w:tcW w:type="dxa" w:w="1644"/>
          </w:tcPr>
          <w:p>
            <w:r/>
            <w:r>
              <w:rPr>
                <w:color w:val="1A1D21"/>
                <w:sz w:val="18"/>
              </w:rPr>
              <w:t>EGP 15.89</w:t>
            </w:r>
          </w:p>
        </w:tc>
        <w:tc>
          <w:tcPr>
            <w:tcW w:type="dxa" w:w="1020"/>
          </w:tcPr>
          <w:p>
            <w:r/>
            <w:r>
              <w:rPr>
                <w:color w:val="1A1D21"/>
                <w:sz w:val="18"/>
              </w:rPr>
              <w:t>—</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147.12</w:t>
            </w:r>
          </w:p>
        </w:tc>
        <w:tc>
          <w:tcPr>
            <w:tcW w:type="dxa" w:w="1644"/>
          </w:tcPr>
          <w:p>
            <w:r/>
            <w:r>
              <w:rPr>
                <w:color w:val="1A1D21"/>
                <w:sz w:val="18"/>
              </w:rPr>
              <w:t>EGP 39.33</w:t>
            </w:r>
          </w:p>
        </w:tc>
        <w:tc>
          <w:tcPr>
            <w:tcW w:type="dxa" w:w="1020"/>
          </w:tcPr>
          <w:p>
            <w:r/>
            <w:r>
              <w:rPr>
                <w:color w:val="1A1D21"/>
                <w:sz w:val="18"/>
              </w:rPr>
              <w:t>-73.3%</w:t>
            </w:r>
          </w:p>
        </w:tc>
      </w:tr>
    </w:tbl>
    <w:p/>
    <w:p>
      <w:pPr>
        <w:spacing w:after="120"/>
      </w:pPr>
      <w:r>
        <w:rPr>
          <w:b w:val="0"/>
          <w:i w:val="0"/>
          <w:color w:val="5B6570"/>
          <w:sz w:val="18"/>
        </w:rPr>
        <w:t>PHDC — before-calibration price not recoverable — run and study delivered 30-Aug-2026, before this record existed. assets/data.js carries no date or standard stamp on fair{}, and every data.js commit reachable in this clone (23, from 30-Aug-2026) already holds 7.62/15.89/24.92 — so whether the delivered study moved it cannot be established. Recorded as absent rather than filled in with the post-run number, which would fabricate a zero movement..</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