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591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a secondary source disagreed with the company's own filings.</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559</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10</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5</w:t>
            </w:r>
          </w:p>
        </w:tc>
        <w:tc>
          <w:tcPr>
            <w:tcW w:type="dxa" w:w="7560"/>
          </w:tcPr>
          <w:p>
            <w:pPr>
              <w:spacing w:after="20" w:before="0" w:line="240" w:lineRule="auto"/>
            </w:pPr>
            <w:r>
              <w:rPr>
                <w:color w:val="1C3A36"/>
                <w:sz w:val="16"/>
              </w:rPr>
              <w:t>The security itself: the last close used throughout the study, and the statistics estimated from its own price history — the regression slope against its home market, its standard error, the fit of that regression and the lead-lag variant.</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170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29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price history for the stock and for the Abu Dhabi listed names in the study library</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and the 163 weekly observations behind the regression against the home market.</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r>
        <w:br w:type="page"/>
      </w:r>
    </w:p>
    <w:p>
      <w:pPr>
        <w:spacing w:after="100" w:before="260"/>
      </w:pPr>
      <w:r>
        <w:rPr>
          <w:b/>
          <w:i w:val="0"/>
          <w:color w:val="1C3A36"/>
          <w:sz w:val="28"/>
        </w:rPr>
        <w:t>The input register — every figure the model uses</w:t>
      </w:r>
    </w:p>
    <w:p>
      <w:pPr>
        <w:spacing w:after="100" w:before="0"/>
      </w:pPr>
      <w:r>
        <w:rPr>
          <w:b w:val="0"/>
          <w:i w:val="0"/>
          <w:color w:val="6E7B77"/>
          <w:sz w:val="19"/>
        </w:rPr>
        <w:t>All 591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559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owned-fleet time-charter equivalent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time-charter-equivalent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a presentational driver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10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these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average rate, against the rate achieved in the first quarter of 2026, in setting the second half of 2026. A half-and-half blend is a deliberate step down from a first half running far above it</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5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Weekly regression of the stock's own returns on an equal-weight index of the Abu Dhabi listed names in the study's price library, over the full listed history</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0.122</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0.172</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0.806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Dimson lead-lag sum beta from the same series, one lead and two lags</w:t>
            </w:r>
          </w:p>
        </w:tc>
      </w:tr>
    </w:tbl>
    <w:p>
      <w:pPr>
        <w:spacing w:after="40"/>
      </w:pPr>
    </w:p>
    <w:p>
      <w:r>
        <w:br w:type="page"/>
      </w:r>
    </w:p>
    <w:p>
      <w:pPr>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8.40 a share, rates settling 30% above that gives AED 10.22.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The cost of equity, and the choice of beta</w:t>
            </w:r>
          </w:p>
        </w:tc>
        <w:tc>
          <w:tcPr>
            <w:tcW w:type="dxa" w:w="3917"/>
          </w:tcPr>
          <w:p>
            <w:pPr>
              <w:spacing w:after="20" w:before="0" w:line="240" w:lineRule="auto"/>
            </w:pPr>
            <w:r>
              <w:rPr>
                <w:color w:val="1C3A36"/>
                <w:sz w:val="15"/>
              </w:rPr>
              <w:t>A slope of 0.705 from the stock's own weekly returns against an index of its home market over its full listed history — 163 observations, R-squared 0.172, standard error 0.122 — giving a cost of equity of 7.49%. Because the listed history is only 3.18 years and the free float small, the entire valuation is ALSO published at a beta of 1.0, which raises the cost of equity to 8.93% and moves the central figure from AED 7.94 to AED 7.04 a share.</w:t>
            </w:r>
          </w:p>
        </w:tc>
        <w:tc>
          <w:tcPr>
            <w:tcW w:type="dxa" w:w="4262"/>
          </w:tcPr>
          <w:p>
            <w:pPr>
              <w:spacing w:after="20" w:before="0" w:line="240" w:lineRule="auto"/>
            </w:pPr>
            <w:r>
              <w:rPr>
                <w:color w:val="1C3A36"/>
                <w:sz w:val="15"/>
              </w:rPr>
              <w:t>A longer price history is the only real answer and it arrives with time. Meanwhile the lead-lag variant of the same regression gives 0.806, and a listed tanker owner's sector slope sits well above 1.0 — either would push the cost of equity toward the published alternative. The study does not average the two.</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7.75 a share against the published AED 7.94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Deducted in full — USD 1,978.6m — in the bridge from enterprise to equity value, and charged as debt-like in the cash-flow lens, although the company classifies them as equity because their coupons are payable solely at its discretion. Their coupons never touch the income statement, so earnings available to ordinary holders are struck after them.</w:t>
            </w:r>
          </w:p>
        </w:tc>
        <w:tc>
          <w:tcPr>
            <w:tcW w:type="dxa" w:w="4262"/>
          </w:tcPr>
          <w:p>
            <w:pPr>
              <w:spacing w:after="20" w:before="0" w:line="240" w:lineRule="auto"/>
            </w:pPr>
            <w:r>
              <w:rPr>
                <w:color w:val="1C3A36"/>
                <w:sz w:val="15"/>
              </w:rPr>
              <w:t>They rank ahead of the ordinary shares whichever way they are classified, which is why they are deducted. Treating them as equity instead would add about AED 0.98 a share. A redemption, or a coupon actually deferred, would resolve the question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84%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15.3%,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spacing w:after="40"/>
      </w:pPr>
    </w:p>
    <w:p>
      <w:r>
        <w:br w:type="page"/>
      </w:r>
    </w:p>
    <w:p>
      <w:pPr>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a secondary source disagreed with the filings</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What the secondary source said</w:t>
            </w:r>
          </w:p>
        </w:tc>
        <w:tc>
          <w:tcPr>
            <w:tcW w:type="dxa" w:w="3024"/>
            <w:shd w:val="clear" w:color="auto" w:fill="EAF0EE"/>
          </w:tcPr>
          <w:p>
            <w:pPr>
              <w:spacing w:after="20" w:before="0" w:line="240" w:lineRule="auto"/>
            </w:pPr>
            <w:r>
              <w:rPr>
                <w:b/>
                <w:color w:val="1C3A36"/>
                <w:sz w:val="15"/>
              </w:rPr>
              <w:t>What the company's own filing says</w:t>
            </w:r>
          </w:p>
        </w:tc>
        <w:tc>
          <w:tcPr>
            <w:tcW w:type="dxa" w:w="3024"/>
            <w:shd w:val="clear" w:color="auto" w:fill="EAF0EE"/>
          </w:tcPr>
          <w:p>
            <w:pPr>
              <w:spacing w:after="20" w:before="0" w:line="240" w:lineRule="auto"/>
            </w:pPr>
            <w:r>
              <w:rPr>
                <w:b/>
                <w:color w:val="1C3A36"/>
                <w:sz w:val="15"/>
              </w:rPr>
              <w:t>Which was used, and why</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spacing w:after="40"/>
      </w:pPr>
    </w:p>
    <w:p>
      <w:r>
        <w:br w:type="page"/>
      </w:r>
    </w:p>
    <w:p>
      <w:pPr>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