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3 September 2026  ·  Reporting and valuation currency: Egyptian pounds  ·  Anchor price EGP 14.41 at the close of 2026-09-03</w:t>
      </w:r>
    </w:p>
    <w:p>
      <w:pPr>
        <w:keepNext/>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The answer is the cash-flow lens, and on this company it has TWO SIDES: EGP 3.90 a share if the capital programme is carried through and EGP 7.88 if it is stopped. Both are published throughout and neither is averaged into the other. The other lenses — relative multiples, normalised earnings and book value — are CROSS-CHECKS printed beside the answer, not weights inside it. A previous edition published a weighted blend of the four at stated weights; the weights were typed and had never been tested, and averaging several methods does not make a number more robust than the best of them — it makes a new method with free parameters nobody checked. Where the lenses disagree, the disagreement is the information, and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3.90 and EGP 15.99 a share. It trades at EGP 14.41. The gap is not a rounding difference between the lenses: it is the whole disagreement. The multiple lens, on the range Egyptian fertilizer producers actually trade at, centres at EGP 15.99 — above the traded price — and it reaches that answer only by never asking what the capital programme does to cash. Every lens that does ask lands below EGP 4.29.</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13.0%,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25.8% to 18.6%, terminal growth 7.0%</w:t>
            </w:r>
          </w:p>
        </w:tc>
        <w:tc>
          <w:tcPr>
            <w:tcW w:type="dxa" w:w="1512"/>
          </w:tcPr>
          <w:p>
            <w:pPr>
              <w:spacing w:after="20"/>
              <w:jc w:val="right"/>
            </w:pPr>
            <w:r>
              <w:rPr>
                <w:color w:val="1C3A36"/>
                <w:sz w:val="15"/>
              </w:rPr>
              <w:t>0.82 to 4.03</w:t>
            </w:r>
          </w:p>
        </w:tc>
        <w:tc>
          <w:tcPr>
            <w:tcW w:type="dxa" w:w="1008"/>
          </w:tcPr>
          <w:p>
            <w:pPr>
              <w:spacing w:after="20"/>
              <w:jc w:val="right"/>
            </w:pPr>
            <w:r>
              <w:rPr>
                <w:color w:val="1C3A36"/>
                <w:sz w:val="15"/>
              </w:rPr>
              <w:t>3.90</w:t>
            </w:r>
          </w:p>
        </w:tc>
        <w:tc>
          <w:tcPr>
            <w:tcW w:type="dxa" w:w="936"/>
          </w:tcPr>
          <w:p>
            <w:pPr>
              <w:spacing w:after="20"/>
              <w:jc w:val="right"/>
            </w:pPr>
            <w:r>
              <w:rPr>
                <w:color w:val="1C3A36"/>
                <w:sz w:val="15"/>
              </w:rPr>
              <w:t>-73%</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5.21 to 7.95</w:t>
            </w:r>
          </w:p>
        </w:tc>
        <w:tc>
          <w:tcPr>
            <w:tcW w:type="dxa" w:w="1008"/>
          </w:tcPr>
          <w:p>
            <w:pPr>
              <w:spacing w:after="20"/>
              <w:jc w:val="right"/>
            </w:pPr>
            <w:r>
              <w:rPr>
                <w:color w:val="1C3A36"/>
                <w:sz w:val="15"/>
              </w:rPr>
              <w:t>7.88</w:t>
            </w:r>
          </w:p>
        </w:tc>
        <w:tc>
          <w:tcPr>
            <w:tcW w:type="dxa" w:w="936"/>
          </w:tcPr>
          <w:p>
            <w:pPr>
              <w:spacing w:after="20"/>
              <w:jc w:val="right"/>
            </w:pPr>
            <w:r>
              <w:rPr>
                <w:color w:val="1C3A36"/>
                <w:sz w:val="15"/>
              </w:rPr>
              <w:t>-45%</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11.26 to 20.71</w:t>
            </w:r>
          </w:p>
        </w:tc>
        <w:tc>
          <w:tcPr>
            <w:tcW w:type="dxa" w:w="1008"/>
          </w:tcPr>
          <w:p>
            <w:pPr>
              <w:spacing w:after="20"/>
              <w:jc w:val="right"/>
            </w:pPr>
            <w:r>
              <w:rPr>
                <w:color w:val="1C3A36"/>
                <w:sz w:val="15"/>
              </w:rPr>
              <w:t>15.99</w:t>
            </w:r>
          </w:p>
        </w:tc>
        <w:tc>
          <w:tcPr>
            <w:tcW w:type="dxa" w:w="936"/>
          </w:tcPr>
          <w:p>
            <w:pPr>
              <w:spacing w:after="20"/>
              <w:jc w:val="right"/>
            </w:pPr>
            <w:r>
              <w:rPr>
                <w:color w:val="1C3A36"/>
                <w:sz w:val="15"/>
              </w:rPr>
              <w:t>+11%</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1,502m at 8x to 12x, 10x central</w:t>
            </w:r>
          </w:p>
        </w:tc>
        <w:tc>
          <w:tcPr>
            <w:tcW w:type="dxa" w:w="1512"/>
          </w:tcPr>
          <w:p>
            <w:pPr>
              <w:spacing w:after="20"/>
              <w:jc w:val="right"/>
            </w:pPr>
            <w:r>
              <w:rPr>
                <w:color w:val="1C3A36"/>
                <w:sz w:val="15"/>
              </w:rPr>
              <w:t>2.78 to 5.80</w:t>
            </w:r>
          </w:p>
        </w:tc>
        <w:tc>
          <w:tcPr>
            <w:tcW w:type="dxa" w:w="1008"/>
          </w:tcPr>
          <w:p>
            <w:pPr>
              <w:spacing w:after="20"/>
              <w:jc w:val="right"/>
            </w:pPr>
            <w:r>
              <w:rPr>
                <w:color w:val="1C3A36"/>
                <w:sz w:val="15"/>
              </w:rPr>
              <w:t>4.29</w:t>
            </w:r>
          </w:p>
        </w:tc>
        <w:tc>
          <w:tcPr>
            <w:tcW w:type="dxa" w:w="936"/>
          </w:tcPr>
          <w:p>
            <w:pPr>
              <w:spacing w:after="20"/>
              <w:jc w:val="right"/>
            </w:pPr>
            <w:r>
              <w:rPr>
                <w:color w:val="1C3A36"/>
                <w:sz w:val="15"/>
              </w:rPr>
              <w:t>-70%</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29.3%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0.00</w:t>
            </w:r>
          </w:p>
        </w:tc>
        <w:tc>
          <w:tcPr>
            <w:tcW w:type="dxa" w:w="936"/>
          </w:tcPr>
          <w:p>
            <w:pPr>
              <w:spacing w:after="20"/>
              <w:jc w:val="right"/>
            </w:pPr>
            <w:r>
              <w:rPr>
                <w:color w:val="1C3A36"/>
                <w:sz w:val="15"/>
              </w:rPr>
              <w:t>-100%</w:t>
            </w:r>
          </w:p>
        </w:tc>
      </w:tr>
      <w:tr>
        <w:trPr>
          <w:cantSplit/>
        </w:trPr>
        <w:tc>
          <w:tcPr>
            <w:tcW w:type="dxa" w:w="2232"/>
            <w:shd w:val="clear" w:color="auto" w:fill="F6F1E6"/>
          </w:tcPr>
          <w:p>
            <w:pPr>
              <w:spacing w:after="20"/>
            </w:pPr>
            <w:r>
              <w:rPr>
                <w:b/>
                <w:color w:val="1C3A36"/>
                <w:sz w:val="15"/>
              </w:rPr>
              <w:t>THE ANSWER — the cash-flow lens, both sides, never averaged</w:t>
            </w:r>
          </w:p>
        </w:tc>
        <w:tc>
          <w:tcPr>
            <w:tcW w:type="dxa" w:w="3960"/>
            <w:shd w:val="clear" w:color="auto" w:fill="F6F1E6"/>
          </w:tcPr>
          <w:p>
            <w:pPr>
              <w:spacing w:after="20"/>
            </w:pPr>
            <w:r>
              <w:rPr>
                <w:b/>
                <w:color w:val="1C3A36"/>
                <w:sz w:val="15"/>
              </w:rPr>
              <w:t>The class primary IS the answer and every other read above is a cross-check printed beside it. This one is TWO-SIDED: EGP 3.90 with the capital programme carried through — the company's own stated plan — and EGP 7.88 if it is stopped. The judgement is binary, so an average would describe a half-built plant. The range shown is the floor and ceiling of every read, not a weighted extreme</w:t>
            </w:r>
          </w:p>
        </w:tc>
        <w:tc>
          <w:tcPr>
            <w:tcW w:type="dxa" w:w="1512"/>
            <w:shd w:val="clear" w:color="auto" w:fill="F6F1E6"/>
          </w:tcPr>
          <w:p>
            <w:pPr>
              <w:spacing w:after="20"/>
              <w:jc w:val="right"/>
            </w:pPr>
            <w:r>
              <w:rPr>
                <w:b/>
                <w:color w:val="1C3A36"/>
                <w:sz w:val="15"/>
              </w:rPr>
              <w:t>3.90 to 15.99</w:t>
            </w:r>
          </w:p>
        </w:tc>
        <w:tc>
          <w:tcPr>
            <w:tcW w:type="dxa" w:w="1008"/>
            <w:shd w:val="clear" w:color="auto" w:fill="F6F1E6"/>
          </w:tcPr>
          <w:p>
            <w:pPr>
              <w:spacing w:after="20"/>
              <w:jc w:val="right"/>
            </w:pPr>
            <w:r>
              <w:rPr>
                <w:b/>
                <w:color w:val="1C3A36"/>
                <w:sz w:val="15"/>
              </w:rPr>
              <w:t>3.90</w:t>
            </w:r>
          </w:p>
        </w:tc>
        <w:tc>
          <w:tcPr>
            <w:tcW w:type="dxa" w:w="936"/>
            <w:shd w:val="clear" w:color="auto" w:fill="F6F1E6"/>
          </w:tcPr>
          <w:p>
            <w:pPr>
              <w:spacing w:after="20"/>
              <w:jc w:val="right"/>
            </w:pPr>
            <w:r>
              <w:rPr>
                <w:b/>
                <w:color w:val="1C3A36"/>
                <w:sz w:val="15"/>
              </w:rPr>
              <w:t>-73%</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14.41</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Country risk priced off the sovereign's traded default swap</w:t>
            </w:r>
          </w:p>
        </w:tc>
        <w:tc>
          <w:tcPr>
            <w:tcW w:type="dxa" w:w="3960"/>
          </w:tcPr>
          <w:p>
            <w:pPr>
              <w:spacing w:after="20"/>
            </w:pPr>
            <w:r>
              <w:rPr>
                <w:color w:val="1C3A36"/>
                <w:sz w:val="15"/>
              </w:rPr>
              <w:t>Priced off the sovereign's credit rating instead, which is the wider of the two spreads and gives a cost of capital 113 basis points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2.42</w:t>
            </w:r>
          </w:p>
        </w:tc>
        <w:tc>
          <w:tcPr>
            <w:tcW w:type="dxa" w:w="936"/>
          </w:tcPr>
          <w:p>
            <w:pPr>
              <w:spacing w:after="20"/>
              <w:jc w:val="right"/>
            </w:pPr>
            <w:r>
              <w:rPr>
                <w:color w:val="1C3A36"/>
                <w:sz w:val="15"/>
              </w:rPr>
              <w:t>-83%</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1.44</w:t>
            </w:r>
          </w:p>
        </w:tc>
        <w:tc>
          <w:tcPr>
            <w:tcW w:type="dxa" w:w="936"/>
          </w:tcPr>
          <w:p>
            <w:pPr>
              <w:spacing w:after="20"/>
              <w:jc w:val="right"/>
            </w:pPr>
            <w:r>
              <w:rPr>
                <w:color w:val="1C3A36"/>
                <w:sz w:val="15"/>
              </w:rPr>
              <w:t>-90%</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2.37</w:t>
            </w:r>
          </w:p>
        </w:tc>
        <w:tc>
          <w:tcPr>
            <w:tcW w:type="dxa" w:w="936"/>
          </w:tcPr>
          <w:p>
            <w:pPr>
              <w:spacing w:after="20"/>
              <w:jc w:val="right"/>
            </w:pPr>
            <w:r>
              <w:rPr>
                <w:color w:val="1C3A36"/>
                <w:sz w:val="15"/>
              </w:rPr>
              <w:t>-84%</w:t>
            </w:r>
          </w:p>
        </w:tc>
      </w:tr>
      <w:tr>
        <w:trPr>
          <w:cantSplit/>
        </w:trPr>
        <w:tc>
          <w:tcPr>
            <w:tcW w:type="dxa" w:w="2232"/>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3960"/>
          </w:tcPr>
          <w:p>
            <w:pPr>
              <w:spacing w:after="20"/>
            </w:pPr>
            <w:r>
              <w:rPr>
                <w:color w:val="1C3A36"/>
                <w:sz w:val="15"/>
              </w:rPr>
              <w:t>Every leg floored at the 23.00% sovereign ten-year yield — the company's own facilities print no spread above the policy rate, so no spread is added</w:t>
            </w:r>
          </w:p>
        </w:tc>
        <w:tc>
          <w:tcPr>
            <w:tcW w:type="dxa" w:w="1512"/>
          </w:tcPr>
          <w:p>
            <w:pPr>
              <w:spacing w:after="20"/>
              <w:jc w:val="right"/>
            </w:pPr>
            <w:r>
              <w:rPr>
                <w:color w:val="1C3A36"/>
                <w:sz w:val="15"/>
              </w:rPr>
              <w:t>—</w:t>
            </w:r>
          </w:p>
        </w:tc>
        <w:tc>
          <w:tcPr>
            <w:tcW w:type="dxa" w:w="1008"/>
          </w:tcPr>
          <w:p>
            <w:pPr>
              <w:spacing w:after="20"/>
              <w:jc w:val="right"/>
            </w:pPr>
            <w:r>
              <w:rPr>
                <w:color w:val="1C3A36"/>
                <w:sz w:val="15"/>
              </w:rPr>
              <w:t>2.80</w:t>
            </w:r>
          </w:p>
        </w:tc>
        <w:tc>
          <w:tcPr>
            <w:tcW w:type="dxa" w:w="936"/>
          </w:tcPr>
          <w:p>
            <w:pPr>
              <w:spacing w:after="20"/>
              <w:jc w:val="right"/>
            </w:pPr>
            <w:r>
              <w:rPr>
                <w:color w:val="1C3A36"/>
                <w:sz w:val="15"/>
              </w:rPr>
              <w:t>-81%</w:t>
            </w:r>
          </w:p>
        </w:tc>
      </w:tr>
      <w:tr>
        <w:trPr>
          <w:cantSplit/>
        </w:trPr>
        <w:tc>
          <w:tcPr>
            <w:tcW w:type="dxa" w:w="2232"/>
          </w:tcPr>
          <w:p>
            <w:pPr>
              <w:spacing w:after="20"/>
            </w:pPr>
            <w:r>
              <w:rPr>
                <w:color w:val="1C3A36"/>
                <w:sz w:val="15"/>
              </w:rPr>
              <w:t>Beta from the five-year weekly regression of the share against the published EGX30 index</w:t>
            </w:r>
          </w:p>
        </w:tc>
        <w:tc>
          <w:tcPr>
            <w:tcW w:type="dxa" w:w="3960"/>
          </w:tcPr>
          <w:p>
            <w:pPr>
              <w:spacing w:after="20"/>
            </w:pPr>
            <w:r>
              <w:rPr>
                <w:color w:val="1C3A36"/>
                <w:sz w:val="15"/>
              </w:rPr>
              <w:t>The lower bound of that regression's own 90% confidence interval</w:t>
            </w:r>
          </w:p>
        </w:tc>
        <w:tc>
          <w:tcPr>
            <w:tcW w:type="dxa" w:w="1512"/>
          </w:tcPr>
          <w:p>
            <w:pPr>
              <w:spacing w:after="20"/>
              <w:jc w:val="right"/>
            </w:pPr>
            <w:r>
              <w:rPr>
                <w:color w:val="1C3A36"/>
                <w:sz w:val="15"/>
              </w:rPr>
              <w:t>—</w:t>
            </w:r>
          </w:p>
        </w:tc>
        <w:tc>
          <w:tcPr>
            <w:tcW w:type="dxa" w:w="1008"/>
          </w:tcPr>
          <w:p>
            <w:pPr>
              <w:spacing w:after="20"/>
              <w:jc w:val="right"/>
            </w:pPr>
            <w:r>
              <w:rPr>
                <w:color w:val="1C3A36"/>
                <w:sz w:val="15"/>
              </w:rPr>
              <w:t>5.57</w:t>
            </w:r>
          </w:p>
        </w:tc>
        <w:tc>
          <w:tcPr>
            <w:tcW w:type="dxa" w:w="936"/>
          </w:tcPr>
          <w:p>
            <w:pPr>
              <w:spacing w:after="20"/>
              <w:jc w:val="right"/>
            </w:pPr>
            <w:r>
              <w:rPr>
                <w:color w:val="1C3A36"/>
                <w:sz w:val="15"/>
              </w:rPr>
              <w:t>-61%</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1.23</w:t>
            </w:r>
          </w:p>
        </w:tc>
        <w:tc>
          <w:tcPr>
            <w:tcW w:type="dxa" w:w="936"/>
          </w:tcPr>
          <w:p>
            <w:pPr>
              <w:spacing w:after="20"/>
              <w:jc w:val="right"/>
            </w:pPr>
            <w:r>
              <w:rPr>
                <w:color w:val="1C3A36"/>
                <w:sz w:val="15"/>
              </w:rPr>
              <w:t>-91%</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4.31</w:t>
            </w:r>
          </w:p>
        </w:tc>
        <w:tc>
          <w:tcPr>
            <w:tcW w:type="dxa" w:w="936"/>
          </w:tcPr>
          <w:p>
            <w:pPr>
              <w:spacing w:after="20"/>
              <w:jc w:val="right"/>
            </w:pPr>
            <w:r>
              <w:rPr>
                <w:color w:val="1C3A36"/>
                <w:sz w:val="15"/>
              </w:rPr>
              <w:t>-70%</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2.99</w:t>
            </w:r>
          </w:p>
        </w:tc>
        <w:tc>
          <w:tcPr>
            <w:tcW w:type="dxa" w:w="936"/>
          </w:tcPr>
          <w:p>
            <w:pPr>
              <w:spacing w:after="20"/>
              <w:jc w:val="right"/>
            </w:pPr>
            <w:r>
              <w:rPr>
                <w:color w:val="1C3A36"/>
                <w:sz w:val="15"/>
              </w:rPr>
              <w:t>-79%</w:t>
            </w:r>
          </w:p>
        </w:tc>
      </w:tr>
      <w:tr>
        <w:trPr>
          <w:cantSplit/>
        </w:trPr>
        <w:tc>
          <w:tcPr>
            <w:tcW w:type="dxa" w:w="2232"/>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3960"/>
          </w:tcPr>
          <w:p>
            <w:pPr>
              <w:spacing w:after="20"/>
            </w:pPr>
            <w:r>
              <w:rPr>
                <w:color w:val="1C3A36"/>
                <w:sz w:val="15"/>
              </w:rPr>
              <w:t>Half the 22.1-year life the same accounts imply, 11.04 years, which is what has to be assumed where a company does not disclose enough to measure it</w:t>
            </w:r>
          </w:p>
        </w:tc>
        <w:tc>
          <w:tcPr>
            <w:tcW w:type="dxa" w:w="1512"/>
          </w:tcPr>
          <w:p>
            <w:pPr>
              <w:spacing w:after="20"/>
              <w:jc w:val="right"/>
            </w:pPr>
            <w:r>
              <w:rPr>
                <w:color w:val="1C3A36"/>
                <w:sz w:val="15"/>
              </w:rPr>
              <w:t>—</w:t>
            </w:r>
          </w:p>
        </w:tc>
        <w:tc>
          <w:tcPr>
            <w:tcW w:type="dxa" w:w="1008"/>
          </w:tcPr>
          <w:p>
            <w:pPr>
              <w:spacing w:after="20"/>
              <w:jc w:val="right"/>
            </w:pPr>
            <w:r>
              <w:rPr>
                <w:color w:val="1C3A36"/>
                <w:sz w:val="15"/>
              </w:rPr>
              <w:t>1.73</w:t>
            </w:r>
          </w:p>
        </w:tc>
        <w:tc>
          <w:tcPr>
            <w:tcW w:type="dxa" w:w="936"/>
          </w:tcPr>
          <w:p>
            <w:pPr>
              <w:spacing w:after="20"/>
              <w:jc w:val="right"/>
            </w:pPr>
            <w:r>
              <w:rPr>
                <w:color w:val="1C3A36"/>
                <w:sz w:val="15"/>
              </w:rPr>
              <w:t>-88%</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3.69</w:t>
            </w:r>
          </w:p>
        </w:tc>
        <w:tc>
          <w:tcPr>
            <w:tcW w:type="dxa" w:w="936"/>
          </w:tcPr>
          <w:p>
            <w:pPr>
              <w:spacing w:after="20"/>
              <w:jc w:val="right"/>
            </w:pPr>
            <w:r>
              <w:rPr>
                <w:color w:val="1C3A36"/>
                <w:sz w:val="15"/>
              </w:rPr>
              <w:t>-74%</w:t>
            </w:r>
          </w:p>
        </w:tc>
      </w:tr>
    </w:tbl>
    <w:p>
      <w:pPr>
        <w:spacing w:after="40"/>
      </w:pPr>
    </w:p>
    <w:p>
      <w:pPr>
        <w:spacing w:after="200" w:before="0"/>
      </w:pPr>
      <w:r>
        <w:rPr>
          <w:b w:val="0"/>
          <w:i/>
          <w:color w:val="6E7B77"/>
          <w:sz w:val="17"/>
        </w:rPr>
        <w:t>Table 1.  Egyptian pounds a share against a traded price of EGP 14.41.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73.0%</w:t>
            </w:r>
          </w:p>
        </w:tc>
        <w:tc>
          <w:tcPr>
            <w:tcW w:type="dxa" w:w="2736"/>
          </w:tcPr>
          <w:p>
            <w:pPr>
              <w:spacing w:after="20"/>
              <w:jc w:val="right"/>
            </w:pPr>
            <w:r>
              <w:rPr>
                <w:color w:val="1C3A36"/>
                <w:sz w:val="17"/>
              </w:rPr>
              <w:t>50.4%</w:t>
            </w:r>
          </w:p>
        </w:tc>
      </w:tr>
    </w:tbl>
    <w:p>
      <w:pPr>
        <w:spacing w:after="40"/>
      </w:pPr>
    </w:p>
    <w:p>
      <w:pPr>
        <w:spacing w:after="200" w:before="0"/>
      </w:pPr>
      <w:r>
        <w:rPr>
          <w:b w:val="0"/>
          <w:i/>
          <w:color w:val="6E7B77"/>
          <w:sz w:val="17"/>
        </w:rPr>
        <w:t>Table 2.  Reported beside the cash-flow lens because on this company it is the number that decides the answer. The explicit years contribute a present value of EGP 3,837 million on the carried-through case, so the terminal block carries 73.0% of enterprise value; the capital programme takes most of the window's operating cash, which is why the share is high for a going concern.</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2.67 a share. The narrowest is terminal growth, worth EGP 1.53.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4,812</w:t>
            </w:r>
          </w:p>
        </w:tc>
        <w:tc>
          <w:tcPr>
            <w:tcW w:type="dxa" w:w="1426"/>
            <w:shd w:val="clear" w:color="auto" w:fill="F6F1E6"/>
          </w:tcPr>
          <w:p>
            <w:pPr>
              <w:spacing w:after="20"/>
              <w:jc w:val="right"/>
            </w:pPr>
            <w:r>
              <w:rPr>
                <w:b/>
                <w:color w:val="1C3A36"/>
                <w:sz w:val="16"/>
              </w:rPr>
              <w:t>5,203</w:t>
            </w:r>
          </w:p>
        </w:tc>
        <w:tc>
          <w:tcPr>
            <w:tcW w:type="dxa" w:w="1426"/>
            <w:shd w:val="clear" w:color="auto" w:fill="F6F1E6"/>
          </w:tcPr>
          <w:p>
            <w:pPr>
              <w:spacing w:after="20"/>
              <w:jc w:val="right"/>
            </w:pPr>
            <w:r>
              <w:rPr>
                <w:b/>
                <w:color w:val="1C3A36"/>
                <w:sz w:val="16"/>
              </w:rPr>
              <w:t>5,492</w:t>
            </w:r>
          </w:p>
        </w:tc>
        <w:tc>
          <w:tcPr>
            <w:tcW w:type="dxa" w:w="1426"/>
            <w:shd w:val="clear" w:color="auto" w:fill="F6F1E6"/>
          </w:tcPr>
          <w:p>
            <w:pPr>
              <w:spacing w:after="20"/>
              <w:jc w:val="right"/>
            </w:pPr>
            <w:r>
              <w:rPr>
                <w:b/>
                <w:color w:val="1C3A36"/>
                <w:sz w:val="16"/>
              </w:rPr>
              <w:t>5,746</w:t>
            </w:r>
          </w:p>
        </w:tc>
        <w:tc>
          <w:tcPr>
            <w:tcW w:type="dxa" w:w="1426"/>
            <w:shd w:val="clear" w:color="auto" w:fill="F6F1E6"/>
          </w:tcPr>
          <w:p>
            <w:pPr>
              <w:spacing w:after="20"/>
              <w:jc w:val="right"/>
            </w:pPr>
            <w:r>
              <w:rPr>
                <w:b/>
                <w:color w:val="1C3A36"/>
                <w:sz w:val="16"/>
              </w:rPr>
              <w:t>5,987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3,921</w:t>
            </w:r>
          </w:p>
        </w:tc>
        <w:tc>
          <w:tcPr>
            <w:tcW w:type="dxa" w:w="1426"/>
            <w:shd w:val="clear" w:color="auto" w:fill="F6F1E6"/>
          </w:tcPr>
          <w:p>
            <w:pPr>
              <w:spacing w:after="20"/>
              <w:jc w:val="right"/>
            </w:pPr>
            <w:r>
              <w:rPr>
                <w:b/>
                <w:color w:val="1C3A36"/>
                <w:sz w:val="16"/>
              </w:rPr>
              <w:t>4,194</w:t>
            </w:r>
          </w:p>
        </w:tc>
        <w:tc>
          <w:tcPr>
            <w:tcW w:type="dxa" w:w="1426"/>
            <w:shd w:val="clear" w:color="auto" w:fill="F6F1E6"/>
          </w:tcPr>
          <w:p>
            <w:pPr>
              <w:spacing w:after="20"/>
              <w:jc w:val="right"/>
            </w:pPr>
            <w:r>
              <w:rPr>
                <w:b/>
                <w:color w:val="1C3A36"/>
                <w:sz w:val="16"/>
              </w:rPr>
              <w:t>4,346</w:t>
            </w:r>
          </w:p>
        </w:tc>
        <w:tc>
          <w:tcPr>
            <w:tcW w:type="dxa" w:w="1426"/>
            <w:shd w:val="clear" w:color="auto" w:fill="F6F1E6"/>
          </w:tcPr>
          <w:p>
            <w:pPr>
              <w:spacing w:after="20"/>
              <w:jc w:val="right"/>
            </w:pPr>
            <w:r>
              <w:rPr>
                <w:b/>
                <w:color w:val="1C3A36"/>
                <w:sz w:val="16"/>
              </w:rPr>
              <w:t>4,453</w:t>
            </w:r>
          </w:p>
        </w:tc>
        <w:tc>
          <w:tcPr>
            <w:tcW w:type="dxa" w:w="1426"/>
            <w:shd w:val="clear" w:color="auto" w:fill="F6F1E6"/>
          </w:tcPr>
          <w:p>
            <w:pPr>
              <w:spacing w:after="20"/>
              <w:jc w:val="right"/>
            </w:pPr>
            <w:r>
              <w:rPr>
                <w:b/>
                <w:color w:val="1C3A36"/>
                <w:sz w:val="16"/>
              </w:rPr>
              <w:t>4,553</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3,039</w:t>
            </w:r>
          </w:p>
        </w:tc>
        <w:tc>
          <w:tcPr>
            <w:tcW w:type="dxa" w:w="1426"/>
          </w:tcPr>
          <w:p>
            <w:pPr>
              <w:spacing w:after="20"/>
              <w:jc w:val="right"/>
            </w:pPr>
            <w:r>
              <w:rPr>
                <w:color w:val="1C3A36"/>
                <w:sz w:val="16"/>
              </w:rPr>
              <w:t>3,251</w:t>
            </w:r>
          </w:p>
        </w:tc>
        <w:tc>
          <w:tcPr>
            <w:tcW w:type="dxa" w:w="1426"/>
          </w:tcPr>
          <w:p>
            <w:pPr>
              <w:spacing w:after="20"/>
              <w:jc w:val="right"/>
            </w:pPr>
            <w:r>
              <w:rPr>
                <w:color w:val="1C3A36"/>
                <w:sz w:val="16"/>
              </w:rPr>
              <w:t>3,368</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3,529</w:t>
            </w:r>
          </w:p>
        </w:tc>
      </w:tr>
      <w:tr>
        <w:trPr>
          <w:cantSplit/>
        </w:trPr>
        <w:tc>
          <w:tcPr>
            <w:tcW w:type="dxa" w:w="2952"/>
          </w:tcPr>
          <w:p>
            <w:pPr>
              <w:spacing w:after="20"/>
            </w:pPr>
            <w:r>
              <w:rPr>
                <w:color w:val="1C3A36"/>
                <w:sz w:val="16"/>
              </w:rPr>
              <w:t>Depreciation added back</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Change in working capital — a release adds, a build subtracts</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25.76%</w:t>
            </w:r>
          </w:p>
        </w:tc>
        <w:tc>
          <w:tcPr>
            <w:tcW w:type="dxa" w:w="1426"/>
          </w:tcPr>
          <w:p>
            <w:pPr>
              <w:spacing w:after="20"/>
              <w:jc w:val="right"/>
            </w:pPr>
            <w:r>
              <w:rPr>
                <w:color w:val="1C3A36"/>
                <w:sz w:val="16"/>
              </w:rPr>
              <w:t>23.87%</w:t>
            </w:r>
          </w:p>
        </w:tc>
        <w:tc>
          <w:tcPr>
            <w:tcW w:type="dxa" w:w="1426"/>
          </w:tcPr>
          <w:p>
            <w:pPr>
              <w:spacing w:after="20"/>
              <w:jc w:val="right"/>
            </w:pPr>
            <w:r>
              <w:rPr>
                <w:color w:val="1C3A36"/>
                <w:sz w:val="16"/>
              </w:rPr>
              <w:t>22.34%</w:t>
            </w:r>
          </w:p>
        </w:tc>
        <w:tc>
          <w:tcPr>
            <w:tcW w:type="dxa" w:w="1426"/>
          </w:tcPr>
          <w:p>
            <w:pPr>
              <w:spacing w:after="20"/>
              <w:jc w:val="right"/>
            </w:pPr>
            <w:r>
              <w:rPr>
                <w:color w:val="1C3A36"/>
                <w:sz w:val="16"/>
              </w:rPr>
              <w:t>21.17%</w:t>
            </w:r>
          </w:p>
        </w:tc>
        <w:tc>
          <w:tcPr>
            <w:tcW w:type="dxa" w:w="1426"/>
          </w:tcPr>
          <w:p>
            <w:pPr>
              <w:spacing w:after="20"/>
              <w:jc w:val="right"/>
            </w:pPr>
            <w:r>
              <w:rPr>
                <w:color w:val="1C3A36"/>
                <w:sz w:val="16"/>
              </w:rPr>
              <w:t>20.21%</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0.7952</w:t>
            </w:r>
          </w:p>
        </w:tc>
        <w:tc>
          <w:tcPr>
            <w:tcW w:type="dxa" w:w="1426"/>
          </w:tcPr>
          <w:p>
            <w:pPr>
              <w:spacing w:after="20"/>
              <w:jc w:val="right"/>
            </w:pPr>
            <w:r>
              <w:rPr>
                <w:color w:val="1C3A36"/>
                <w:sz w:val="16"/>
              </w:rPr>
              <w:t>0.6419</w:t>
            </w:r>
          </w:p>
        </w:tc>
        <w:tc>
          <w:tcPr>
            <w:tcW w:type="dxa" w:w="1426"/>
          </w:tcPr>
          <w:p>
            <w:pPr>
              <w:spacing w:after="20"/>
              <w:jc w:val="right"/>
            </w:pPr>
            <w:r>
              <w:rPr>
                <w:color w:val="1C3A36"/>
                <w:sz w:val="16"/>
              </w:rPr>
              <w:t>0.5247</w:t>
            </w:r>
          </w:p>
        </w:tc>
        <w:tc>
          <w:tcPr>
            <w:tcW w:type="dxa" w:w="1426"/>
          </w:tcPr>
          <w:p>
            <w:pPr>
              <w:spacing w:after="20"/>
              <w:jc w:val="right"/>
            </w:pPr>
            <w:r>
              <w:rPr>
                <w:color w:val="1C3A36"/>
                <w:sz w:val="16"/>
              </w:rPr>
              <w:t>0.4330</w:t>
            </w:r>
          </w:p>
        </w:tc>
        <w:tc>
          <w:tcPr>
            <w:tcW w:type="dxa" w:w="1426"/>
          </w:tcPr>
          <w:p>
            <w:pPr>
              <w:spacing w:after="20"/>
              <w:jc w:val="right"/>
            </w:pPr>
            <w:r>
              <w:rPr>
                <w:color w:val="1C3A36"/>
                <w:sz w:val="16"/>
              </w:rPr>
              <w:t>0.3602</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1,581</w:t>
            </w:r>
          </w:p>
        </w:tc>
        <w:tc>
          <w:tcPr>
            <w:tcW w:type="dxa" w:w="1426"/>
            <w:shd w:val="clear" w:color="auto" w:fill="F6F1E6"/>
          </w:tcPr>
          <w:p>
            <w:pPr>
              <w:spacing w:after="20"/>
              <w:jc w:val="right"/>
            </w:pPr>
            <w:r>
              <w:rPr>
                <w:b/>
                <w:color w:val="1C3A36"/>
                <w:sz w:val="16"/>
              </w:rPr>
              <w:t>512</w:t>
            </w:r>
          </w:p>
        </w:tc>
        <w:tc>
          <w:tcPr>
            <w:tcW w:type="dxa" w:w="1426"/>
            <w:shd w:val="clear" w:color="auto" w:fill="F6F1E6"/>
          </w:tcPr>
          <w:p>
            <w:pPr>
              <w:spacing w:after="20"/>
              <w:jc w:val="right"/>
            </w:pPr>
            <w:r>
              <w:rPr>
                <w:b/>
                <w:color w:val="1C3A36"/>
                <w:sz w:val="16"/>
              </w:rPr>
              <w:t>459</w:t>
            </w:r>
          </w:p>
        </w:tc>
        <w:tc>
          <w:tcPr>
            <w:tcW w:type="dxa" w:w="1426"/>
            <w:shd w:val="clear" w:color="auto" w:fill="F6F1E6"/>
          </w:tcPr>
          <w:p>
            <w:pPr>
              <w:spacing w:after="20"/>
              <w:jc w:val="right"/>
            </w:pPr>
            <w:r>
              <w:rPr>
                <w:b/>
                <w:color w:val="1C3A36"/>
                <w:sz w:val="16"/>
              </w:rPr>
              <w:t>521</w:t>
            </w:r>
          </w:p>
        </w:tc>
        <w:tc>
          <w:tcPr>
            <w:tcW w:type="dxa" w:w="1426"/>
            <w:shd w:val="clear" w:color="auto" w:fill="F6F1E6"/>
          </w:tcPr>
          <w:p>
            <w:pPr>
              <w:spacing w:after="20"/>
              <w:jc w:val="right"/>
            </w:pPr>
            <w:r>
              <w:rPr>
                <w:b/>
                <w:color w:val="1C3A36"/>
                <w:sz w:val="16"/>
              </w:rPr>
              <w:t>764</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3,837</w:t>
            </w:r>
          </w:p>
        </w:tc>
        <w:tc>
          <w:tcPr>
            <w:tcW w:type="dxa" w:w="2808"/>
          </w:tcPr>
          <w:p>
            <w:pPr>
              <w:spacing w:after="20"/>
              <w:jc w:val="right"/>
            </w:pPr>
            <w:r>
              <w:rPr>
                <w:color w:val="1C3A36"/>
                <w:sz w:val="17"/>
              </w:rPr>
              <w:t>10,997</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10,398</w:t>
            </w:r>
          </w:p>
        </w:tc>
        <w:tc>
          <w:tcPr>
            <w:tcW w:type="dxa" w:w="2808"/>
          </w:tcPr>
          <w:p>
            <w:pPr>
              <w:spacing w:after="20"/>
              <w:jc w:val="right"/>
            </w:pPr>
            <w:r>
              <w:rPr>
                <w:color w:val="1C3A36"/>
                <w:sz w:val="17"/>
              </w:rPr>
              <w:t>11,153</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14,236</w:t>
            </w:r>
          </w:p>
        </w:tc>
        <w:tc>
          <w:tcPr>
            <w:tcW w:type="dxa" w:w="2808"/>
            <w:shd w:val="clear" w:color="auto" w:fill="F6F1E6"/>
          </w:tcPr>
          <w:p>
            <w:pPr>
              <w:spacing w:after="20"/>
              <w:jc w:val="right"/>
            </w:pPr>
            <w:r>
              <w:rPr>
                <w:b/>
                <w:color w:val="1C3A36"/>
                <w:sz w:val="17"/>
              </w:rPr>
              <w:t>22,150</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73.0%</w:t>
            </w:r>
          </w:p>
        </w:tc>
        <w:tc>
          <w:tcPr>
            <w:tcW w:type="dxa" w:w="2808"/>
            <w:shd w:val="clear" w:color="auto" w:fill="F6F1E6"/>
          </w:tcPr>
          <w:p>
            <w:pPr>
              <w:spacing w:after="20"/>
              <w:jc w:val="right"/>
            </w:pPr>
            <w:r>
              <w:rPr>
                <w:b/>
                <w:color w:val="1C3A36"/>
                <w:sz w:val="17"/>
              </w:rPr>
              <w:t>50.4%</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7,741</w:t>
            </w:r>
          </w:p>
        </w:tc>
        <w:tc>
          <w:tcPr>
            <w:tcW w:type="dxa" w:w="2808"/>
            <w:shd w:val="clear" w:color="auto" w:fill="F6F1E6"/>
          </w:tcPr>
          <w:p>
            <w:pPr>
              <w:spacing w:after="20"/>
              <w:jc w:val="right"/>
            </w:pPr>
            <w:r>
              <w:rPr>
                <w:b/>
                <w:color w:val="1C3A36"/>
                <w:sz w:val="17"/>
              </w:rPr>
              <w:t>15,656</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3.90</w:t>
            </w:r>
          </w:p>
        </w:tc>
        <w:tc>
          <w:tcPr>
            <w:tcW w:type="dxa" w:w="2808"/>
            <w:shd w:val="clear" w:color="auto" w:fill="F6F1E6"/>
          </w:tcPr>
          <w:p>
            <w:pPr>
              <w:spacing w:after="20"/>
              <w:jc w:val="right"/>
            </w:pPr>
            <w:r>
              <w:rPr>
                <w:b/>
                <w:color w:val="1C3A36"/>
                <w:sz w:val="17"/>
              </w:rPr>
              <w:t>7.88</w:t>
            </w:r>
          </w:p>
        </w:tc>
      </w:tr>
    </w:tbl>
    <w:p>
      <w:pPr>
        <w:spacing w:after="40"/>
      </w:pPr>
    </w:p>
    <w:p>
      <w:pPr>
        <w:spacing w:after="200" w:before="0"/>
      </w:pPr>
      <w:r>
        <w:rPr>
          <w:b w:val="0"/>
          <w:i/>
          <w:color w:val="6E7B77"/>
          <w:sz w:val="17"/>
        </w:rPr>
        <w:t>Table 5.  Net debt of EGP 10,032 million stands against an enterprise value of EGP 14,236 million that the cash flows support, so the equity in the carried-through column is the narrow residual between two large numbers — which is why it moves so violently on any change to either. It is stated rather than clipped.</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so far below the price, and what would change it</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7.17</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3.90</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14.41</w:t>
            </w:r>
          </w:p>
        </w:tc>
      </w:tr>
    </w:tbl>
    <w:p>
      <w:pPr>
        <w:spacing w:after="40"/>
      </w:pPr>
    </w:p>
    <w:p>
      <w:pPr>
        <w:spacing w:after="200" w:before="0"/>
      </w:pPr>
      <w:r>
        <w:rPr>
          <w:b w:val="0"/>
          <w:i/>
          <w:color w:val="6E7B77"/>
          <w:sz w:val="17"/>
        </w:rPr>
        <w:t>Table 6.  The operating business is carried at EGP 7.17 a share against net debt of EGP 5.05 — more than the debt standing against it. Free cash flow is positive in 5 of the five forecast years. The equity is the thin residual between two large numbers, which is why the answer moves so violently on any change to either.</w:t>
      </w:r>
    </w:p>
    <w:p>
      <w:pPr>
        <w:spacing w:after="120" w:before="0"/>
      </w:pPr>
      <w:r>
        <w:rPr>
          <w:b w:val="0"/>
          <w:i w:val="0"/>
          <w:color w:val="1C3A36"/>
          <w:sz w:val="21"/>
        </w:rPr>
        <w:t>So the question is not whether the plant earns. It is whether EGP 14,236 million is the right enterprise value for a business generating around EGP 4,812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1.68</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4.03</w:t>
            </w:r>
          </w:p>
        </w:tc>
        <w:tc>
          <w:tcPr>
            <w:tcW w:type="dxa" w:w="5184"/>
          </w:tcPr>
          <w:p>
            <w:pPr>
              <w:spacing w:after="20"/>
            </w:pPr>
            <w:r>
              <w:rPr>
                <w:color w:val="1C3A36"/>
                <w:sz w:val="17"/>
              </w:rPr>
              <w:t>below the sovereign's ten-year yield of 23.0%</w:t>
            </w:r>
          </w:p>
        </w:tc>
      </w:tr>
      <w:tr>
        <w:trPr>
          <w:cantSplit/>
        </w:trPr>
        <w:tc>
          <w:tcPr>
            <w:tcW w:type="dxa" w:w="2160"/>
          </w:tcPr>
          <w:p>
            <w:pPr>
              <w:spacing w:after="20"/>
            </w:pPr>
            <w:r>
              <w:rPr>
                <w:color w:val="1C3A36"/>
                <w:sz w:val="17"/>
              </w:rPr>
              <w:t>18.0%</w:t>
            </w:r>
          </w:p>
        </w:tc>
        <w:tc>
          <w:tcPr>
            <w:tcW w:type="dxa" w:w="2592"/>
          </w:tcPr>
          <w:p>
            <w:pPr>
              <w:spacing w:after="20"/>
              <w:jc w:val="right"/>
            </w:pPr>
            <w:r>
              <w:rPr>
                <w:color w:val="1C3A36"/>
                <w:sz w:val="17"/>
              </w:rPr>
              <w:t>5.61</w:t>
            </w:r>
          </w:p>
        </w:tc>
        <w:tc>
          <w:tcPr>
            <w:tcW w:type="dxa" w:w="5184"/>
          </w:tcPr>
          <w:p>
            <w:pPr>
              <w:spacing w:after="20"/>
            </w:pPr>
            <w:r>
              <w:rPr>
                <w:color w:val="1C3A36"/>
                <w:sz w:val="17"/>
              </w:rPr>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7.93</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11.62</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18.36</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13.0%</w:t>
            </w:r>
          </w:p>
        </w:tc>
        <w:tc>
          <w:tcPr>
            <w:tcW w:type="dxa" w:w="2592"/>
            <w:shd w:val="clear" w:color="auto" w:fill="F6F1E6"/>
          </w:tcPr>
          <w:p>
            <w:pPr>
              <w:spacing w:after="20"/>
              <w:jc w:val="right"/>
            </w:pPr>
            <w:r>
              <w:rPr>
                <w:b/>
                <w:color w:val="1C3A36"/>
                <w:sz w:val="17"/>
              </w:rPr>
              <w:t>14.41</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answer stays positive across the whole ladder and rises from EGP 1.68 at 25.0% to EGP 18.36 at 12.0%; what moves is how far below the price it sits. Reaching the traded price needs about 13.0%, which is 10.0% below what Egypt's own government pays to borrow for ten years.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29.28%</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1.77x</w:t>
            </w:r>
          </w:p>
        </w:tc>
      </w:tr>
    </w:tbl>
    <w:p>
      <w:pPr>
        <w:spacing w:after="40"/>
      </w:pPr>
    </w:p>
    <w:p>
      <w:pPr>
        <w:spacing w:after="200" w:before="0"/>
      </w:pPr>
      <w:r>
        <w:rPr>
          <w:b w:val="0"/>
          <w:i/>
          <w:color w:val="6E7B77"/>
          <w:sz w:val="17"/>
        </w:rPr>
        <w:t>Table 8.  The justified multiple of book is negative before flooring: a sustainable return of 6.9% does not cover nominal maintenance growth of 7.0%, let alone a 29.28% cost of equity, so on this lens the book is worth nothing beyond what the assets would fetch, and the market pays 1.77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4,812 million the mid-point implies an enterprise value of EGP 38,255 million and, after the debt and the non-operating stack, EGP 15.99 a share — a range of EGP 11.26 to EGP 20.71 across the band.</w:t>
      </w:r>
    </w:p>
    <w:p>
      <w:pPr>
        <w:spacing w:after="120" w:before="0"/>
      </w:pPr>
      <w:r>
        <w:rPr>
          <w:b/>
          <w:i w:val="0"/>
          <w:color w:val="1C3A36"/>
          <w:sz w:val="21"/>
        </w:rPr>
        <w:t>The two numbers worth putting side by side are these: at the traded price the operating business changes hands at 7.3 times that same forward EBITDA, while the cash-flow lens values it at 3.0 times — both measured on the enterprise value this study bridges from, with the listed stakes and the investment property taken out of each. One sits inside the Egyptian industrial band and the other below it. That is the whole disagreement in a single number, and it is reported rather than resolved.</w:t>
      </w:r>
    </w:p>
    <w:p>
      <w:pPr>
        <w:spacing w:after="120" w:before="0"/>
      </w:pPr>
      <w:r>
        <w:rPr>
          <w:b w:val="0"/>
          <w:i/>
          <w:color w:val="6E7B77"/>
          <w:sz w:val="19"/>
        </w:rPr>
        <w:t>Buying the equity at the traded price buys the stakes and the property too, and on that whole-company basis the multiple is 8.0 times. It is the larger number and it is not the comparable one, which is why the sentence above uses the operating figure.</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9,657</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-3,998</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2,828</w:t>
            </w:r>
          </w:p>
        </w:tc>
      </w:tr>
      <w:tr>
        <w:trPr>
          <w:cantSplit/>
        </w:trPr>
        <w:tc>
          <w:tcPr>
            <w:tcW w:type="dxa" w:w="6336"/>
          </w:tcPr>
          <w:p>
            <w:pPr>
              <w:spacing w:after="20"/>
            </w:pPr>
            <w:r>
              <w:rPr>
                <w:color w:val="1C3A36"/>
                <w:sz w:val="17"/>
              </w:rPr>
              <w:t>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1,502</w:t>
            </w:r>
          </w:p>
        </w:tc>
      </w:tr>
      <w:tr>
        <w:trPr>
          <w:cantSplit/>
        </w:trPr>
        <w:tc>
          <w:tcPr>
            <w:tcW w:type="dxa" w:w="6336"/>
          </w:tcPr>
          <w:p>
            <w:pPr>
              <w:spacing w:after="20"/>
            </w:pPr>
            <w:r>
              <w:rPr>
                <w:color w:val="1C3A36"/>
                <w:sz w:val="17"/>
              </w:rPr>
              <w:t>At ten times — enterprise value</w:t>
            </w:r>
          </w:p>
        </w:tc>
        <w:tc>
          <w:tcPr>
            <w:tcW w:type="dxa" w:w="3600"/>
          </w:tcPr>
          <w:p>
            <w:pPr>
              <w:spacing w:after="20"/>
              <w:jc w:val="right"/>
            </w:pPr>
            <w:r>
              <w:rPr>
                <w:color w:val="1C3A36"/>
                <w:sz w:val="17"/>
              </w:rPr>
              <w:t>15,016</w:t>
            </w:r>
          </w:p>
        </w:tc>
      </w:tr>
      <w:tr>
        <w:trPr>
          <w:cantSplit/>
        </w:trPr>
        <w:tc>
          <w:tcPr>
            <w:tcW w:type="dxa" w:w="6336"/>
            <w:shd w:val="clear" w:color="auto" w:fill="F6F1E6"/>
          </w:tcPr>
          <w:p>
            <w:pPr>
              <w:spacing w:after="20"/>
            </w:pPr>
            <w:r>
              <w:rPr>
                <w:b/>
                <w:color w:val="1C3A36"/>
                <w:sz w:val="17"/>
              </w:rPr>
              <w:t>Value per share at ten times (EGP)</w:t>
            </w:r>
          </w:p>
        </w:tc>
        <w:tc>
          <w:tcPr>
            <w:tcW w:type="dxa" w:w="3600"/>
            <w:shd w:val="clear" w:color="auto" w:fill="F6F1E6"/>
          </w:tcPr>
          <w:p>
            <w:pPr>
              <w:spacing w:after="20"/>
              <w:jc w:val="right"/>
            </w:pPr>
            <w:r>
              <w:rPr>
                <w:b/>
                <w:color w:val="1C3A36"/>
                <w:sz w:val="17"/>
              </w:rPr>
              <w:t>4.29</w:t>
            </w:r>
          </w:p>
        </w:tc>
      </w:tr>
      <w:tr>
        <w:trPr>
          <w:cantSplit/>
        </w:trPr>
        <w:tc>
          <w:tcPr>
            <w:tcW w:type="dxa" w:w="6336"/>
          </w:tcPr>
          <w:p>
            <w:pPr>
              <w:spacing w:after="20"/>
            </w:pPr>
            <w:r>
              <w:rPr>
                <w:color w:val="1C3A36"/>
                <w:sz w:val="17"/>
              </w:rPr>
              <w:t>At eight times (EGP)</w:t>
            </w:r>
          </w:p>
        </w:tc>
        <w:tc>
          <w:tcPr>
            <w:tcW w:type="dxa" w:w="3600"/>
          </w:tcPr>
          <w:p>
            <w:pPr>
              <w:spacing w:after="20"/>
              <w:jc w:val="right"/>
            </w:pPr>
            <w:r>
              <w:rPr>
                <w:color w:val="1C3A36"/>
                <w:sz w:val="17"/>
              </w:rPr>
              <w:t>2.78</w:t>
            </w:r>
          </w:p>
        </w:tc>
      </w:tr>
      <w:tr>
        <w:trPr>
          <w:cantSplit/>
        </w:trPr>
        <w:tc>
          <w:tcPr>
            <w:tcW w:type="dxa" w:w="6336"/>
          </w:tcPr>
          <w:p>
            <w:pPr>
              <w:spacing w:after="20"/>
            </w:pPr>
            <w:r>
              <w:rPr>
                <w:color w:val="1C3A36"/>
                <w:sz w:val="17"/>
              </w:rPr>
              <w:t>At twelve times (EGP)</w:t>
            </w:r>
          </w:p>
        </w:tc>
        <w:tc>
          <w:tcPr>
            <w:tcW w:type="dxa" w:w="3600"/>
          </w:tcPr>
          <w:p>
            <w:pPr>
              <w:spacing w:after="20"/>
              <w:jc w:val="right"/>
            </w:pPr>
            <w:r>
              <w:rPr>
                <w:color w:val="1C3A36"/>
                <w:sz w:val="17"/>
              </w:rPr>
              <w:t>5.80</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3.90 to EGP 15.99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15.99 against EGP 14.41. That is a change from the first issue of this study, which used a lower multiple band it could not source, and it is reported rather than resisted.</w:t>
      </w:r>
    </w:p>
    <w:p>
      <w:pPr>
        <w:spacing w:after="120" w:before="0"/>
      </w:pPr>
      <w:r>
        <w:rPr>
          <w:b w:val="0"/>
          <w:i w:val="0"/>
          <w:color w:val="1C3A36"/>
          <w:sz w:val="21"/>
        </w:rPr>
        <w:t>The answer is the cash-flow lens alone: EGP 3.90 a share with the capital programme carried through, 73% below the traded price, and EGP 7.88 if the programme is stopped. It is the answer because it is the one lens that charges the capital programme against the years in which it is spent, which on this company is the whole question. The relative, normalised and book reads are CROSS-CHECKS published beside it — book value in particular prices what has been paid for rather than what it earns, and is a disclosed floor rather than a valuation. A previous edition blended all four at stated weights and published the result as the central; the weights were typed, had never cleared any out-of-sample test, and imported every weakness of the weakest read at whatever weight somebody chose. A number produced by averaging several methods is not more robust than the best of them — it is a new method with free parameters nobody tested. The blend is retired and published unused so a reader of the previous edition can see what changed. The bear and full readings are the floor and ceiling of every read, never a weighted extreme.</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value itself is EGP 8.16 a share as filed, and it is published as a FLOOR rather than a valuation; the justified multiple OF that book is zero, because a 6.9% sustainable return on equity barely clears nominal growth and does not approach a 29.28%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530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carried on the inflation differential year by year</w:t>
            </w:r>
          </w:p>
        </w:tc>
        <w:tc>
          <w:tcPr>
            <w:tcW w:type="dxa" w:w="1843"/>
          </w:tcPr>
          <w:p>
            <w:pPr>
              <w:spacing w:after="20"/>
              <w:jc w:val="right"/>
            </w:pPr>
            <w:r>
              <w:rPr>
                <w:color w:val="1C3A36"/>
                <w:sz w:val="17"/>
              </w:rPr>
              <w:t>55.43</w:t>
            </w:r>
          </w:p>
        </w:tc>
        <w:tc>
          <w:tcPr>
            <w:tcW w:type="dxa" w:w="1843"/>
          </w:tcPr>
          <w:p>
            <w:pPr>
              <w:spacing w:after="20"/>
              <w:jc w:val="right"/>
            </w:pPr>
            <w:r>
              <w:rPr>
                <w:color w:val="1C3A36"/>
                <w:sz w:val="17"/>
              </w:rPr>
              <w:t>69.20</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9.16</w:t>
            </w:r>
          </w:p>
        </w:tc>
        <w:tc>
          <w:tcPr>
            <w:tcW w:type="dxa" w:w="1843"/>
          </w:tcPr>
          <w:p>
            <w:pPr>
              <w:spacing w:after="20"/>
              <w:jc w:val="right"/>
            </w:pPr>
            <w:r>
              <w:rPr>
                <w:color w:val="1C3A36"/>
                <w:sz w:val="17"/>
              </w:rPr>
              <w:t>11.44</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14.0%</w:t>
            </w:r>
          </w:p>
        </w:tc>
        <w:tc>
          <w:tcPr>
            <w:tcW w:type="dxa" w:w="1843"/>
          </w:tcPr>
          <w:p>
            <w:pPr>
              <w:spacing w:after="20"/>
              <w:jc w:val="right"/>
            </w:pPr>
            <w:r>
              <w:rPr>
                <w:color w:val="1C3A36"/>
                <w:sz w:val="17"/>
              </w:rPr>
              <w:t>7.0%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42.3%</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41.2%</w:t>
            </w:r>
          </w:p>
        </w:tc>
        <w:tc>
          <w:tcPr>
            <w:tcW w:type="dxa" w:w="1843"/>
            <w:shd w:val="clear" w:color="auto" w:fill="F6F1E6"/>
          </w:tcPr>
          <w:p>
            <w:pPr>
              <w:spacing w:after="20"/>
              <w:jc w:val="right"/>
            </w:pPr>
            <w:r>
              <w:rPr>
                <w:b/>
                <w:color w:val="1C3A36"/>
                <w:sz w:val="17"/>
              </w:rPr>
              <w:t>39.8%</w:t>
            </w:r>
          </w:p>
        </w:tc>
      </w:tr>
    </w:tbl>
    <w:p>
      <w:pPr>
        <w:spacing w:after="40"/>
      </w:pPr>
    </w:p>
    <w:p>
      <w:pPr>
        <w:spacing w:after="200" w:before="0"/>
      </w:pPr>
      <w:r>
        <w:rPr>
          <w:b w:val="0"/>
          <w:i/>
          <w:color w:val="6E7B77"/>
          <w:sz w:val="17"/>
        </w:rPr>
        <w:t>Table 11.  The physically distinct classes each carry their own escalator: gas on its administered dollar price through the exchange rate, the export price on the commodity path, the subsidised price on its administered path. The domestic lines — other materials, wages, purchased services, inland haulage, other selling and administration — share the one domestic inflation path, because that is the index they are paid in; a globally traded input is never put on it.</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11,674</w:t>
            </w:r>
          </w:p>
        </w:tc>
        <w:tc>
          <w:tcPr>
            <w:tcW w:type="dxa" w:w="1426"/>
          </w:tcPr>
          <w:p>
            <w:pPr>
              <w:spacing w:after="20"/>
              <w:jc w:val="right"/>
            </w:pPr>
            <w:r>
              <w:rPr>
                <w:color w:val="1C3A36"/>
                <w:sz w:val="16"/>
              </w:rPr>
              <w:t>12,693</w:t>
            </w:r>
          </w:p>
        </w:tc>
        <w:tc>
          <w:tcPr>
            <w:tcW w:type="dxa" w:w="1426"/>
          </w:tcPr>
          <w:p>
            <w:pPr>
              <w:spacing w:after="20"/>
              <w:jc w:val="right"/>
            </w:pPr>
            <w:r>
              <w:rPr>
                <w:color w:val="1C3A36"/>
                <w:sz w:val="16"/>
              </w:rPr>
              <w:t>13,513</w:t>
            </w:r>
          </w:p>
        </w:tc>
        <w:tc>
          <w:tcPr>
            <w:tcW w:type="dxa" w:w="1426"/>
          </w:tcPr>
          <w:p>
            <w:pPr>
              <w:spacing w:after="20"/>
              <w:jc w:val="right"/>
            </w:pPr>
            <w:r>
              <w:rPr>
                <w:color w:val="1C3A36"/>
                <w:sz w:val="16"/>
              </w:rPr>
              <w:t>14,277</w:t>
            </w:r>
          </w:p>
        </w:tc>
        <w:tc>
          <w:tcPr>
            <w:tcW w:type="dxa" w:w="1426"/>
          </w:tcPr>
          <w:p>
            <w:pPr>
              <w:spacing w:after="20"/>
              <w:jc w:val="right"/>
            </w:pPr>
            <w:r>
              <w:rPr>
                <w:color w:val="1C3A36"/>
                <w:sz w:val="16"/>
              </w:rPr>
              <w:t>15,043</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6,337</w:t>
            </w:r>
          </w:p>
        </w:tc>
        <w:tc>
          <w:tcPr>
            <w:tcW w:type="dxa" w:w="1426"/>
          </w:tcPr>
          <w:p>
            <w:pPr>
              <w:spacing w:after="20"/>
              <w:jc w:val="right"/>
            </w:pPr>
            <w:r>
              <w:rPr>
                <w:color w:val="1C3A36"/>
                <w:sz w:val="16"/>
              </w:rPr>
              <w:t>6,982</w:t>
            </w:r>
          </w:p>
        </w:tc>
        <w:tc>
          <w:tcPr>
            <w:tcW w:type="dxa" w:w="1426"/>
          </w:tcPr>
          <w:p>
            <w:pPr>
              <w:spacing w:after="20"/>
              <w:jc w:val="right"/>
            </w:pPr>
            <w:r>
              <w:rPr>
                <w:color w:val="1C3A36"/>
                <w:sz w:val="16"/>
              </w:rPr>
              <w:t>7,558</w:t>
            </w:r>
          </w:p>
        </w:tc>
        <w:tc>
          <w:tcPr>
            <w:tcW w:type="dxa" w:w="1426"/>
          </w:tcPr>
          <w:p>
            <w:pPr>
              <w:spacing w:after="20"/>
              <w:jc w:val="right"/>
            </w:pPr>
            <w:r>
              <w:rPr>
                <w:color w:val="1C3A36"/>
                <w:sz w:val="16"/>
              </w:rPr>
              <w:t>8,118</w:t>
            </w:r>
          </w:p>
        </w:tc>
        <w:tc>
          <w:tcPr>
            <w:tcW w:type="dxa" w:w="1426"/>
          </w:tcPr>
          <w:p>
            <w:pPr>
              <w:spacing w:after="20"/>
              <w:jc w:val="right"/>
            </w:pPr>
            <w:r>
              <w:rPr>
                <w:color w:val="1C3A36"/>
                <w:sz w:val="16"/>
              </w:rPr>
              <w:t>8,683</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5,337</w:t>
            </w:r>
          </w:p>
        </w:tc>
        <w:tc>
          <w:tcPr>
            <w:tcW w:type="dxa" w:w="1426"/>
          </w:tcPr>
          <w:p>
            <w:pPr>
              <w:spacing w:after="20"/>
              <w:jc w:val="right"/>
            </w:pPr>
            <w:r>
              <w:rPr>
                <w:color w:val="1C3A36"/>
                <w:sz w:val="16"/>
              </w:rPr>
              <w:t>5,711</w:t>
            </w:r>
          </w:p>
        </w:tc>
        <w:tc>
          <w:tcPr>
            <w:tcW w:type="dxa" w:w="1426"/>
          </w:tcPr>
          <w:p>
            <w:pPr>
              <w:spacing w:after="20"/>
              <w:jc w:val="right"/>
            </w:pPr>
            <w:r>
              <w:rPr>
                <w:color w:val="1C3A36"/>
                <w:sz w:val="16"/>
              </w:rPr>
              <w:t>5,955</w:t>
            </w:r>
          </w:p>
        </w:tc>
        <w:tc>
          <w:tcPr>
            <w:tcW w:type="dxa" w:w="1426"/>
          </w:tcPr>
          <w:p>
            <w:pPr>
              <w:spacing w:after="20"/>
              <w:jc w:val="right"/>
            </w:pPr>
            <w:r>
              <w:rPr>
                <w:color w:val="1C3A36"/>
                <w:sz w:val="16"/>
              </w:rPr>
              <w:t>6,160</w:t>
            </w:r>
          </w:p>
        </w:tc>
        <w:tc>
          <w:tcPr>
            <w:tcW w:type="dxa" w:w="1426"/>
          </w:tcPr>
          <w:p>
            <w:pPr>
              <w:spacing w:after="20"/>
              <w:jc w:val="right"/>
            </w:pPr>
            <w:r>
              <w:rPr>
                <w:color w:val="1C3A36"/>
                <w:sz w:val="16"/>
              </w:rPr>
              <w:t>6,360</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45.0%</w:t>
            </w:r>
          </w:p>
        </w:tc>
        <w:tc>
          <w:tcPr>
            <w:tcW w:type="dxa" w:w="1426"/>
            <w:shd w:val="clear" w:color="auto" w:fill="F6F1E6"/>
          </w:tcPr>
          <w:p>
            <w:pPr>
              <w:spacing w:after="20"/>
              <w:jc w:val="right"/>
            </w:pPr>
            <w:r>
              <w:rPr>
                <w:b/>
                <w:color w:val="1C3A36"/>
                <w:sz w:val="16"/>
              </w:rPr>
              <w:t>44.1%</w:t>
            </w:r>
          </w:p>
        </w:tc>
        <w:tc>
          <w:tcPr>
            <w:tcW w:type="dxa" w:w="1426"/>
            <w:shd w:val="clear" w:color="auto" w:fill="F6F1E6"/>
          </w:tcPr>
          <w:p>
            <w:pPr>
              <w:spacing w:after="20"/>
              <w:jc w:val="right"/>
            </w:pPr>
            <w:r>
              <w:rPr>
                <w:b/>
                <w:color w:val="1C3A36"/>
                <w:sz w:val="16"/>
              </w:rPr>
              <w:t>43.1%</w:t>
            </w:r>
          </w:p>
        </w:tc>
        <w:tc>
          <w:tcPr>
            <w:tcW w:type="dxa" w:w="1426"/>
            <w:shd w:val="clear" w:color="auto" w:fill="F6F1E6"/>
          </w:tcPr>
          <w:p>
            <w:pPr>
              <w:spacing w:after="20"/>
              <w:jc w:val="right"/>
            </w:pPr>
            <w:r>
              <w:rPr>
                <w:b/>
                <w:color w:val="1C3A36"/>
                <w:sz w:val="16"/>
              </w:rPr>
              <w:t>42.3%</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4,812</w:t>
            </w:r>
          </w:p>
        </w:tc>
        <w:tc>
          <w:tcPr>
            <w:tcW w:type="dxa" w:w="1426"/>
          </w:tcPr>
          <w:p>
            <w:pPr>
              <w:spacing w:after="20"/>
              <w:jc w:val="right"/>
            </w:pPr>
            <w:r>
              <w:rPr>
                <w:color w:val="1C3A36"/>
                <w:sz w:val="16"/>
              </w:rPr>
              <w:t>5,203</w:t>
            </w:r>
          </w:p>
        </w:tc>
        <w:tc>
          <w:tcPr>
            <w:tcW w:type="dxa" w:w="1426"/>
          </w:tcPr>
          <w:p>
            <w:pPr>
              <w:spacing w:after="20"/>
              <w:jc w:val="right"/>
            </w:pPr>
            <w:r>
              <w:rPr>
                <w:color w:val="1C3A36"/>
                <w:sz w:val="16"/>
              </w:rPr>
              <w:t>5,492</w:t>
            </w:r>
          </w:p>
        </w:tc>
        <w:tc>
          <w:tcPr>
            <w:tcW w:type="dxa" w:w="1426"/>
          </w:tcPr>
          <w:p>
            <w:pPr>
              <w:spacing w:after="20"/>
              <w:jc w:val="right"/>
            </w:pPr>
            <w:r>
              <w:rPr>
                <w:color w:val="1C3A36"/>
                <w:sz w:val="16"/>
              </w:rPr>
              <w:t>5,746</w:t>
            </w:r>
          </w:p>
        </w:tc>
        <w:tc>
          <w:tcPr>
            <w:tcW w:type="dxa" w:w="1426"/>
          </w:tcPr>
          <w:p>
            <w:pPr>
              <w:spacing w:after="20"/>
              <w:jc w:val="right"/>
            </w:pPr>
            <w:r>
              <w:rPr>
                <w:color w:val="1C3A36"/>
                <w:sz w:val="16"/>
              </w:rPr>
              <w:t>5,987</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41.2%</w:t>
            </w:r>
          </w:p>
        </w:tc>
        <w:tc>
          <w:tcPr>
            <w:tcW w:type="dxa" w:w="1426"/>
            <w:shd w:val="clear" w:color="auto" w:fill="F6F1E6"/>
          </w:tcPr>
          <w:p>
            <w:pPr>
              <w:spacing w:after="20"/>
              <w:jc w:val="right"/>
            </w:pPr>
            <w:r>
              <w:rPr>
                <w:b/>
                <w:color w:val="1C3A36"/>
                <w:sz w:val="16"/>
              </w:rPr>
              <w:t>41.0%</w:t>
            </w:r>
          </w:p>
        </w:tc>
        <w:tc>
          <w:tcPr>
            <w:tcW w:type="dxa" w:w="1426"/>
            <w:shd w:val="clear" w:color="auto" w:fill="F6F1E6"/>
          </w:tcPr>
          <w:p>
            <w:pPr>
              <w:spacing w:after="20"/>
              <w:jc w:val="right"/>
            </w:pPr>
            <w:r>
              <w:rPr>
                <w:b/>
                <w:color w:val="1C3A36"/>
                <w:sz w:val="16"/>
              </w:rPr>
              <w:t>40.6%</w:t>
            </w:r>
          </w:p>
        </w:tc>
        <w:tc>
          <w:tcPr>
            <w:tcW w:type="dxa" w:w="1426"/>
            <w:shd w:val="clear" w:color="auto" w:fill="F6F1E6"/>
          </w:tcPr>
          <w:p>
            <w:pPr>
              <w:spacing w:after="20"/>
              <w:jc w:val="right"/>
            </w:pPr>
            <w:r>
              <w:rPr>
                <w:b/>
                <w:color w:val="1C3A36"/>
                <w:sz w:val="16"/>
              </w:rPr>
              <w:t>40.2%</w:t>
            </w:r>
          </w:p>
        </w:tc>
        <w:tc>
          <w:tcPr>
            <w:tcW w:type="dxa" w:w="1426"/>
            <w:shd w:val="clear" w:color="auto" w:fill="F6F1E6"/>
          </w:tcPr>
          <w:p>
            <w:pPr>
              <w:spacing w:after="20"/>
              <w:jc w:val="right"/>
            </w:pPr>
            <w:r>
              <w:rPr>
                <w:b/>
                <w:color w:val="1C3A36"/>
                <w:sz w:val="16"/>
              </w:rPr>
              <w:t>39.8%</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3,921</w:t>
            </w:r>
          </w:p>
        </w:tc>
        <w:tc>
          <w:tcPr>
            <w:tcW w:type="dxa" w:w="1426"/>
          </w:tcPr>
          <w:p>
            <w:pPr>
              <w:spacing w:after="20"/>
              <w:jc w:val="right"/>
            </w:pPr>
            <w:r>
              <w:rPr>
                <w:color w:val="1C3A36"/>
                <w:sz w:val="16"/>
              </w:rPr>
              <w:t>4,194</w:t>
            </w:r>
          </w:p>
        </w:tc>
        <w:tc>
          <w:tcPr>
            <w:tcW w:type="dxa" w:w="1426"/>
          </w:tcPr>
          <w:p>
            <w:pPr>
              <w:spacing w:after="20"/>
              <w:jc w:val="right"/>
            </w:pPr>
            <w:r>
              <w:rPr>
                <w:color w:val="1C3A36"/>
                <w:sz w:val="16"/>
              </w:rPr>
              <w:t>4,346</w:t>
            </w:r>
          </w:p>
        </w:tc>
        <w:tc>
          <w:tcPr>
            <w:tcW w:type="dxa" w:w="1426"/>
          </w:tcPr>
          <w:p>
            <w:pPr>
              <w:spacing w:after="20"/>
              <w:jc w:val="right"/>
            </w:pPr>
            <w:r>
              <w:rPr>
                <w:color w:val="1C3A36"/>
                <w:sz w:val="16"/>
              </w:rPr>
              <w:t>4,453</w:t>
            </w:r>
          </w:p>
        </w:tc>
        <w:tc>
          <w:tcPr>
            <w:tcW w:type="dxa" w:w="1426"/>
          </w:tcPr>
          <w:p>
            <w:pPr>
              <w:spacing w:after="20"/>
              <w:jc w:val="right"/>
            </w:pPr>
            <w:r>
              <w:rPr>
                <w:color w:val="1C3A36"/>
                <w:sz w:val="16"/>
              </w:rPr>
              <w:t>4,553</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33.6%</w:t>
            </w:r>
          </w:p>
        </w:tc>
        <w:tc>
          <w:tcPr>
            <w:tcW w:type="dxa" w:w="1426"/>
          </w:tcPr>
          <w:p>
            <w:pPr>
              <w:spacing w:after="20"/>
              <w:jc w:val="right"/>
            </w:pPr>
            <w:r>
              <w:rPr>
                <w:color w:val="1C3A36"/>
                <w:sz w:val="16"/>
              </w:rPr>
              <w:t>33.0%</w:t>
            </w:r>
          </w:p>
        </w:tc>
        <w:tc>
          <w:tcPr>
            <w:tcW w:type="dxa" w:w="1426"/>
          </w:tcPr>
          <w:p>
            <w:pPr>
              <w:spacing w:after="20"/>
              <w:jc w:val="right"/>
            </w:pPr>
            <w:r>
              <w:rPr>
                <w:color w:val="1C3A36"/>
                <w:sz w:val="16"/>
              </w:rPr>
              <w:t>32.2%</w:t>
            </w:r>
          </w:p>
        </w:tc>
        <w:tc>
          <w:tcPr>
            <w:tcW w:type="dxa" w:w="1426"/>
          </w:tcPr>
          <w:p>
            <w:pPr>
              <w:spacing w:after="20"/>
              <w:jc w:val="right"/>
            </w:pPr>
            <w:r>
              <w:rPr>
                <w:color w:val="1C3A36"/>
                <w:sz w:val="16"/>
              </w:rPr>
              <w:t>31.2%</w:t>
            </w:r>
          </w:p>
        </w:tc>
        <w:tc>
          <w:tcPr>
            <w:tcW w:type="dxa" w:w="1426"/>
          </w:tcPr>
          <w:p>
            <w:pPr>
              <w:spacing w:after="20"/>
              <w:jc w:val="right"/>
            </w:pPr>
            <w:r>
              <w:rPr>
                <w:color w:val="1C3A36"/>
                <w:sz w:val="16"/>
              </w:rPr>
              <w:t>30.3%</w:t>
            </w:r>
          </w:p>
        </w:tc>
      </w:tr>
    </w:tbl>
    <w:p>
      <w:pPr>
        <w:spacing w:after="40"/>
      </w:pPr>
    </w:p>
    <w:p>
      <w:pPr>
        <w:spacing w:after="200" w:before="0"/>
      </w:pPr>
      <w:r>
        <w:rPr>
          <w:b w:val="0"/>
          <w:i/>
          <w:color w:val="6E7B77"/>
          <w:sz w:val="17"/>
        </w:rPr>
        <w:t>Table 12.  Not one margin in this table is set. Each is revenue less a cost stack built from physical consumption times a unit price, so the margin path is a consequence of the tonnes, the prices and the escalators above it. It eases from 45.7% to 42.3% because the dollar export price is held FLAT in nominal dollars — no forecast of a traded commodity price is defensible — while the pound-denominated cost legs escalate on the domestic path. That is a real cost drift, and it is a claim rather than an assumption: the company's own audited accounts show cost per unit of revenue rising from 54.1% in the year to June 2023 to 61.6% in the year to June 2025, which is the direction the forecast carries forward.</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8,722</w:t>
            </w:r>
          </w:p>
        </w:tc>
        <w:tc>
          <w:tcPr>
            <w:tcW w:type="dxa" w:w="1296"/>
          </w:tcPr>
          <w:p>
            <w:pPr>
              <w:spacing w:after="20"/>
              <w:jc w:val="right"/>
            </w:pPr>
            <w:r>
              <w:rPr>
                <w:color w:val="1C3A36"/>
                <w:sz w:val="17"/>
              </w:rPr>
              <w:t>74.7%</w:t>
            </w:r>
          </w:p>
        </w:tc>
        <w:tc>
          <w:tcPr>
            <w:tcW w:type="dxa" w:w="1944"/>
          </w:tcPr>
          <w:p>
            <w:pPr>
              <w:spacing w:after="20"/>
              <w:jc w:val="right"/>
            </w:pPr>
            <w:r>
              <w:rPr>
                <w:color w:val="1C3A36"/>
                <w:sz w:val="17"/>
              </w:rPr>
              <w:t>10,760</w:t>
            </w:r>
          </w:p>
        </w:tc>
        <w:tc>
          <w:tcPr>
            <w:tcW w:type="dxa" w:w="1296"/>
          </w:tcPr>
          <w:p>
            <w:pPr>
              <w:spacing w:after="20"/>
              <w:jc w:val="right"/>
            </w:pPr>
            <w:r>
              <w:rPr>
                <w:color w:val="1C3A36"/>
                <w:sz w:val="17"/>
              </w:rPr>
              <w:t>71.5%</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10.0%</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12.7%</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1,058</w:t>
            </w:r>
          </w:p>
        </w:tc>
        <w:tc>
          <w:tcPr>
            <w:tcW w:type="dxa" w:w="1296"/>
          </w:tcPr>
          <w:p>
            <w:pPr>
              <w:spacing w:after="20"/>
              <w:jc w:val="right"/>
            </w:pPr>
            <w:r>
              <w:rPr>
                <w:color w:val="1C3A36"/>
                <w:sz w:val="17"/>
              </w:rPr>
              <w:t>9.1%</w:t>
            </w:r>
          </w:p>
        </w:tc>
        <w:tc>
          <w:tcPr>
            <w:tcW w:type="dxa" w:w="1944"/>
          </w:tcPr>
          <w:p>
            <w:pPr>
              <w:spacing w:after="20"/>
              <w:jc w:val="right"/>
            </w:pPr>
            <w:r>
              <w:rPr>
                <w:color w:val="1C3A36"/>
                <w:sz w:val="17"/>
              </w:rPr>
              <w:t>1,452</w:t>
            </w:r>
          </w:p>
        </w:tc>
        <w:tc>
          <w:tcPr>
            <w:tcW w:type="dxa" w:w="1296"/>
          </w:tcPr>
          <w:p>
            <w:pPr>
              <w:spacing w:after="20"/>
              <w:jc w:val="right"/>
            </w:pPr>
            <w:r>
              <w:rPr>
                <w:color w:val="1C3A36"/>
                <w:sz w:val="17"/>
              </w:rPr>
              <w:t>9.7%</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588</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734</w:t>
            </w:r>
          </w:p>
        </w:tc>
        <w:tc>
          <w:tcPr>
            <w:tcW w:type="dxa" w:w="1296"/>
          </w:tcPr>
          <w:p>
            <w:pPr>
              <w:spacing w:after="20"/>
              <w:jc w:val="right"/>
            </w:pPr>
            <w:r>
              <w:rPr>
                <w:color w:val="1C3A36"/>
                <w:sz w:val="17"/>
              </w:rPr>
              <w:t>4.9%</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1.2%</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1.2%</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11,674</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15,043</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28.6 billion. EGP 5,654 million sat in construction at 31 March 2026 and the auditor put physical progress at 12.9% against a 37.0% plan.</w:t>
      </w:r>
    </w:p>
    <w:p>
      <w:pPr>
        <w:spacing w:after="120" w:before="0"/>
      </w:pPr>
      <w:r>
        <w:rPr>
          <w:b/>
          <w:i w:val="0"/>
          <w:color w:val="1C3A36"/>
          <w:sz w:val="21"/>
        </w:rPr>
        <w:t>Carried through, the programme is worth EGP 3.90 a share. Stopped, EGP 7.88. The difference, EGP 3.98 a share or EGP 7,915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71.1%</w:t>
            </w:r>
          </w:p>
        </w:tc>
        <w:tc>
          <w:tcPr>
            <w:tcW w:type="dxa" w:w="3456"/>
          </w:tcPr>
          <w:p>
            <w:pPr>
              <w:spacing w:after="20"/>
            </w:pPr>
            <w:r>
              <w:rPr>
                <w:color w:val="1C3A36"/>
                <w:sz w:val="16"/>
              </w:rPr>
              <w:t>Against a market value of EGP 28,627m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40m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0.2%</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18.6%</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2.7 times the pooled rate of the two pre-project years and 1.6 times the higher of them,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0.91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2,281</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19.5%</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3.41%</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19.59%</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9.41%</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1.030</w:t>
            </w:r>
          </w:p>
        </w:tc>
        <w:tc>
          <w:tcPr>
            <w:tcW w:type="dxa" w:w="1512"/>
          </w:tcPr>
          <w:p>
            <w:pPr>
              <w:spacing w:after="20"/>
              <w:jc w:val="right"/>
            </w:pPr>
            <w:r>
              <w:rPr>
                <w:color w:val="1C3A36"/>
                <w:sz w:val="17"/>
              </w:rPr>
              <w:t>1.030</w:t>
            </w:r>
          </w:p>
        </w:tc>
        <w:tc>
          <w:tcPr>
            <w:tcW w:type="dxa" w:w="4248"/>
          </w:tcPr>
          <w:p>
            <w:pPr>
              <w:spacing w:after="20"/>
            </w:pPr>
            <w:r>
              <w:rPr>
                <w:color w:val="1C3A36"/>
                <w:sz w:val="17"/>
              </w:rPr>
              <w:t>Own-stock weekly regression, 253 observations, R-squared 0.250, standard error 0.191</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30.99%</w:t>
            </w:r>
          </w:p>
        </w:tc>
        <w:tc>
          <w:tcPr>
            <w:tcW w:type="dxa" w:w="1512"/>
            <w:shd w:val="clear" w:color="auto" w:fill="F6F1E6"/>
          </w:tcPr>
          <w:p>
            <w:pPr>
              <w:spacing w:after="20"/>
              <w:jc w:val="right"/>
            </w:pPr>
            <w:r>
              <w:rPr>
                <w:b/>
                <w:color w:val="1C3A36"/>
                <w:sz w:val="17"/>
              </w:rPr>
              <w:t>29.28%</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 year one</w:t>
            </w:r>
          </w:p>
        </w:tc>
        <w:tc>
          <w:tcPr>
            <w:tcW w:type="dxa" w:w="1512"/>
          </w:tcPr>
          <w:p>
            <w:pPr>
              <w:spacing w:after="20"/>
              <w:jc w:val="right"/>
            </w:pPr>
            <w:r>
              <w:rPr>
                <w:color w:val="1C3A36"/>
                <w:sz w:val="17"/>
              </w:rPr>
              <w:t>18.86%</w:t>
            </w:r>
          </w:p>
        </w:tc>
        <w:tc>
          <w:tcPr>
            <w:tcW w:type="dxa" w:w="1512"/>
          </w:tcPr>
          <w:p>
            <w:pPr>
              <w:spacing w:after="20"/>
              <w:jc w:val="right"/>
            </w:pPr>
            <w:r>
              <w:rPr>
                <w:color w:val="1C3A36"/>
                <w:sz w:val="17"/>
              </w:rPr>
              <w:t>18.86%</w:t>
            </w:r>
          </w:p>
        </w:tc>
        <w:tc>
          <w:tcPr>
            <w:tcW w:type="dxa" w:w="4248"/>
          </w:tcPr>
          <w:p>
            <w:pPr>
              <w:spacing w:after="20"/>
            </w:pPr>
            <w:r>
              <w:rPr>
                <w:color w:val="1C3A36"/>
                <w:sz w:val="17"/>
              </w:rPr>
              <w:t>99.7% dollar, carried at local-equivalent cost on that year's currency wedge of 11.3%</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66.2% / 33.8%</w:t>
            </w:r>
          </w:p>
        </w:tc>
        <w:tc>
          <w:tcPr>
            <w:tcW w:type="dxa" w:w="1512"/>
          </w:tcPr>
          <w:p>
            <w:pPr>
              <w:spacing w:after="20"/>
              <w:jc w:val="right"/>
            </w:pPr>
            <w:r>
              <w:rPr>
                <w:color w:val="1C3A36"/>
                <w:sz w:val="17"/>
              </w:rPr>
              <w:t>66.2% / 33.8%</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26.88%</w:t>
            </w:r>
          </w:p>
        </w:tc>
        <w:tc>
          <w:tcPr>
            <w:tcW w:type="dxa" w:w="1512"/>
            <w:shd w:val="clear" w:color="auto" w:fill="F6F1E6"/>
          </w:tcPr>
          <w:p>
            <w:pPr>
              <w:spacing w:after="20"/>
              <w:jc w:val="right"/>
            </w:pPr>
            <w:r>
              <w:rPr>
                <w:b/>
                <w:color w:val="1C3A36"/>
                <w:sz w:val="17"/>
              </w:rPr>
              <w:t>25.76%</w:t>
            </w:r>
          </w:p>
        </w:tc>
        <w:tc>
          <w:tcPr>
            <w:tcW w:type="dxa" w:w="4248"/>
            <w:shd w:val="clear" w:color="auto" w:fill="F6F1E6"/>
          </w:tcPr>
          <w:p>
            <w:pPr>
              <w:spacing w:after="20"/>
            </w:pPr>
            <w:r>
              <w:rPr>
                <w:b/>
                <w:color w:val="1C3A36"/>
                <w:sz w:val="17"/>
              </w:rPr>
              <w:t>The swap basis is carried into the valuation, as the market's own live pricing of the sovereign's credit against a rating judgement updated in steps. It is 113 basis points BELOW the rating basis, so the choice is not the conservative one and is not made on that ground; section 1.9 prices what the other basis is worth</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year by year, by the depreciation the study's own currency path implies in that year — 11.3% in FY2026/27, giving a local-equivalent 24.35%, gliding to 4.5% in FY2030/31 and 16.72% — and to 4.5% on the long-run dollar cost of 9.0% in the terminal year, 13.90% on the dollar leg (13.91% once the 0.3% local facility is blended in). The wedge is the one the revenue build uses, so the debt and the currency cannot quietly disagree.</w:t>
      </w:r>
    </w:p>
    <w:p>
      <w:pPr>
        <w:spacing w:after="120" w:before="0"/>
      </w:pPr>
      <w:r>
        <w:rPr>
          <w:b w:val="0"/>
          <w:i w:val="0"/>
          <w:color w:val="1C3A36"/>
          <w:sz w:val="19"/>
        </w:rPr>
        <w:t>Two things about that construction are disclosed rather than argued, because the cost-of-capital build tests for both. The company's own local-currency facility carries 19.40% against a 23.00% sovereign ten-year yield: a same-currency corporate borrowing below its sovereign. It is the company's disclosed rate on a state-bank facility and is used as disclosed. A same-currency borrower does not normally borrow below its sovereign, so the construction with every leg floored at the 23.00% sovereign yield plus the company's own spread over the policy rate — which its facilities print as nil — is priced in the table below: EGP 2.80 a share on the carried-through cash-flow lens against EGP 3.90, a difference of EGP -1.10. The lower disclosed rates raise the answer, so the choice made leans toward the traded price, not away from it.</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longest-horizon target of 7.0%. Capitalising one at the other is a units mismatch, and on a company whose value sits in its terminal year it would be the largest error in the study. The rate therefore glides to a terminal rate built from its own components: 7.0% inflation — the same figure terminal growth is set at, so the perpetuity neither grows nor shrinks in real terms — compounded with a 5.5% real rate gives a normalised risk-free rate of 12.88%, and the terminal cost of capital is 18.59%. Discount factors compound the glide year by year rather than raising one rate to a power. The earlier edition of this study discounted a 7.0%-growth perpetuity at a terminal rate built on the shorter-horizon 7.0% target, which assumed a real decline of about two per cent a year for ever that nothing disclosed; that is corrected here.</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Ten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3.90</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Country risk priced off the sovereign's traded default swap</w:t>
            </w:r>
          </w:p>
        </w:tc>
        <w:tc>
          <w:tcPr>
            <w:tcW w:type="dxa" w:w="2563"/>
          </w:tcPr>
          <w:p>
            <w:pPr>
              <w:spacing w:after="20"/>
            </w:pPr>
            <w:r>
              <w:rPr>
                <w:color w:val="1C3A36"/>
                <w:sz w:val="15"/>
              </w:rPr>
              <w:t>Priced off the sovereign's credit rating instead, which is the wider of the two spreads and gives a cost of capital 113 basis points higher</w:t>
            </w:r>
          </w:p>
        </w:tc>
        <w:tc>
          <w:tcPr>
            <w:tcW w:type="dxa" w:w="950"/>
          </w:tcPr>
          <w:p>
            <w:pPr>
              <w:spacing w:after="20"/>
              <w:jc w:val="right"/>
            </w:pPr>
            <w:r>
              <w:rPr>
                <w:color w:val="1C3A36"/>
                <w:sz w:val="15"/>
              </w:rPr>
              <w:t>2.42</w:t>
            </w:r>
          </w:p>
        </w:tc>
        <w:tc>
          <w:tcPr>
            <w:tcW w:type="dxa" w:w="950"/>
          </w:tcPr>
          <w:p>
            <w:pPr>
              <w:spacing w:after="20"/>
              <w:jc w:val="right"/>
            </w:pPr>
            <w:r>
              <w:rPr>
                <w:color w:val="1C3A36"/>
                <w:sz w:val="15"/>
              </w:rPr>
              <w:t>-1.47</w:t>
            </w:r>
          </w:p>
        </w:tc>
        <w:tc>
          <w:tcPr>
            <w:tcW w:type="dxa" w:w="3139"/>
          </w:tcPr>
          <w:p>
            <w:pPr>
              <w:spacing w:after="20"/>
            </w:pPr>
            <w:r>
              <w:rPr>
                <w:color w:val="1C3A36"/>
                <w:sz w:val="15"/>
              </w:rPr>
              <w:t>The swap basis is the market's own live pricing of this sovereign's credit, against a rating judgement updated in steps. It is the NARROWER spread, so this is not the conservative choice and is not made on that ground; the rating basis is priced here rather than argued about.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1.44</w:t>
            </w:r>
          </w:p>
        </w:tc>
        <w:tc>
          <w:tcPr>
            <w:tcW w:type="dxa" w:w="950"/>
          </w:tcPr>
          <w:p>
            <w:pPr>
              <w:spacing w:after="20"/>
              <w:jc w:val="right"/>
            </w:pPr>
            <w:r>
              <w:rPr>
                <w:color w:val="1C3A36"/>
                <w:sz w:val="15"/>
              </w:rPr>
              <w:t>-2.46</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2.37</w:t>
            </w:r>
          </w:p>
        </w:tc>
        <w:tc>
          <w:tcPr>
            <w:tcW w:type="dxa" w:w="950"/>
          </w:tcPr>
          <w:p>
            <w:pPr>
              <w:spacing w:after="20"/>
              <w:jc w:val="right"/>
            </w:pPr>
            <w:r>
              <w:rPr>
                <w:color w:val="1C3A36"/>
                <w:sz w:val="15"/>
              </w:rPr>
              <w:t>-1.53</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2563"/>
          </w:tcPr>
          <w:p>
            <w:pPr>
              <w:spacing w:after="20"/>
            </w:pPr>
            <w:r>
              <w:rPr>
                <w:color w:val="1C3A36"/>
                <w:sz w:val="15"/>
              </w:rPr>
              <w:t>Every leg floored at the 23.00% sovereign ten-year yield — the company's own facilities print no spread above the policy rate, so no spread is added</w:t>
            </w:r>
          </w:p>
        </w:tc>
        <w:tc>
          <w:tcPr>
            <w:tcW w:type="dxa" w:w="950"/>
          </w:tcPr>
          <w:p>
            <w:pPr>
              <w:spacing w:after="20"/>
              <w:jc w:val="right"/>
            </w:pPr>
            <w:r>
              <w:rPr>
                <w:color w:val="1C3A36"/>
                <w:sz w:val="15"/>
              </w:rPr>
              <w:t>2.80</w:t>
            </w:r>
          </w:p>
        </w:tc>
        <w:tc>
          <w:tcPr>
            <w:tcW w:type="dxa" w:w="950"/>
          </w:tcPr>
          <w:p>
            <w:pPr>
              <w:spacing w:after="20"/>
              <w:jc w:val="right"/>
            </w:pPr>
            <w:r>
              <w:rPr>
                <w:color w:val="1C3A36"/>
                <w:sz w:val="15"/>
              </w:rPr>
              <w:t>-1.10</w:t>
            </w:r>
          </w:p>
        </w:tc>
        <w:tc>
          <w:tcPr>
            <w:tcW w:type="dxa" w:w="3139"/>
          </w:tcPr>
          <w:p>
            <w:pPr>
              <w:spacing w:after="20"/>
            </w:pPr>
            <w:r>
              <w:rPr>
                <w:color w:val="1C3A36"/>
                <w:sz w:val="15"/>
              </w:rPr>
              <w:t>A same-currency corporate cannot normally borrow below its sovereign, and the local facility does (its dollar leg sits below the normalised risk-free rate in 0 of the five explicit years). The disclosed rates are what the company actually pays on state-bank facilities and are used as disclosed; the floored construction is published beside them, not averaged in.</w:t>
            </w:r>
          </w:p>
        </w:tc>
      </w:tr>
      <w:tr>
        <w:trPr>
          <w:cantSplit/>
        </w:trPr>
        <w:tc>
          <w:tcPr>
            <w:tcW w:type="dxa" w:w="2477"/>
          </w:tcPr>
          <w:p>
            <w:pPr>
              <w:spacing w:after="20"/>
            </w:pPr>
            <w:r>
              <w:rPr>
                <w:color w:val="1C3A36"/>
                <w:sz w:val="15"/>
              </w:rPr>
              <w:t>Beta from the five-year weekly regression of the share against the published EGX30 index</w:t>
            </w:r>
          </w:p>
        </w:tc>
        <w:tc>
          <w:tcPr>
            <w:tcW w:type="dxa" w:w="2563"/>
          </w:tcPr>
          <w:p>
            <w:pPr>
              <w:spacing w:after="20"/>
            </w:pPr>
            <w:r>
              <w:rPr>
                <w:color w:val="1C3A36"/>
                <w:sz w:val="15"/>
              </w:rPr>
              <w:t>The lower bound of that regression's own 90% confidence interval</w:t>
            </w:r>
          </w:p>
        </w:tc>
        <w:tc>
          <w:tcPr>
            <w:tcW w:type="dxa" w:w="950"/>
          </w:tcPr>
          <w:p>
            <w:pPr>
              <w:spacing w:after="20"/>
              <w:jc w:val="right"/>
            </w:pPr>
            <w:r>
              <w:rPr>
                <w:color w:val="1C3A36"/>
                <w:sz w:val="15"/>
              </w:rPr>
              <w:t>5.57</w:t>
            </w:r>
          </w:p>
        </w:tc>
        <w:tc>
          <w:tcPr>
            <w:tcW w:type="dxa" w:w="950"/>
          </w:tcPr>
          <w:p>
            <w:pPr>
              <w:spacing w:after="20"/>
              <w:jc w:val="right"/>
            </w:pPr>
            <w:r>
              <w:rPr>
                <w:color w:val="1C3A36"/>
                <w:sz w:val="15"/>
              </w:rPr>
              <w:t>+1.67</w:t>
            </w:r>
          </w:p>
        </w:tc>
        <w:tc>
          <w:tcPr>
            <w:tcW w:type="dxa" w:w="3139"/>
          </w:tcPr>
          <w:p>
            <w:pPr>
              <w:spacing w:after="20"/>
            </w:pPr>
            <w:r>
              <w:rPr>
                <w:color w:val="1C3A36"/>
                <w:sz w:val="15"/>
              </w:rPr>
              <w:t>The regression passes all three conditions of the usability test, so the point estimate is adopted; the interval is wide because the share is thinly traded, and the lower bound is priced here rather than argued away.</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1.23</w:t>
            </w:r>
          </w:p>
        </w:tc>
        <w:tc>
          <w:tcPr>
            <w:tcW w:type="dxa" w:w="950"/>
          </w:tcPr>
          <w:p>
            <w:pPr>
              <w:spacing w:after="20"/>
              <w:jc w:val="right"/>
            </w:pPr>
            <w:r>
              <w:rPr>
                <w:color w:val="1C3A36"/>
                <w:sz w:val="15"/>
              </w:rPr>
              <w:t>-2.67</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4.31</w:t>
            </w:r>
          </w:p>
        </w:tc>
        <w:tc>
          <w:tcPr>
            <w:tcW w:type="dxa" w:w="950"/>
          </w:tcPr>
          <w:p>
            <w:pPr>
              <w:spacing w:after="20"/>
              <w:jc w:val="right"/>
            </w:pPr>
            <w:r>
              <w:rPr>
                <w:color w:val="1C3A36"/>
                <w:sz w:val="15"/>
              </w:rPr>
              <w:t>+0.41</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2.99</w:t>
            </w:r>
          </w:p>
        </w:tc>
        <w:tc>
          <w:tcPr>
            <w:tcW w:type="dxa" w:w="950"/>
          </w:tcPr>
          <w:p>
            <w:pPr>
              <w:spacing w:after="20"/>
              <w:jc w:val="right"/>
            </w:pPr>
            <w:r>
              <w:rPr>
                <w:color w:val="1C3A36"/>
                <w:sz w:val="15"/>
              </w:rPr>
              <w:t>-0.91</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2563"/>
          </w:tcPr>
          <w:p>
            <w:pPr>
              <w:spacing w:after="20"/>
            </w:pPr>
            <w:r>
              <w:rPr>
                <w:color w:val="1C3A36"/>
                <w:sz w:val="15"/>
              </w:rPr>
              <w:t>Half the 22.1-year life the same accounts imply, 11.04 years, which is what has to be assumed where a company does not disclose enough to measure it</w:t>
            </w:r>
          </w:p>
        </w:tc>
        <w:tc>
          <w:tcPr>
            <w:tcW w:type="dxa" w:w="950"/>
          </w:tcPr>
          <w:p>
            <w:pPr>
              <w:spacing w:after="20"/>
              <w:jc w:val="right"/>
            </w:pPr>
            <w:r>
              <w:rPr>
                <w:color w:val="1C3A36"/>
                <w:sz w:val="15"/>
              </w:rPr>
              <w:t>1.73</w:t>
            </w:r>
          </w:p>
        </w:tc>
        <w:tc>
          <w:tcPr>
            <w:tcW w:type="dxa" w:w="950"/>
          </w:tcPr>
          <w:p>
            <w:pPr>
              <w:spacing w:after="20"/>
              <w:jc w:val="right"/>
            </w:pPr>
            <w:r>
              <w:rPr>
                <w:color w:val="1C3A36"/>
                <w:sz w:val="15"/>
              </w:rPr>
              <w:t>-2.16</w:t>
            </w:r>
          </w:p>
        </w:tc>
        <w:tc>
          <w:tcPr>
            <w:tcW w:type="dxa" w:w="3139"/>
          </w:tcPr>
          <w:p>
            <w:pPr>
              <w:spacing w:after="20"/>
            </w:pPr>
            <w:r>
              <w:rPr>
                <w:color w:val="1C3A36"/>
                <w:sz w:val="15"/>
              </w:rPr>
              <w:t>This is the largest single contested number in the study and it is a question about THIS BASE rather than about method. Half the life is the right assumption for a plant in steady state, where the average asset is half worn out. This one is not: only 1.3% of the base is fully depreciated and still in production, and a second complex is still being built, so the measured age is a quarter of the life rather than half. The measured figure is adopted BECAUSE it is measured, and the assumed one is published beside it so a reader can see what the disclosure is worth. THIS ROW REPLACED THE TERMINAL REINVESTMENT ROW, which priced a return on capital that no longer enters the terminal at all: under the sanctioned construction there is no reinvestment rate to contest, and this module's own gate caught the dead alternative the moment it scored zero.</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3.69</w:t>
            </w:r>
          </w:p>
        </w:tc>
        <w:tc>
          <w:tcPr>
            <w:tcW w:type="dxa" w:w="950"/>
          </w:tcPr>
          <w:p>
            <w:pPr>
              <w:spacing w:after="20"/>
              <w:jc w:val="right"/>
            </w:pPr>
            <w:r>
              <w:rPr>
                <w:color w:val="1C3A36"/>
                <w:sz w:val="15"/>
              </w:rPr>
              <w:t>-0.21</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two that move the answer most are gas (-2.67) and glide (-2.46); none of the 10,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-2.64</w:t>
            </w:r>
          </w:p>
        </w:tc>
        <w:tc>
          <w:tcPr>
            <w:tcW w:type="dxa" w:w="1483"/>
          </w:tcPr>
          <w:p>
            <w:pPr>
              <w:spacing w:after="20"/>
              <w:jc w:val="right"/>
            </w:pPr>
            <w:r>
              <w:rPr>
                <w:color w:val="1C3A36"/>
                <w:sz w:val="17"/>
              </w:rPr>
              <w:t>-0.42</w:t>
            </w:r>
          </w:p>
        </w:tc>
        <w:tc>
          <w:tcPr>
            <w:tcW w:type="dxa" w:w="1483"/>
          </w:tcPr>
          <w:p>
            <w:pPr>
              <w:spacing w:after="20"/>
              <w:jc w:val="right"/>
            </w:pPr>
            <w:r>
              <w:rPr>
                <w:color w:val="1C3A36"/>
                <w:sz w:val="17"/>
              </w:rPr>
              <w:t>1.80</w:t>
            </w:r>
          </w:p>
        </w:tc>
        <w:tc>
          <w:tcPr>
            <w:tcW w:type="dxa" w:w="1483"/>
          </w:tcPr>
          <w:p>
            <w:pPr>
              <w:spacing w:after="20"/>
              <w:jc w:val="right"/>
            </w:pPr>
            <w:r>
              <w:rPr>
                <w:color w:val="1C3A36"/>
                <w:sz w:val="17"/>
              </w:rPr>
              <w:t>4.01</w:t>
            </w:r>
          </w:p>
        </w:tc>
        <w:tc>
          <w:tcPr>
            <w:tcW w:type="dxa" w:w="1483"/>
          </w:tcPr>
          <w:p>
            <w:pPr>
              <w:spacing w:after="20"/>
              <w:jc w:val="right"/>
            </w:pPr>
            <w:r>
              <w:rPr>
                <w:color w:val="1C3A36"/>
                <w:sz w:val="17"/>
              </w:rPr>
              <w:t>6.23</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-2.76</w:t>
            </w:r>
          </w:p>
        </w:tc>
        <w:tc>
          <w:tcPr>
            <w:tcW w:type="dxa" w:w="1483"/>
          </w:tcPr>
          <w:p>
            <w:pPr>
              <w:spacing w:after="20"/>
              <w:jc w:val="right"/>
            </w:pPr>
            <w:r>
              <w:rPr>
                <w:color w:val="1C3A36"/>
                <w:sz w:val="17"/>
              </w:rPr>
              <w:t>-0.72</w:t>
            </w:r>
          </w:p>
        </w:tc>
        <w:tc>
          <w:tcPr>
            <w:tcW w:type="dxa" w:w="1483"/>
          </w:tcPr>
          <w:p>
            <w:pPr>
              <w:spacing w:after="20"/>
              <w:jc w:val="right"/>
            </w:pPr>
            <w:r>
              <w:rPr>
                <w:color w:val="1C3A36"/>
                <w:sz w:val="17"/>
              </w:rPr>
              <w:t>1.32</w:t>
            </w:r>
          </w:p>
        </w:tc>
        <w:tc>
          <w:tcPr>
            <w:tcW w:type="dxa" w:w="1483"/>
          </w:tcPr>
          <w:p>
            <w:pPr>
              <w:spacing w:after="20"/>
              <w:jc w:val="right"/>
            </w:pPr>
            <w:r>
              <w:rPr>
                <w:color w:val="1C3A36"/>
                <w:sz w:val="17"/>
              </w:rPr>
              <w:t>3.36</w:t>
            </w:r>
          </w:p>
        </w:tc>
        <w:tc>
          <w:tcPr>
            <w:tcW w:type="dxa" w:w="1483"/>
          </w:tcPr>
          <w:p>
            <w:pPr>
              <w:spacing w:after="20"/>
              <w:jc w:val="right"/>
            </w:pPr>
            <w:r>
              <w:rPr>
                <w:color w:val="1C3A36"/>
                <w:sz w:val="17"/>
              </w:rPr>
              <w:t>5.40</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-2.87</w:t>
            </w:r>
          </w:p>
        </w:tc>
        <w:tc>
          <w:tcPr>
            <w:tcW w:type="dxa" w:w="1483"/>
          </w:tcPr>
          <w:p>
            <w:pPr>
              <w:spacing w:after="20"/>
              <w:jc w:val="right"/>
            </w:pPr>
            <w:r>
              <w:rPr>
                <w:color w:val="1C3A36"/>
                <w:sz w:val="17"/>
              </w:rPr>
              <w:t>-1.00</w:t>
            </w:r>
          </w:p>
        </w:tc>
        <w:tc>
          <w:tcPr>
            <w:tcW w:type="dxa" w:w="1483"/>
          </w:tcPr>
          <w:p>
            <w:pPr>
              <w:spacing w:after="20"/>
              <w:jc w:val="right"/>
            </w:pPr>
            <w:r>
              <w:rPr>
                <w:color w:val="1C3A36"/>
                <w:sz w:val="17"/>
              </w:rPr>
              <w:t>0.87</w:t>
            </w:r>
          </w:p>
        </w:tc>
        <w:tc>
          <w:tcPr>
            <w:tcW w:type="dxa" w:w="1483"/>
          </w:tcPr>
          <w:p>
            <w:pPr>
              <w:spacing w:after="20"/>
              <w:jc w:val="right"/>
            </w:pPr>
            <w:r>
              <w:rPr>
                <w:color w:val="1C3A36"/>
                <w:sz w:val="17"/>
              </w:rPr>
              <w:t>2.74</w:t>
            </w:r>
          </w:p>
        </w:tc>
        <w:tc>
          <w:tcPr>
            <w:tcW w:type="dxa" w:w="1483"/>
          </w:tcPr>
          <w:p>
            <w:pPr>
              <w:spacing w:after="20"/>
              <w:jc w:val="right"/>
            </w:pPr>
            <w:r>
              <w:rPr>
                <w:color w:val="1C3A36"/>
                <w:sz w:val="17"/>
              </w:rPr>
              <w:t>4.61</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-2.94</w:t>
            </w:r>
          </w:p>
        </w:tc>
        <w:tc>
          <w:tcPr>
            <w:tcW w:type="dxa" w:w="1483"/>
          </w:tcPr>
          <w:p>
            <w:pPr>
              <w:spacing w:after="20"/>
              <w:jc w:val="right"/>
            </w:pPr>
            <w:r>
              <w:rPr>
                <w:color w:val="1C3A36"/>
                <w:sz w:val="17"/>
              </w:rPr>
              <w:t>-1.18</w:t>
            </w:r>
          </w:p>
        </w:tc>
        <w:tc>
          <w:tcPr>
            <w:tcW w:type="dxa" w:w="1483"/>
          </w:tcPr>
          <w:p>
            <w:pPr>
              <w:spacing w:after="20"/>
              <w:jc w:val="right"/>
            </w:pPr>
            <w:r>
              <w:rPr>
                <w:color w:val="1C3A36"/>
                <w:sz w:val="17"/>
              </w:rPr>
              <w:t>0.58</w:t>
            </w:r>
          </w:p>
        </w:tc>
        <w:tc>
          <w:tcPr>
            <w:tcW w:type="dxa" w:w="1483"/>
          </w:tcPr>
          <w:p>
            <w:pPr>
              <w:spacing w:after="20"/>
              <w:jc w:val="right"/>
            </w:pPr>
            <w:r>
              <w:rPr>
                <w:color w:val="1C3A36"/>
                <w:sz w:val="17"/>
              </w:rPr>
              <w:t>2.34</w:t>
            </w:r>
          </w:p>
        </w:tc>
        <w:tc>
          <w:tcPr>
            <w:tcW w:type="dxa" w:w="1483"/>
          </w:tcPr>
          <w:p>
            <w:pPr>
              <w:spacing w:after="20"/>
              <w:jc w:val="right"/>
            </w:pPr>
            <w:r>
              <w:rPr>
                <w:color w:val="1C3A36"/>
                <w:sz w:val="17"/>
              </w:rPr>
              <w:t>4.10</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-3.01</w:t>
            </w:r>
          </w:p>
        </w:tc>
        <w:tc>
          <w:tcPr>
            <w:tcW w:type="dxa" w:w="1483"/>
          </w:tcPr>
          <w:p>
            <w:pPr>
              <w:spacing w:after="20"/>
              <w:jc w:val="right"/>
            </w:pPr>
            <w:r>
              <w:rPr>
                <w:color w:val="1C3A36"/>
                <w:sz w:val="17"/>
              </w:rPr>
              <w:t>-1.36</w:t>
            </w:r>
          </w:p>
        </w:tc>
        <w:tc>
          <w:tcPr>
            <w:tcW w:type="dxa" w:w="1483"/>
          </w:tcPr>
          <w:p>
            <w:pPr>
              <w:spacing w:after="20"/>
              <w:jc w:val="right"/>
            </w:pPr>
            <w:r>
              <w:rPr>
                <w:color w:val="1C3A36"/>
                <w:sz w:val="17"/>
              </w:rPr>
              <w:t>0.29</w:t>
            </w:r>
          </w:p>
        </w:tc>
        <w:tc>
          <w:tcPr>
            <w:tcW w:type="dxa" w:w="1483"/>
          </w:tcPr>
          <w:p>
            <w:pPr>
              <w:spacing w:after="20"/>
              <w:jc w:val="right"/>
            </w:pPr>
            <w:r>
              <w:rPr>
                <w:color w:val="1C3A36"/>
                <w:sz w:val="17"/>
              </w:rPr>
              <w:t>1.94</w:t>
            </w:r>
          </w:p>
        </w:tc>
        <w:tc>
          <w:tcPr>
            <w:tcW w:type="dxa" w:w="1483"/>
          </w:tcPr>
          <w:p>
            <w:pPr>
              <w:spacing w:after="20"/>
              <w:jc w:val="right"/>
            </w:pPr>
            <w:r>
              <w:rPr>
                <w:color w:val="1C3A36"/>
                <w:sz w:val="17"/>
              </w:rPr>
              <w:t>3.59</w:t>
            </w:r>
          </w:p>
        </w:tc>
      </w:tr>
    </w:tbl>
    <w:p>
      <w:pPr>
        <w:spacing w:after="40"/>
      </w:pPr>
    </w:p>
    <w:p>
      <w:pPr>
        <w:spacing w:after="200" w:before="0"/>
      </w:pPr>
      <w:r>
        <w:rPr>
          <w:b w:val="0"/>
          <w:i/>
          <w:color w:val="6E7B77"/>
          <w:sz w:val="17"/>
        </w:rPr>
        <w:t>Table 19.  The highest cell in the grid is EGP 6.23, at a long-run export price above today's spot and a terminal rate below the sovereign's own short-term yield. Reaching EGP 14.41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-2.87 to 4.61</w:t>
            </w:r>
          </w:p>
        </w:tc>
        <w:tc>
          <w:tcPr>
            <w:tcW w:type="dxa" w:w="1152"/>
            <w:shd w:val="clear" w:color="auto" w:fill="F6F1E6"/>
          </w:tcPr>
          <w:p>
            <w:pPr>
              <w:spacing w:after="20"/>
              <w:jc w:val="right"/>
            </w:pPr>
            <w:r>
              <w:rPr>
                <w:b/>
                <w:color w:val="1C3A36"/>
                <w:sz w:val="16"/>
              </w:rPr>
              <w:t>7.48</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3.90 to 7.88</w:t>
            </w:r>
          </w:p>
        </w:tc>
        <w:tc>
          <w:tcPr>
            <w:tcW w:type="dxa" w:w="1152"/>
          </w:tcPr>
          <w:p>
            <w:pPr>
              <w:spacing w:after="20"/>
              <w:jc w:val="right"/>
            </w:pPr>
            <w:r>
              <w:rPr>
                <w:color w:val="1C3A36"/>
                <w:sz w:val="16"/>
              </w:rPr>
              <w:t>3.98</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1.23 to 3.90</w:t>
            </w:r>
          </w:p>
        </w:tc>
        <w:tc>
          <w:tcPr>
            <w:tcW w:type="dxa" w:w="1152"/>
          </w:tcPr>
          <w:p>
            <w:pPr>
              <w:spacing w:after="20"/>
              <w:jc w:val="right"/>
            </w:pPr>
            <w:r>
              <w:rPr>
                <w:color w:val="1C3A36"/>
                <w:sz w:val="16"/>
              </w:rPr>
              <w:t>2.67</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1.030 against the lower bound of its own ninety-per-cent interval, 0.717</w:t>
            </w:r>
          </w:p>
        </w:tc>
        <w:tc>
          <w:tcPr>
            <w:tcW w:type="dxa" w:w="2160"/>
          </w:tcPr>
          <w:p>
            <w:pPr>
              <w:spacing w:after="20"/>
              <w:jc w:val="right"/>
            </w:pPr>
            <w:r>
              <w:rPr>
                <w:color w:val="1C3A36"/>
                <w:sz w:val="16"/>
              </w:rPr>
              <w:t>3.90 to 5.57</w:t>
            </w:r>
          </w:p>
        </w:tc>
        <w:tc>
          <w:tcPr>
            <w:tcW w:type="dxa" w:w="1152"/>
          </w:tcPr>
          <w:p>
            <w:pPr>
              <w:spacing w:after="20"/>
              <w:jc w:val="right"/>
            </w:pPr>
            <w:r>
              <w:rPr>
                <w:color w:val="1C3A36"/>
                <w:sz w:val="16"/>
              </w:rPr>
              <w:t>1.67</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7.0% against 3.0%</w:t>
            </w:r>
          </w:p>
        </w:tc>
        <w:tc>
          <w:tcPr>
            <w:tcW w:type="dxa" w:w="2160"/>
          </w:tcPr>
          <w:p>
            <w:pPr>
              <w:spacing w:after="20"/>
              <w:jc w:val="right"/>
            </w:pPr>
            <w:r>
              <w:rPr>
                <w:color w:val="1C3A36"/>
                <w:sz w:val="16"/>
              </w:rPr>
              <w:t>2.37 to 3.90</w:t>
            </w:r>
          </w:p>
        </w:tc>
        <w:tc>
          <w:tcPr>
            <w:tcW w:type="dxa" w:w="1152"/>
          </w:tcPr>
          <w:p>
            <w:pPr>
              <w:spacing w:after="20"/>
              <w:jc w:val="right"/>
            </w:pPr>
            <w:r>
              <w:rPr>
                <w:color w:val="1C3A36"/>
                <w:sz w:val="16"/>
              </w:rPr>
              <w:t>1.53</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0.29 to 1.80</w:t>
            </w:r>
          </w:p>
        </w:tc>
        <w:tc>
          <w:tcPr>
            <w:tcW w:type="dxa" w:w="1152"/>
          </w:tcPr>
          <w:p>
            <w:pPr>
              <w:spacing w:after="20"/>
              <w:jc w:val="right"/>
            </w:pPr>
            <w:r>
              <w:rPr>
                <w:color w:val="1C3A36"/>
                <w:sz w:val="16"/>
              </w:rPr>
              <w:t>1.51</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2.42 to 3.90</w:t>
            </w:r>
          </w:p>
        </w:tc>
        <w:tc>
          <w:tcPr>
            <w:tcW w:type="dxa" w:w="1152"/>
          </w:tcPr>
          <w:p>
            <w:pPr>
              <w:spacing w:after="20"/>
              <w:jc w:val="right"/>
            </w:pPr>
            <w:r>
              <w:rPr>
                <w:color w:val="1C3A36"/>
                <w:sz w:val="16"/>
              </w:rPr>
              <w:t>1.47</w:t>
            </w:r>
          </w:p>
        </w:tc>
      </w:tr>
      <w:tr>
        <w:trPr>
          <w:cantSplit/>
        </w:trPr>
        <w:tc>
          <w:tcPr>
            <w:tcW w:type="dxa" w:w="2736"/>
          </w:tcPr>
          <w:p>
            <w:pPr>
              <w:spacing w:after="20"/>
            </w:pPr>
            <w:r>
              <w:rPr>
                <w:color w:val="1C3A36"/>
                <w:sz w:val="16"/>
              </w:rPr>
              <w:t>Cost of debt</w:t>
            </w:r>
          </w:p>
        </w:tc>
        <w:tc>
          <w:tcPr>
            <w:tcW w:type="dxa" w:w="3384"/>
          </w:tcPr>
          <w:p>
            <w:pPr>
              <w:spacing w:after="20"/>
            </w:pPr>
            <w:r>
              <w:rPr>
                <w:color w:val="1C3A36"/>
                <w:sz w:val="16"/>
              </w:rPr>
              <w:t>Disclosed rates against every leg floored at the 23.00% sovereign yield</w:t>
            </w:r>
          </w:p>
        </w:tc>
        <w:tc>
          <w:tcPr>
            <w:tcW w:type="dxa" w:w="2160"/>
          </w:tcPr>
          <w:p>
            <w:pPr>
              <w:spacing w:after="20"/>
              <w:jc w:val="right"/>
            </w:pPr>
            <w:r>
              <w:rPr>
                <w:color w:val="1C3A36"/>
                <w:sz w:val="16"/>
              </w:rPr>
              <w:t>2.80 to 3.90</w:t>
            </w:r>
          </w:p>
        </w:tc>
        <w:tc>
          <w:tcPr>
            <w:tcW w:type="dxa" w:w="1152"/>
          </w:tcPr>
          <w:p>
            <w:pPr>
              <w:spacing w:after="20"/>
              <w:jc w:val="right"/>
            </w:pPr>
            <w:r>
              <w:rPr>
                <w:color w:val="1C3A36"/>
                <w:sz w:val="16"/>
              </w:rPr>
              <w:t>1.10</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2.99 to 3.90</w:t>
            </w:r>
          </w:p>
        </w:tc>
        <w:tc>
          <w:tcPr>
            <w:tcW w:type="dxa" w:w="1152"/>
          </w:tcPr>
          <w:p>
            <w:pPr>
              <w:spacing w:after="20"/>
              <w:jc w:val="right"/>
            </w:pPr>
            <w:r>
              <w:rPr>
                <w:color w:val="1C3A36"/>
                <w:sz w:val="16"/>
              </w:rPr>
              <w:t>0.91</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3.90 to 4.31</w:t>
            </w:r>
          </w:p>
        </w:tc>
        <w:tc>
          <w:tcPr>
            <w:tcW w:type="dxa" w:w="1152"/>
          </w:tcPr>
          <w:p>
            <w:pPr>
              <w:spacing w:after="20"/>
              <w:jc w:val="right"/>
            </w:pPr>
            <w:r>
              <w:rPr>
                <w:color w:val="1C3A36"/>
                <w:sz w:val="16"/>
              </w:rPr>
              <w:t>0.41</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1.030, from 253 weekly observations over 4.9 years of the share against the published EGX30 index — the index of the exchange the share is listed on, as of 2026-07-22 — on the exchange's own Sunday-to-Thursday week. The regression explains 25.0% of the variation with a standard error of 0.191, so all three conditions of the usability test are met and the estimate is adopted rather than defaulted; the Blume-adjusted cross-check is 1.020. The interval is wide, 0.72 to 1.34 at ninety per cent, because the share is thinly traded, and the lower bound is priced with the other contested constructions in section 1.8 rather than argued away: at 0.72 the answer is EGP 5.57 instead of EGP 3.90. The earlier edition of this study regressed the share against an equal-weight basket of the Egyptian names this series happens to cover; that basket is a coverage artefact and not a market, and the figure it produced (1.053) is withdrawn.</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 That anchor is the last session in the price history this map was simulated from, and it is EARLIER than the 2026-09-03 close of EGP 14.41 the valuation is struck against: the two run on different clocks and a fresh price moves the valuation without re-running the simulation. Read every percentile below against EGP 13.98, not against the price on the masthead.</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12.04</w:t>
            </w:r>
          </w:p>
        </w:tc>
        <w:tc>
          <w:tcPr>
            <w:tcW w:type="dxa" w:w="3240"/>
          </w:tcPr>
          <w:p>
            <w:pPr>
              <w:spacing w:after="20"/>
              <w:jc w:val="right"/>
            </w:pPr>
            <w:r>
              <w:rPr>
                <w:color w:val="1C3A36"/>
                <w:sz w:val="17"/>
              </w:rPr>
              <w:t>10.69</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13.35</w:t>
            </w:r>
          </w:p>
        </w:tc>
        <w:tc>
          <w:tcPr>
            <w:tcW w:type="dxa" w:w="3240"/>
          </w:tcPr>
          <w:p>
            <w:pPr>
              <w:spacing w:after="20"/>
              <w:jc w:val="right"/>
            </w:pPr>
            <w:r>
              <w:rPr>
                <w:color w:val="1C3A36"/>
                <w:sz w:val="17"/>
              </w:rPr>
              <w:t>13.03</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14.19</w:t>
            </w:r>
          </w:p>
        </w:tc>
        <w:tc>
          <w:tcPr>
            <w:tcW w:type="dxa" w:w="3240"/>
          </w:tcPr>
          <w:p>
            <w:pPr>
              <w:spacing w:after="20"/>
              <w:jc w:val="right"/>
            </w:pPr>
            <w:r>
              <w:rPr>
                <w:color w:val="1C3A36"/>
                <w:sz w:val="17"/>
              </w:rPr>
              <w:t>14.64</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15.09</w:t>
            </w:r>
          </w:p>
        </w:tc>
        <w:tc>
          <w:tcPr>
            <w:tcW w:type="dxa" w:w="3240"/>
          </w:tcPr>
          <w:p>
            <w:pPr>
              <w:spacing w:after="20"/>
              <w:jc w:val="right"/>
            </w:pPr>
            <w:r>
              <w:rPr>
                <w:color w:val="1C3A36"/>
                <w:sz w:val="17"/>
              </w:rPr>
              <w:t>16.43</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16.73</w:t>
            </w:r>
          </w:p>
        </w:tc>
        <w:tc>
          <w:tcPr>
            <w:tcW w:type="dxa" w:w="3240"/>
          </w:tcPr>
          <w:p>
            <w:pPr>
              <w:spacing w:after="20"/>
              <w:jc w:val="right"/>
            </w:pPr>
            <w:r>
              <w:rPr>
                <w:color w:val="1C3A36"/>
                <w:sz w:val="17"/>
              </w:rPr>
              <w:t>20.04</w:t>
            </w:r>
          </w:p>
        </w:tc>
      </w:tr>
      <w:tr>
        <w:trPr>
          <w:cantSplit/>
        </w:trPr>
        <w:tc>
          <w:tcPr>
            <w:tcW w:type="dxa" w:w="3456"/>
            <w:shd w:val="clear" w:color="auto" w:fill="F6F1E6"/>
          </w:tcPr>
          <w:p>
            <w:pPr>
              <w:spacing w:after="20"/>
            </w:pPr>
            <w:r>
              <w:rPr>
                <w:b/>
                <w:color w:val="1C3A36"/>
                <w:sz w:val="17"/>
              </w:rPr>
              <w:t>Probability the price ends above EGP 13.98, the close it was struck at on 2026-08-06</w:t>
            </w:r>
          </w:p>
        </w:tc>
        <w:tc>
          <w:tcPr>
            <w:tcW w:type="dxa" w:w="3240"/>
            <w:shd w:val="clear" w:color="auto" w:fill="F6F1E6"/>
          </w:tcPr>
          <w:p>
            <w:pPr>
              <w:spacing w:after="20"/>
              <w:jc w:val="right"/>
            </w:pPr>
            <w:r>
              <w:rPr>
                <w:b/>
                <w:color w:val="1C3A36"/>
                <w:sz w:val="17"/>
              </w:rPr>
              <w:t>56.7%</w:t>
            </w:r>
          </w:p>
        </w:tc>
        <w:tc>
          <w:tcPr>
            <w:tcW w:type="dxa" w:w="3240"/>
            <w:shd w:val="clear" w:color="auto" w:fill="F6F1E6"/>
          </w:tcPr>
          <w:p>
            <w:pPr>
              <w:spacing w:after="20"/>
              <w:jc w:val="right"/>
            </w:pPr>
            <w:r>
              <w:rPr>
                <w:b/>
                <w:color w:val="1C3A36"/>
                <w:sz w:val="17"/>
              </w:rPr>
              <w:t>60.7%</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 THE ANCHOR IS NOT THE VALUATION PRICE: the cone is struck on the price history and the valuation on the latest close, and they are a month apart here — two clocks, both dated, never mixed.</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56.1%</w:t>
            </w:r>
          </w:p>
        </w:tc>
        <w:tc>
          <w:tcPr>
            <w:tcW w:type="dxa" w:w="3240"/>
          </w:tcPr>
          <w:p>
            <w:pPr>
              <w:spacing w:after="20"/>
              <w:jc w:val="right"/>
            </w:pPr>
            <w:r>
              <w:rPr>
                <w:color w:val="1C3A36"/>
                <w:sz w:val="17"/>
              </w:rPr>
              <w:t>78.7%</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61.7%</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14.8%</w:t>
            </w:r>
          </w:p>
        </w:tc>
        <w:tc>
          <w:tcPr>
            <w:tcW w:type="dxa" w:w="3240"/>
          </w:tcPr>
          <w:p>
            <w:pPr>
              <w:spacing w:after="20"/>
              <w:jc w:val="right"/>
            </w:pPr>
            <w:r>
              <w:rPr>
                <w:color w:val="1C3A36"/>
                <w:sz w:val="17"/>
              </w:rPr>
              <w:t>47.1%</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7.3%</w:t>
            </w:r>
          </w:p>
        </w:tc>
        <w:tc>
          <w:tcPr>
            <w:tcW w:type="dxa" w:w="3240"/>
          </w:tcPr>
          <w:p>
            <w:pPr>
              <w:spacing w:after="20"/>
              <w:jc w:val="right"/>
            </w:pPr>
            <w:r>
              <w:rPr>
                <w:color w:val="1C3A36"/>
                <w:sz w:val="17"/>
              </w:rPr>
              <w:t>34.7%</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43.6%</w:t>
            </w:r>
          </w:p>
        </w:tc>
        <w:tc>
          <w:tcPr>
            <w:tcW w:type="dxa" w:w="3240"/>
          </w:tcPr>
          <w:p>
            <w:pPr>
              <w:spacing w:after="20"/>
              <w:jc w:val="right"/>
            </w:pPr>
            <w:r>
              <w:rPr>
                <w:color w:val="1C3A36"/>
                <w:sz w:val="17"/>
              </w:rPr>
              <w:t>63.4%</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18.3%</w:t>
            </w:r>
          </w:p>
        </w:tc>
        <w:tc>
          <w:tcPr>
            <w:tcW w:type="dxa" w:w="3240"/>
          </w:tcPr>
          <w:p>
            <w:pPr>
              <w:spacing w:after="20"/>
              <w:jc w:val="right"/>
            </w:pPr>
            <w:r>
              <w:rPr>
                <w:color w:val="1C3A36"/>
                <w:sz w:val="17"/>
              </w:rPr>
              <w:t>40.8%</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6.9%</w:t>
            </w:r>
          </w:p>
        </w:tc>
        <w:tc>
          <w:tcPr>
            <w:tcW w:type="dxa" w:w="3240"/>
          </w:tcPr>
          <w:p>
            <w:pPr>
              <w:spacing w:after="20"/>
              <w:jc w:val="right"/>
            </w:pPr>
            <w:r>
              <w:rPr>
                <w:color w:val="1C3A36"/>
                <w:sz w:val="17"/>
              </w:rPr>
              <w:t>24.9%</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2.6%</w:t>
            </w:r>
          </w:p>
        </w:tc>
        <w:tc>
          <w:tcPr>
            <w:tcW w:type="dxa" w:w="3240"/>
          </w:tcPr>
          <w:p>
            <w:pPr>
              <w:spacing w:after="20"/>
              <w:jc w:val="right"/>
            </w:pPr>
            <w:r>
              <w:rPr>
                <w:color w:val="1C3A36"/>
                <w:sz w:val="17"/>
              </w:rPr>
              <w:t>14.5%</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has done, in plain terms. Over 57 resolved three-month forecasts on this share the price finished inside the ninety-per-cent band 94.7% of the time, inside the eighty-per-cent band 87.7% and inside the fifty-per-cent band 56.1% — against the ninety, eighty and fifty they promise. The record earns no flag either way. By the count ladder this house uses it is a long record, and the ninety-per-cent band ran 1.45 times the width of a naive band anchored on the carry alone — a width disclosed beside the record and never used as a threshold, because a wider band is not automatically a wrong one.</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3.90</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7.88</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3.98</w:t>
            </w:r>
          </w:p>
        </w:tc>
      </w:tr>
      <w:tr>
        <w:trPr>
          <w:cantSplit/>
        </w:trPr>
        <w:tc>
          <w:tcPr>
            <w:tcW w:type="dxa" w:w="2448"/>
          </w:tcPr>
          <w:p>
            <w:pPr>
              <w:spacing w:after="20"/>
            </w:pPr>
            <w:r>
              <w:rPr>
                <w:color w:val="1C3A36"/>
                <w:sz w:val="16"/>
              </w:rPr>
              <w:t>Book value — the disclosed floor</w:t>
            </w:r>
          </w:p>
        </w:tc>
        <w:tc>
          <w:tcPr>
            <w:tcW w:type="dxa" w:w="1224"/>
          </w:tcPr>
          <w:p>
            <w:pPr>
              <w:spacing w:after="20"/>
              <w:jc w:val="right"/>
            </w:pPr>
            <w:r>
              <w:rPr>
                <w:color w:val="1C3A36"/>
                <w:sz w:val="16"/>
              </w:rPr>
              <w:t>8.16</w:t>
            </w:r>
          </w:p>
        </w:tc>
        <w:tc>
          <w:tcPr>
            <w:tcW w:type="dxa" w:w="3456"/>
          </w:tcPr>
          <w:p>
            <w:pPr>
              <w:spacing w:after="20"/>
            </w:pPr>
            <w:r>
              <w:rPr>
                <w:color w:val="1C3A36"/>
                <w:sz w:val="16"/>
              </w:rPr>
              <w:t>Shareholders' funds per share as filed. Not a valuation and never weighted into one</w:t>
            </w:r>
          </w:p>
        </w:tc>
        <w:tc>
          <w:tcPr>
            <w:tcW w:type="dxa" w:w="2952"/>
          </w:tcPr>
          <w:p>
            <w:pPr>
              <w:spacing w:after="20"/>
            </w:pPr>
            <w:r>
              <w:rPr>
                <w:color w:val="1C3A36"/>
                <w:sz w:val="16"/>
              </w:rPr>
              <w:t>On the return this book actually earns (6.9% against a cost of equity of 29.28%) the justified multiple of it is zero — the floor is what the assets are carried at, not what they earn</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15.99</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4.29</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15.99 should be read as what the shares would be worth if the programme were free — which it is not. The multiple lens does reach EGP 14.41,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13.0%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13.03</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13.03 to 16.43</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16.43 to 20.04</w:t>
            </w:r>
          </w:p>
        </w:tc>
        <w:tc>
          <w:tcPr>
            <w:tcW w:type="dxa" w:w="5256"/>
          </w:tcPr>
          <w:p>
            <w:pPr>
              <w:spacing w:after="20"/>
            </w:pPr>
            <w:r>
              <w:rPr>
                <w:color w:val="1C3A36"/>
                <w:sz w:val="16"/>
              </w:rPr>
              <w:t>The market would be paying more for a business whose sustainable return on equity is 6.9% against a cost of equity of 31.0%,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20.04</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14.5% chance of touching twenty per cent below today's price at some point in three months, against 34.7%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2.67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0.34 a share on its own. The replacement-rate framing at 6.1% is published beside it as the downside rather than averaged in.</w:t>
      </w:r>
    </w:p>
    <w:p>
      <w:pPr>
        <w:spacing w:after="120" w:before="0"/>
      </w:pPr>
      <w:r>
        <w:rPr>
          <w:b w:val="0"/>
          <w:i w:val="0"/>
          <w:color w:val="1C3A36"/>
          <w:sz w:val="21"/>
        </w:rPr>
        <w:t>The terminal charge for keeping the plant intact is the largest single judgement left in the model, and it is now a measurement rather than an assumption. Earlier editions charged the terminal by reinvesting a share of profit set by growth over an assumed return on capital — a construction that, read as a capital programme, rebuilds the entire asset base every 14.3 years, which is a fact about the pound rather than about a urea plant. It now charges what replacing the plant costs at today's prices: the book depreciation charge escalated over the average age of the base. THAT AGE IS READ OFF THE ACCOUNTS rather than assumed — accumulated depreciation over the year's own charge is the charge-weighted average age under straight-line depreciation, and it comes to 4.45 years against the 22.07-year replacement cycle the same note implies. This base is a quarter worn rather than half: only EGP 220 million of it, 1.3% of the depreciable cost, is fully depreciated and still in production. Where a company discloses too little to measure the age, half the life has to be assumed instead, and on this base that assumption is worth EGP 2.16 a share — the largest of the priced alternatives, and the reason the measurement was worth making.</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73.0% of enterprise value on the carried-through case and 50.4% on the stopped case. The explicit years are a construction window: free cash flow to the firm is positive in 5 of the five years and negative in the other 0, and their present value is EGP 3,837 million against a terminal block of EGP 10,398 million. That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The method itself has been tested on this company's own history before being trusted on its future. Rebuilt as it would have stood at each of 13 year-ends from June 2012 to June 2024 and projected one to five years ahead — 55 tested cases over eighteen fiscal years of the company's own audited statements — it forecast revenue and cost of sales better than simply assuming no change, and it did NOT forecast net profit better than assuming no change: on the profit line its average miss was 1.6 times the miss of carrying last year's figure forward, and it came in below the outturn in 73.9% of cases. Two lines account for most of that. The company capitalises the currency translation of its dollar project loans into the plant rather than charging it to profit, so a mechanical currency charge on the debt overstated the loss in every devaluation year; and a statutory-rate tax formula cannot see a company that has paid almost no current tax since the new complex started. No correction factor was adopted from that record: every one that passed its own test made the following year worse. What it changed in this edition is stated in the terminal-rate discussion above and in the currency path, and years three to five of the forecast are published in Appendix A as ranges built from the record's own error distribution rather than as points.</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11,674</w:t>
            </w:r>
          </w:p>
        </w:tc>
        <w:tc>
          <w:tcPr>
            <w:tcW w:type="dxa" w:w="893"/>
          </w:tcPr>
          <w:p>
            <w:pPr>
              <w:spacing w:after="20"/>
              <w:jc w:val="right"/>
            </w:pPr>
            <w:r>
              <w:rPr>
                <w:color w:val="1C3A36"/>
                <w:sz w:val="14"/>
              </w:rPr>
              <w:t>12,693</w:t>
            </w:r>
          </w:p>
        </w:tc>
        <w:tc>
          <w:tcPr>
            <w:tcW w:type="dxa" w:w="893"/>
          </w:tcPr>
          <w:p>
            <w:pPr>
              <w:spacing w:after="20"/>
              <w:jc w:val="right"/>
            </w:pPr>
            <w:r>
              <w:rPr>
                <w:color w:val="1C3A36"/>
                <w:sz w:val="14"/>
              </w:rPr>
              <w:t>13,513</w:t>
            </w:r>
          </w:p>
        </w:tc>
        <w:tc>
          <w:tcPr>
            <w:tcW w:type="dxa" w:w="893"/>
          </w:tcPr>
          <w:p>
            <w:pPr>
              <w:spacing w:after="20"/>
              <w:jc w:val="right"/>
            </w:pPr>
            <w:r>
              <w:rPr>
                <w:color w:val="1C3A36"/>
                <w:sz w:val="14"/>
              </w:rPr>
              <w:t>14,277</w:t>
            </w:r>
          </w:p>
        </w:tc>
        <w:tc>
          <w:tcPr>
            <w:tcW w:type="dxa" w:w="893"/>
          </w:tcPr>
          <w:p>
            <w:pPr>
              <w:spacing w:after="20"/>
              <w:jc w:val="right"/>
            </w:pPr>
            <w:r>
              <w:rPr>
                <w:color w:val="1C3A36"/>
                <w:sz w:val="14"/>
              </w:rPr>
              <w:t>15,043</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6,337</w:t>
            </w:r>
          </w:p>
        </w:tc>
        <w:tc>
          <w:tcPr>
            <w:tcW w:type="dxa" w:w="893"/>
          </w:tcPr>
          <w:p>
            <w:pPr>
              <w:spacing w:after="20"/>
              <w:jc w:val="right"/>
            </w:pPr>
            <w:r>
              <w:rPr>
                <w:color w:val="1C3A36"/>
                <w:sz w:val="14"/>
              </w:rPr>
              <w:t>6,982</w:t>
            </w:r>
          </w:p>
        </w:tc>
        <w:tc>
          <w:tcPr>
            <w:tcW w:type="dxa" w:w="893"/>
          </w:tcPr>
          <w:p>
            <w:pPr>
              <w:spacing w:after="20"/>
              <w:jc w:val="right"/>
            </w:pPr>
            <w:r>
              <w:rPr>
                <w:color w:val="1C3A36"/>
                <w:sz w:val="14"/>
              </w:rPr>
              <w:t>7,558</w:t>
            </w:r>
          </w:p>
        </w:tc>
        <w:tc>
          <w:tcPr>
            <w:tcW w:type="dxa" w:w="893"/>
          </w:tcPr>
          <w:p>
            <w:pPr>
              <w:spacing w:after="20"/>
              <w:jc w:val="right"/>
            </w:pPr>
            <w:r>
              <w:rPr>
                <w:color w:val="1C3A36"/>
                <w:sz w:val="14"/>
              </w:rPr>
              <w:t>8,118</w:t>
            </w:r>
          </w:p>
        </w:tc>
        <w:tc>
          <w:tcPr>
            <w:tcW w:type="dxa" w:w="893"/>
          </w:tcPr>
          <w:p>
            <w:pPr>
              <w:spacing w:after="20"/>
              <w:jc w:val="right"/>
            </w:pPr>
            <w:r>
              <w:rPr>
                <w:color w:val="1C3A36"/>
                <w:sz w:val="14"/>
              </w:rPr>
              <w:t>8,683</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5,337</w:t>
            </w:r>
          </w:p>
        </w:tc>
        <w:tc>
          <w:tcPr>
            <w:tcW w:type="dxa" w:w="893"/>
            <w:shd w:val="clear" w:color="auto" w:fill="F6F1E6"/>
          </w:tcPr>
          <w:p>
            <w:pPr>
              <w:spacing w:after="20"/>
              <w:jc w:val="right"/>
            </w:pPr>
            <w:r>
              <w:rPr>
                <w:b/>
                <w:color w:val="1C3A36"/>
                <w:sz w:val="14"/>
              </w:rPr>
              <w:t>5,711</w:t>
            </w:r>
          </w:p>
        </w:tc>
        <w:tc>
          <w:tcPr>
            <w:tcW w:type="dxa" w:w="893"/>
            <w:shd w:val="clear" w:color="auto" w:fill="F6F1E6"/>
          </w:tcPr>
          <w:p>
            <w:pPr>
              <w:spacing w:after="20"/>
              <w:jc w:val="right"/>
            </w:pPr>
            <w:r>
              <w:rPr>
                <w:b/>
                <w:color w:val="1C3A36"/>
                <w:sz w:val="14"/>
              </w:rPr>
              <w:t>5,955</w:t>
            </w:r>
          </w:p>
        </w:tc>
        <w:tc>
          <w:tcPr>
            <w:tcW w:type="dxa" w:w="893"/>
            <w:shd w:val="clear" w:color="auto" w:fill="F6F1E6"/>
          </w:tcPr>
          <w:p>
            <w:pPr>
              <w:spacing w:after="20"/>
              <w:jc w:val="right"/>
            </w:pPr>
            <w:r>
              <w:rPr>
                <w:b/>
                <w:color w:val="1C3A36"/>
                <w:sz w:val="14"/>
              </w:rPr>
              <w:t>6,160</w:t>
            </w:r>
          </w:p>
        </w:tc>
        <w:tc>
          <w:tcPr>
            <w:tcW w:type="dxa" w:w="893"/>
            <w:shd w:val="clear" w:color="auto" w:fill="F6F1E6"/>
          </w:tcPr>
          <w:p>
            <w:pPr>
              <w:spacing w:after="20"/>
              <w:jc w:val="right"/>
            </w:pPr>
            <w:r>
              <w:rPr>
                <w:b/>
                <w:color w:val="1C3A36"/>
                <w:sz w:val="14"/>
              </w:rPr>
              <w:t>6,360</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856</w:t>
            </w:r>
          </w:p>
        </w:tc>
        <w:tc>
          <w:tcPr>
            <w:tcW w:type="dxa" w:w="893"/>
          </w:tcPr>
          <w:p>
            <w:pPr>
              <w:spacing w:after="20"/>
              <w:jc w:val="right"/>
            </w:pPr>
            <w:r>
              <w:rPr>
                <w:color w:val="1C3A36"/>
                <w:sz w:val="14"/>
              </w:rPr>
              <w:t>944</w:t>
            </w:r>
          </w:p>
        </w:tc>
        <w:tc>
          <w:tcPr>
            <w:tcW w:type="dxa" w:w="893"/>
          </w:tcPr>
          <w:p>
            <w:pPr>
              <w:spacing w:after="20"/>
              <w:jc w:val="right"/>
            </w:pPr>
            <w:r>
              <w:rPr>
                <w:color w:val="1C3A36"/>
                <w:sz w:val="14"/>
              </w:rPr>
              <w:t>1,019</w:t>
            </w:r>
          </w:p>
        </w:tc>
        <w:tc>
          <w:tcPr>
            <w:tcW w:type="dxa" w:w="893"/>
          </w:tcPr>
          <w:p>
            <w:pPr>
              <w:spacing w:after="20"/>
              <w:jc w:val="right"/>
            </w:pPr>
            <w:r>
              <w:rPr>
                <w:color w:val="1C3A36"/>
                <w:sz w:val="14"/>
              </w:rPr>
              <w:t>1,090</w:t>
            </w:r>
          </w:p>
        </w:tc>
        <w:tc>
          <w:tcPr>
            <w:tcW w:type="dxa" w:w="893"/>
          </w:tcPr>
          <w:p>
            <w:pPr>
              <w:spacing w:after="20"/>
              <w:jc w:val="right"/>
            </w:pPr>
            <w:r>
              <w:rPr>
                <w:color w:val="1C3A36"/>
                <w:sz w:val="14"/>
              </w:rPr>
              <w:t>1,164</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453</w:t>
            </w:r>
          </w:p>
        </w:tc>
        <w:tc>
          <w:tcPr>
            <w:tcW w:type="dxa" w:w="893"/>
          </w:tcPr>
          <w:p>
            <w:pPr>
              <w:spacing w:after="20"/>
              <w:jc w:val="right"/>
            </w:pPr>
            <w:r>
              <w:rPr>
                <w:color w:val="1C3A36"/>
                <w:sz w:val="14"/>
              </w:rPr>
              <w:t>490</w:t>
            </w:r>
          </w:p>
        </w:tc>
        <w:tc>
          <w:tcPr>
            <w:tcW w:type="dxa" w:w="893"/>
          </w:tcPr>
          <w:p>
            <w:pPr>
              <w:spacing w:after="20"/>
              <w:jc w:val="right"/>
            </w:pPr>
            <w:r>
              <w:rPr>
                <w:color w:val="1C3A36"/>
                <w:sz w:val="14"/>
              </w:rPr>
              <w:t>526</w:t>
            </w:r>
          </w:p>
        </w:tc>
        <w:tc>
          <w:tcPr>
            <w:tcW w:type="dxa" w:w="893"/>
          </w:tcPr>
          <w:p>
            <w:pPr>
              <w:spacing w:after="20"/>
              <w:jc w:val="right"/>
            </w:pPr>
            <w:r>
              <w:rPr>
                <w:color w:val="1C3A36"/>
                <w:sz w:val="14"/>
              </w:rPr>
              <w:t>563</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3,921</w:t>
            </w:r>
          </w:p>
        </w:tc>
        <w:tc>
          <w:tcPr>
            <w:tcW w:type="dxa" w:w="893"/>
            <w:shd w:val="clear" w:color="auto" w:fill="F6F1E6"/>
          </w:tcPr>
          <w:p>
            <w:pPr>
              <w:spacing w:after="20"/>
              <w:jc w:val="right"/>
            </w:pPr>
            <w:r>
              <w:rPr>
                <w:b/>
                <w:color w:val="1C3A36"/>
                <w:sz w:val="14"/>
              </w:rPr>
              <w:t>4,194</w:t>
            </w:r>
          </w:p>
        </w:tc>
        <w:tc>
          <w:tcPr>
            <w:tcW w:type="dxa" w:w="893"/>
            <w:shd w:val="clear" w:color="auto" w:fill="F6F1E6"/>
          </w:tcPr>
          <w:p>
            <w:pPr>
              <w:spacing w:after="20"/>
              <w:jc w:val="right"/>
            </w:pPr>
            <w:r>
              <w:rPr>
                <w:b/>
                <w:color w:val="1C3A36"/>
                <w:sz w:val="14"/>
              </w:rPr>
              <w:t>4,346</w:t>
            </w:r>
          </w:p>
        </w:tc>
        <w:tc>
          <w:tcPr>
            <w:tcW w:type="dxa" w:w="893"/>
            <w:shd w:val="clear" w:color="auto" w:fill="F6F1E6"/>
          </w:tcPr>
          <w:p>
            <w:pPr>
              <w:spacing w:after="20"/>
              <w:jc w:val="right"/>
            </w:pPr>
            <w:r>
              <w:rPr>
                <w:b/>
                <w:color w:val="1C3A36"/>
                <w:sz w:val="14"/>
              </w:rPr>
              <w:t>4,453</w:t>
            </w:r>
          </w:p>
        </w:tc>
        <w:tc>
          <w:tcPr>
            <w:tcW w:type="dxa" w:w="893"/>
            <w:shd w:val="clear" w:color="auto" w:fill="F6F1E6"/>
          </w:tcPr>
          <w:p>
            <w:pPr>
              <w:spacing w:after="20"/>
              <w:jc w:val="right"/>
            </w:pPr>
            <w:r>
              <w:rPr>
                <w:b/>
                <w:color w:val="1C3A36"/>
                <w:sz w:val="14"/>
              </w:rPr>
              <w:t>4,553</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4,812</w:t>
            </w:r>
          </w:p>
        </w:tc>
        <w:tc>
          <w:tcPr>
            <w:tcW w:type="dxa" w:w="893"/>
            <w:shd w:val="clear" w:color="auto" w:fill="F6F1E6"/>
          </w:tcPr>
          <w:p>
            <w:pPr>
              <w:spacing w:after="20"/>
              <w:jc w:val="right"/>
            </w:pPr>
            <w:r>
              <w:rPr>
                <w:b/>
                <w:color w:val="1C3A36"/>
                <w:sz w:val="14"/>
              </w:rPr>
              <w:t>5,203</w:t>
            </w:r>
          </w:p>
        </w:tc>
        <w:tc>
          <w:tcPr>
            <w:tcW w:type="dxa" w:w="893"/>
            <w:shd w:val="clear" w:color="auto" w:fill="F6F1E6"/>
          </w:tcPr>
          <w:p>
            <w:pPr>
              <w:spacing w:after="20"/>
              <w:jc w:val="right"/>
            </w:pPr>
            <w:r>
              <w:rPr>
                <w:b/>
                <w:color w:val="1C3A36"/>
                <w:sz w:val="14"/>
              </w:rPr>
              <w:t>5,492</w:t>
            </w:r>
          </w:p>
        </w:tc>
        <w:tc>
          <w:tcPr>
            <w:tcW w:type="dxa" w:w="893"/>
            <w:shd w:val="clear" w:color="auto" w:fill="F6F1E6"/>
          </w:tcPr>
          <w:p>
            <w:pPr>
              <w:spacing w:after="20"/>
              <w:jc w:val="right"/>
            </w:pPr>
            <w:r>
              <w:rPr>
                <w:b/>
                <w:color w:val="1C3A36"/>
                <w:sz w:val="14"/>
              </w:rPr>
              <w:t>5,746</w:t>
            </w:r>
          </w:p>
        </w:tc>
        <w:tc>
          <w:tcPr>
            <w:tcW w:type="dxa" w:w="893"/>
            <w:shd w:val="clear" w:color="auto" w:fill="F6F1E6"/>
          </w:tcPr>
          <w:p>
            <w:pPr>
              <w:spacing w:after="20"/>
              <w:jc w:val="right"/>
            </w:pPr>
            <w:r>
              <w:rPr>
                <w:b/>
                <w:color w:val="1C3A36"/>
                <w:sz w:val="14"/>
              </w:rPr>
              <w:t>5,987</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45.0%</w:t>
            </w:r>
          </w:p>
        </w:tc>
        <w:tc>
          <w:tcPr>
            <w:tcW w:type="dxa" w:w="893"/>
          </w:tcPr>
          <w:p>
            <w:pPr>
              <w:spacing w:after="20"/>
              <w:jc w:val="right"/>
            </w:pPr>
            <w:r>
              <w:rPr>
                <w:color w:val="1C3A36"/>
                <w:sz w:val="14"/>
              </w:rPr>
              <w:t>44.1%</w:t>
            </w:r>
          </w:p>
        </w:tc>
        <w:tc>
          <w:tcPr>
            <w:tcW w:type="dxa" w:w="893"/>
          </w:tcPr>
          <w:p>
            <w:pPr>
              <w:spacing w:after="20"/>
              <w:jc w:val="right"/>
            </w:pPr>
            <w:r>
              <w:rPr>
                <w:color w:val="1C3A36"/>
                <w:sz w:val="14"/>
              </w:rPr>
              <w:t>43.1%</w:t>
            </w:r>
          </w:p>
        </w:tc>
        <w:tc>
          <w:tcPr>
            <w:tcW w:type="dxa" w:w="893"/>
          </w:tcPr>
          <w:p>
            <w:pPr>
              <w:spacing w:after="20"/>
              <w:jc w:val="right"/>
            </w:pPr>
            <w:r>
              <w:rPr>
                <w:color w:val="1C3A36"/>
                <w:sz w:val="14"/>
              </w:rPr>
              <w:t>42.3%</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41.2%</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40.6%</w:t>
            </w:r>
          </w:p>
        </w:tc>
        <w:tc>
          <w:tcPr>
            <w:tcW w:type="dxa" w:w="893"/>
          </w:tcPr>
          <w:p>
            <w:pPr>
              <w:spacing w:after="20"/>
              <w:jc w:val="right"/>
            </w:pPr>
            <w:r>
              <w:rPr>
                <w:color w:val="1C3A36"/>
                <w:sz w:val="14"/>
              </w:rPr>
              <w:t>40.2%</w:t>
            </w:r>
          </w:p>
        </w:tc>
        <w:tc>
          <w:tcPr>
            <w:tcW w:type="dxa" w:w="893"/>
          </w:tcPr>
          <w:p>
            <w:pPr>
              <w:spacing w:after="20"/>
              <w:jc w:val="right"/>
            </w:pPr>
            <w:r>
              <w:rPr>
                <w:color w:val="1C3A36"/>
                <w:sz w:val="14"/>
              </w:rPr>
              <w:t>39.8%</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2,729</w:t>
            </w:r>
          </w:p>
        </w:tc>
        <w:tc>
          <w:tcPr>
            <w:tcW w:type="dxa" w:w="1426"/>
          </w:tcPr>
          <w:p>
            <w:pPr>
              <w:spacing w:after="20"/>
              <w:jc w:val="right"/>
            </w:pPr>
            <w:r>
              <w:rPr>
                <w:color w:val="1C3A36"/>
                <w:sz w:val="16"/>
              </w:rPr>
              <w:t>3,242</w:t>
            </w:r>
          </w:p>
        </w:tc>
        <w:tc>
          <w:tcPr>
            <w:tcW w:type="dxa" w:w="1426"/>
          </w:tcPr>
          <w:p>
            <w:pPr>
              <w:spacing w:after="20"/>
              <w:jc w:val="right"/>
            </w:pPr>
            <w:r>
              <w:rPr>
                <w:color w:val="1C3A36"/>
                <w:sz w:val="16"/>
              </w:rPr>
              <w:t>3,451</w:t>
            </w:r>
          </w:p>
        </w:tc>
        <w:tc>
          <w:tcPr>
            <w:tcW w:type="dxa" w:w="1426"/>
          </w:tcPr>
          <w:p>
            <w:pPr>
              <w:spacing w:after="20"/>
              <w:jc w:val="right"/>
            </w:pPr>
            <w:r>
              <w:rPr>
                <w:color w:val="1C3A36"/>
                <w:sz w:val="16"/>
              </w:rPr>
              <w:t>3,359</w:t>
            </w:r>
          </w:p>
        </w:tc>
        <w:tc>
          <w:tcPr>
            <w:tcW w:type="dxa" w:w="1426"/>
          </w:tcPr>
          <w:p>
            <w:pPr>
              <w:spacing w:after="20"/>
              <w:jc w:val="right"/>
            </w:pPr>
            <w:r>
              <w:rPr>
                <w:color w:val="1C3A36"/>
                <w:sz w:val="16"/>
              </w:rPr>
              <w:t>2,657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856</w:t>
            </w:r>
          </w:p>
        </w:tc>
        <w:tc>
          <w:tcPr>
            <w:tcW w:type="dxa" w:w="1426"/>
          </w:tcPr>
          <w:p>
            <w:pPr>
              <w:spacing w:after="20"/>
              <w:jc w:val="right"/>
            </w:pPr>
            <w:r>
              <w:rPr>
                <w:color w:val="1C3A36"/>
                <w:sz w:val="16"/>
              </w:rPr>
              <w:t>931</w:t>
            </w:r>
          </w:p>
        </w:tc>
        <w:tc>
          <w:tcPr>
            <w:tcW w:type="dxa" w:w="1426"/>
          </w:tcPr>
          <w:p>
            <w:pPr>
              <w:spacing w:after="20"/>
              <w:jc w:val="right"/>
            </w:pPr>
            <w:r>
              <w:rPr>
                <w:color w:val="1C3A36"/>
                <w:sz w:val="16"/>
              </w:rPr>
              <w:t>991</w:t>
            </w:r>
          </w:p>
        </w:tc>
        <w:tc>
          <w:tcPr>
            <w:tcW w:type="dxa" w:w="1426"/>
          </w:tcPr>
          <w:p>
            <w:pPr>
              <w:spacing w:after="20"/>
              <w:jc w:val="right"/>
            </w:pPr>
            <w:r>
              <w:rPr>
                <w:color w:val="1C3A36"/>
                <w:sz w:val="16"/>
              </w:rPr>
              <w:t>1,047</w:t>
            </w:r>
          </w:p>
        </w:tc>
        <w:tc>
          <w:tcPr>
            <w:tcW w:type="dxa" w:w="1426"/>
          </w:tcPr>
          <w:p>
            <w:pPr>
              <w:spacing w:after="20"/>
              <w:jc w:val="right"/>
            </w:pPr>
            <w:r>
              <w:rPr>
                <w:color w:val="1C3A36"/>
                <w:sz w:val="16"/>
              </w:rPr>
              <w:t>1,104</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2,869</w:t>
            </w:r>
          </w:p>
        </w:tc>
        <w:tc>
          <w:tcPr>
            <w:tcW w:type="dxa" w:w="1426"/>
          </w:tcPr>
          <w:p>
            <w:pPr>
              <w:spacing w:after="20"/>
              <w:jc w:val="right"/>
            </w:pPr>
            <w:r>
              <w:rPr>
                <w:color w:val="1C3A36"/>
                <w:sz w:val="16"/>
              </w:rPr>
              <w:t>3,161</w:t>
            </w:r>
          </w:p>
        </w:tc>
        <w:tc>
          <w:tcPr>
            <w:tcW w:type="dxa" w:w="1426"/>
          </w:tcPr>
          <w:p>
            <w:pPr>
              <w:spacing w:after="20"/>
              <w:jc w:val="right"/>
            </w:pPr>
            <w:r>
              <w:rPr>
                <w:color w:val="1C3A36"/>
                <w:sz w:val="16"/>
              </w:rPr>
              <w:t>3,422</w:t>
            </w:r>
          </w:p>
        </w:tc>
        <w:tc>
          <w:tcPr>
            <w:tcW w:type="dxa" w:w="1426"/>
          </w:tcPr>
          <w:p>
            <w:pPr>
              <w:spacing w:after="20"/>
              <w:jc w:val="right"/>
            </w:pPr>
            <w:r>
              <w:rPr>
                <w:color w:val="1C3A36"/>
                <w:sz w:val="16"/>
              </w:rPr>
              <w:t>3,675</w:t>
            </w:r>
          </w:p>
        </w:tc>
        <w:tc>
          <w:tcPr>
            <w:tcW w:type="dxa" w:w="1426"/>
          </w:tcPr>
          <w:p>
            <w:pPr>
              <w:spacing w:after="20"/>
              <w:jc w:val="right"/>
            </w:pPr>
            <w:r>
              <w:rPr>
                <w:color w:val="1C3A36"/>
                <w:sz w:val="16"/>
              </w:rPr>
              <w:t>3,931</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1,444</w:t>
            </w:r>
          </w:p>
        </w:tc>
        <w:tc>
          <w:tcPr>
            <w:tcW w:type="dxa" w:w="1426"/>
          </w:tcPr>
          <w:p>
            <w:pPr>
              <w:spacing w:after="20"/>
              <w:jc w:val="right"/>
            </w:pPr>
            <w:r>
              <w:rPr>
                <w:color w:val="1C3A36"/>
                <w:sz w:val="16"/>
              </w:rPr>
              <w:t>1,591</w:t>
            </w:r>
          </w:p>
        </w:tc>
        <w:tc>
          <w:tcPr>
            <w:tcW w:type="dxa" w:w="1426"/>
          </w:tcPr>
          <w:p>
            <w:pPr>
              <w:spacing w:after="20"/>
              <w:jc w:val="right"/>
            </w:pPr>
            <w:r>
              <w:rPr>
                <w:color w:val="1C3A36"/>
                <w:sz w:val="16"/>
              </w:rPr>
              <w:t>1,722</w:t>
            </w:r>
          </w:p>
        </w:tc>
        <w:tc>
          <w:tcPr>
            <w:tcW w:type="dxa" w:w="1426"/>
          </w:tcPr>
          <w:p>
            <w:pPr>
              <w:spacing w:after="20"/>
              <w:jc w:val="right"/>
            </w:pPr>
            <w:r>
              <w:rPr>
                <w:color w:val="1C3A36"/>
                <w:sz w:val="16"/>
              </w:rPr>
              <w:t>1,850</w:t>
            </w:r>
          </w:p>
        </w:tc>
        <w:tc>
          <w:tcPr>
            <w:tcW w:type="dxa" w:w="1426"/>
          </w:tcPr>
          <w:p>
            <w:pPr>
              <w:spacing w:after="20"/>
              <w:jc w:val="right"/>
            </w:pPr>
            <w:r>
              <w:rPr>
                <w:color w:val="1C3A36"/>
                <w:sz w:val="16"/>
              </w:rPr>
              <w:t>1,979</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2,281</w:t>
            </w:r>
          </w:p>
        </w:tc>
        <w:tc>
          <w:tcPr>
            <w:tcW w:type="dxa" w:w="1426"/>
          </w:tcPr>
          <w:p>
            <w:pPr>
              <w:spacing w:after="20"/>
              <w:jc w:val="right"/>
            </w:pPr>
            <w:r>
              <w:rPr>
                <w:color w:val="1C3A36"/>
                <w:sz w:val="16"/>
              </w:rPr>
              <w:t>2,501</w:t>
            </w:r>
          </w:p>
        </w:tc>
        <w:tc>
          <w:tcPr>
            <w:tcW w:type="dxa" w:w="1426"/>
          </w:tcPr>
          <w:p>
            <w:pPr>
              <w:spacing w:after="20"/>
              <w:jc w:val="right"/>
            </w:pPr>
            <w:r>
              <w:rPr>
                <w:color w:val="1C3A36"/>
                <w:sz w:val="16"/>
              </w:rPr>
              <w:t>2,691</w:t>
            </w:r>
          </w:p>
        </w:tc>
        <w:tc>
          <w:tcPr>
            <w:tcW w:type="dxa" w:w="1426"/>
          </w:tcPr>
          <w:p>
            <w:pPr>
              <w:spacing w:after="20"/>
              <w:jc w:val="right"/>
            </w:pPr>
            <w:r>
              <w:rPr>
                <w:color w:val="1C3A36"/>
                <w:sz w:val="16"/>
              </w:rPr>
              <w:t>2,873</w:t>
            </w:r>
          </w:p>
        </w:tc>
        <w:tc>
          <w:tcPr>
            <w:tcW w:type="dxa" w:w="1426"/>
          </w:tcPr>
          <w:p>
            <w:pPr>
              <w:spacing w:after="20"/>
              <w:jc w:val="right"/>
            </w:pPr>
            <w:r>
              <w:rPr>
                <w:color w:val="1C3A36"/>
                <w:sz w:val="16"/>
              </w:rPr>
              <w:t>3,056</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-788</w:t>
            </w:r>
          </w:p>
        </w:tc>
        <w:tc>
          <w:tcPr>
            <w:tcW w:type="dxa" w:w="1426"/>
          </w:tcPr>
          <w:p>
            <w:pPr>
              <w:spacing w:after="20"/>
              <w:jc w:val="right"/>
            </w:pPr>
            <w:r>
              <w:rPr>
                <w:color w:val="1C3A36"/>
                <w:sz w:val="16"/>
              </w:rPr>
              <w:t>220</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182</w:t>
            </w:r>
          </w:p>
        </w:tc>
        <w:tc>
          <w:tcPr>
            <w:tcW w:type="dxa" w:w="1426"/>
          </w:tcPr>
          <w:p>
            <w:pPr>
              <w:spacing w:after="20"/>
              <w:jc w:val="right"/>
            </w:pPr>
            <w:r>
              <w:rPr>
                <w:color w:val="1C3A36"/>
                <w:sz w:val="16"/>
              </w:rPr>
              <w:t>183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1,989</w:t>
            </w:r>
          </w:p>
        </w:tc>
        <w:tc>
          <w:tcPr>
            <w:tcW w:type="dxa" w:w="1426"/>
            <w:shd w:val="clear" w:color="auto" w:fill="F6F1E6"/>
          </w:tcPr>
          <w:p>
            <w:pPr>
              <w:spacing w:after="20"/>
              <w:jc w:val="right"/>
            </w:pPr>
            <w:r>
              <w:rPr>
                <w:b/>
                <w:color w:val="1C3A36"/>
                <w:sz w:val="16"/>
              </w:rPr>
              <w:t>798</w:t>
            </w:r>
          </w:p>
        </w:tc>
        <w:tc>
          <w:tcPr>
            <w:tcW w:type="dxa" w:w="1426"/>
            <w:shd w:val="clear" w:color="auto" w:fill="F6F1E6"/>
          </w:tcPr>
          <w:p>
            <w:pPr>
              <w:spacing w:after="20"/>
              <w:jc w:val="right"/>
            </w:pPr>
            <w:r>
              <w:rPr>
                <w:b/>
                <w:color w:val="1C3A36"/>
                <w:sz w:val="16"/>
              </w:rPr>
              <w:t>874</w:t>
            </w:r>
          </w:p>
        </w:tc>
        <w:tc>
          <w:tcPr>
            <w:tcW w:type="dxa" w:w="1426"/>
            <w:shd w:val="clear" w:color="auto" w:fill="F6F1E6"/>
          </w:tcPr>
          <w:p>
            <w:pPr>
              <w:spacing w:after="20"/>
              <w:jc w:val="right"/>
            </w:pPr>
            <w:r>
              <w:rPr>
                <w:b/>
                <w:color w:val="1C3A36"/>
                <w:sz w:val="16"/>
              </w:rPr>
              <w:t>1,202</w:t>
            </w:r>
          </w:p>
        </w:tc>
        <w:tc>
          <w:tcPr>
            <w:tcW w:type="dxa" w:w="1426"/>
            <w:shd w:val="clear" w:color="auto" w:fill="F6F1E6"/>
          </w:tcPr>
          <w:p>
            <w:pPr>
              <w:spacing w:after="20"/>
              <w:jc w:val="right"/>
            </w:pPr>
            <w:r>
              <w:rPr>
                <w:b/>
                <w:color w:val="1C3A36"/>
                <w:sz w:val="16"/>
              </w:rPr>
              <w:t>2,122</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80" w:before="200"/>
      </w:pPr>
      <w:r>
        <w:rPr>
          <w:b/>
          <w:i w:val="0"/>
          <w:color w:val="1C3A36"/>
          <w:sz w:val="24"/>
        </w:rPr>
        <w:t>A.4  Years three to five as ranges — the method's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2016"/>
        <w:gridCol w:w="2016"/>
      </w:tblGrid>
      <w:tr>
        <w:trPr>
          <w:cantSplit/>
          <w:tblHeader/>
        </w:trPr>
        <w:tc>
          <w:tcPr>
            <w:tcW w:type="dxa" w:w="3744"/>
            <w:shd w:val="clear" w:color="auto" w:fill="EAF0EE"/>
          </w:tcPr>
          <w:p>
            <w:pPr>
              <w:spacing w:after="20"/>
            </w:pPr>
            <w:r>
              <w:rPr>
                <w:b/>
                <w:color w:val="1C3A36"/>
                <w:sz w:val="16"/>
              </w:rPr>
              <w:t>EGP million</w:t>
            </w:r>
          </w:p>
        </w:tc>
        <w:tc>
          <w:tcPr>
            <w:tcW w:type="dxa" w:w="2016"/>
            <w:shd w:val="clear" w:color="auto" w:fill="EAF0EE"/>
          </w:tcPr>
          <w:p>
            <w:pPr>
              <w:spacing w:after="20"/>
            </w:pPr>
            <w:r>
              <w:rPr>
                <w:b/>
                <w:color w:val="1C3A36"/>
                <w:sz w:val="16"/>
              </w:rPr>
              <w:t>FY2028/29</w:t>
            </w:r>
          </w:p>
        </w:tc>
        <w:tc>
          <w:tcPr>
            <w:tcW w:type="dxa" w:w="2016"/>
            <w:shd w:val="clear" w:color="auto" w:fill="EAF0EE"/>
          </w:tcPr>
          <w:p>
            <w:pPr>
              <w:spacing w:after="20"/>
            </w:pPr>
            <w:r>
              <w:rPr>
                <w:b/>
                <w:color w:val="1C3A36"/>
                <w:sz w:val="16"/>
              </w:rPr>
              <w:t>FY2029/30</w:t>
            </w:r>
          </w:p>
        </w:tc>
        <w:tc>
          <w:tcPr>
            <w:tcW w:type="dxa" w:w="2016"/>
            <w:shd w:val="clear" w:color="auto" w:fill="EAF0EE"/>
          </w:tcPr>
          <w:p>
            <w:pPr>
              <w:spacing w:after="20"/>
            </w:pPr>
            <w:r>
              <w:rPr>
                <w:b/>
                <w:color w:val="1C3A36"/>
                <w:sz w:val="16"/>
              </w:rPr>
              <w:t>FY2030/31</w:t>
            </w:r>
          </w:p>
        </w:tc>
      </w:tr>
      <w:tr>
        <w:trPr>
          <w:cantSplit/>
        </w:trPr>
        <w:tc>
          <w:tcPr>
            <w:tcW w:type="dxa" w:w="3744"/>
          </w:tcPr>
          <w:p>
            <w:pPr>
              <w:spacing w:after="20"/>
            </w:pPr>
            <w:r>
              <w:rPr>
                <w:color w:val="1C3A36"/>
                <w:sz w:val="16"/>
              </w:rPr>
              <w:t>Revenue — point</w:t>
            </w:r>
          </w:p>
        </w:tc>
        <w:tc>
          <w:tcPr>
            <w:tcW w:type="dxa" w:w="2016"/>
          </w:tcPr>
          <w:p>
            <w:pPr>
              <w:spacing w:after="20"/>
              <w:jc w:val="right"/>
            </w:pPr>
            <w:r>
              <w:rPr>
                <w:color w:val="1C3A36"/>
                <w:sz w:val="16"/>
              </w:rPr>
              <w:t>13,513</w:t>
            </w:r>
          </w:p>
        </w:tc>
        <w:tc>
          <w:tcPr>
            <w:tcW w:type="dxa" w:w="2016"/>
          </w:tcPr>
          <w:p>
            <w:pPr>
              <w:spacing w:after="20"/>
              <w:jc w:val="right"/>
            </w:pPr>
            <w:r>
              <w:rPr>
                <w:color w:val="1C3A36"/>
                <w:sz w:val="16"/>
              </w:rPr>
              <w:t>14,277</w:t>
            </w:r>
          </w:p>
        </w:tc>
        <w:tc>
          <w:tcPr>
            <w:tcW w:type="dxa" w:w="2016"/>
          </w:tcPr>
          <w:p>
            <w:pPr>
              <w:spacing w:after="20"/>
              <w:jc w:val="right"/>
            </w:pPr>
            <w:r>
              <w:rPr>
                <w:color w:val="1C3A36"/>
                <w:sz w:val="16"/>
              </w:rPr>
              <w:t>15,043</w:t>
            </w:r>
          </w:p>
        </w:tc>
      </w:tr>
      <w:tr>
        <w:trPr>
          <w:cantSplit/>
        </w:trPr>
        <w:tc>
          <w:tcPr>
            <w:tcW w:type="dxa" w:w="3744"/>
          </w:tcPr>
          <w:p>
            <w:pPr>
              <w:spacing w:after="20"/>
            </w:pPr>
            <w:r>
              <w:rPr>
                <w:color w:val="1C3A36"/>
                <w:sz w:val="16"/>
              </w:rPr>
              <w:t>Gross profit — point</w:t>
            </w:r>
          </w:p>
        </w:tc>
        <w:tc>
          <w:tcPr>
            <w:tcW w:type="dxa" w:w="2016"/>
          </w:tcPr>
          <w:p>
            <w:pPr>
              <w:spacing w:after="20"/>
              <w:jc w:val="right"/>
            </w:pPr>
            <w:r>
              <w:rPr>
                <w:color w:val="1C3A36"/>
                <w:sz w:val="16"/>
              </w:rPr>
              <w:t>5,955</w:t>
            </w:r>
          </w:p>
        </w:tc>
        <w:tc>
          <w:tcPr>
            <w:tcW w:type="dxa" w:w="2016"/>
          </w:tcPr>
          <w:p>
            <w:pPr>
              <w:spacing w:after="20"/>
              <w:jc w:val="right"/>
            </w:pPr>
            <w:r>
              <w:rPr>
                <w:color w:val="1C3A36"/>
                <w:sz w:val="16"/>
              </w:rPr>
              <w:t>6,160</w:t>
            </w:r>
          </w:p>
        </w:tc>
        <w:tc>
          <w:tcPr>
            <w:tcW w:type="dxa" w:w="2016"/>
          </w:tcPr>
          <w:p>
            <w:pPr>
              <w:spacing w:after="20"/>
              <w:jc w:val="right"/>
            </w:pPr>
            <w:r>
              <w:rPr>
                <w:color w:val="1C3A36"/>
                <w:sz w:val="16"/>
              </w:rPr>
              <w:t>6,360</w:t>
            </w:r>
          </w:p>
        </w:tc>
      </w:tr>
      <w:tr>
        <w:trPr>
          <w:cantSplit/>
        </w:trPr>
        <w:tc>
          <w:tcPr>
            <w:tcW w:type="dxa" w:w="3744"/>
            <w:shd w:val="clear" w:color="auto" w:fill="F6F1E6"/>
          </w:tcPr>
          <w:p>
            <w:pPr>
              <w:spacing w:after="20"/>
            </w:pPr>
            <w:r>
              <w:rPr>
                <w:b/>
                <w:color w:val="1C3A36"/>
                <w:sz w:val="16"/>
              </w:rPr>
              <w:t>Operating profit before depreciation — point</w:t>
            </w:r>
          </w:p>
        </w:tc>
        <w:tc>
          <w:tcPr>
            <w:tcW w:type="dxa" w:w="2016"/>
            <w:shd w:val="clear" w:color="auto" w:fill="F6F1E6"/>
          </w:tcPr>
          <w:p>
            <w:pPr>
              <w:spacing w:after="20"/>
              <w:jc w:val="right"/>
            </w:pPr>
            <w:r>
              <w:rPr>
                <w:b/>
                <w:color w:val="1C3A36"/>
                <w:sz w:val="16"/>
              </w:rPr>
              <w:t>5,492</w:t>
            </w:r>
          </w:p>
        </w:tc>
        <w:tc>
          <w:tcPr>
            <w:tcW w:type="dxa" w:w="2016"/>
            <w:shd w:val="clear" w:color="auto" w:fill="F6F1E6"/>
          </w:tcPr>
          <w:p>
            <w:pPr>
              <w:spacing w:after="20"/>
              <w:jc w:val="right"/>
            </w:pPr>
            <w:r>
              <w:rPr>
                <w:b/>
                <w:color w:val="1C3A36"/>
                <w:sz w:val="16"/>
              </w:rPr>
              <w:t>5,746</w:t>
            </w:r>
          </w:p>
        </w:tc>
        <w:tc>
          <w:tcPr>
            <w:tcW w:type="dxa" w:w="2016"/>
            <w:shd w:val="clear" w:color="auto" w:fill="F6F1E6"/>
          </w:tcPr>
          <w:p>
            <w:pPr>
              <w:spacing w:after="20"/>
              <w:jc w:val="right"/>
            </w:pPr>
            <w:r>
              <w:rPr>
                <w:b/>
                <w:color w:val="1C3A36"/>
                <w:sz w:val="16"/>
              </w:rPr>
              <w:t>5,987</w:t>
            </w:r>
          </w:p>
        </w:tc>
      </w:tr>
      <w:tr>
        <w:trPr>
          <w:cantSplit/>
        </w:trPr>
        <w:tc>
          <w:tcPr>
            <w:tcW w:type="dxa" w:w="3744"/>
          </w:tcPr>
          <w:p>
            <w:pPr>
              <w:spacing w:after="20"/>
            </w:pPr>
            <w:r>
              <w:rPr>
                <w:color w:val="1C3A36"/>
                <w:sz w:val="16"/>
              </w:rPr>
              <w:t>Revenue — low of the range</w:t>
            </w:r>
          </w:p>
        </w:tc>
        <w:tc>
          <w:tcPr>
            <w:tcW w:type="dxa" w:w="2016"/>
          </w:tcPr>
          <w:p>
            <w:pPr>
              <w:spacing w:after="20"/>
              <w:jc w:val="right"/>
            </w:pPr>
            <w:r>
              <w:rPr>
                <w:color w:val="1C3A36"/>
                <w:sz w:val="16"/>
              </w:rPr>
              <w:t>1,445</w:t>
            </w:r>
          </w:p>
        </w:tc>
        <w:tc>
          <w:tcPr>
            <w:tcW w:type="dxa" w:w="2016"/>
          </w:tcPr>
          <w:p>
            <w:pPr>
              <w:spacing w:after="20"/>
              <w:jc w:val="right"/>
            </w:pPr>
            <w:r>
              <w:rPr>
                <w:color w:val="1C3A36"/>
                <w:sz w:val="16"/>
              </w:rPr>
              <w:t>507</w:t>
            </w:r>
          </w:p>
        </w:tc>
        <w:tc>
          <w:tcPr>
            <w:tcW w:type="dxa" w:w="2016"/>
          </w:tcPr>
          <w:p>
            <w:pPr>
              <w:spacing w:after="20"/>
              <w:jc w:val="right"/>
            </w:pPr>
            <w:r>
              <w:rPr>
                <w:color w:val="1C3A36"/>
                <w:sz w:val="16"/>
              </w:rPr>
              <w:t>1,220</w:t>
            </w:r>
          </w:p>
        </w:tc>
      </w:tr>
      <w:tr>
        <w:trPr>
          <w:cantSplit/>
        </w:trPr>
        <w:tc>
          <w:tcPr>
            <w:tcW w:type="dxa" w:w="3744"/>
          </w:tcPr>
          <w:p>
            <w:pPr>
              <w:spacing w:after="20"/>
            </w:pPr>
            <w:r>
              <w:rPr>
                <w:color w:val="1C3A36"/>
                <w:sz w:val="16"/>
              </w:rPr>
              <w:t>Revenue — high of the range</w:t>
            </w:r>
          </w:p>
        </w:tc>
        <w:tc>
          <w:tcPr>
            <w:tcW w:type="dxa" w:w="2016"/>
          </w:tcPr>
          <w:p>
            <w:pPr>
              <w:spacing w:after="20"/>
              <w:jc w:val="right"/>
            </w:pPr>
            <w:r>
              <w:rPr>
                <w:color w:val="1C3A36"/>
                <w:sz w:val="16"/>
              </w:rPr>
              <w:t>15,881</w:t>
            </w:r>
          </w:p>
        </w:tc>
        <w:tc>
          <w:tcPr>
            <w:tcW w:type="dxa" w:w="2016"/>
          </w:tcPr>
          <w:p>
            <w:pPr>
              <w:spacing w:after="20"/>
              <w:jc w:val="right"/>
            </w:pPr>
            <w:r>
              <w:rPr>
                <w:color w:val="1C3A36"/>
                <w:sz w:val="16"/>
              </w:rPr>
              <w:t>17,139</w:t>
            </w:r>
          </w:p>
        </w:tc>
        <w:tc>
          <w:tcPr>
            <w:tcW w:type="dxa" w:w="2016"/>
          </w:tcPr>
          <w:p>
            <w:pPr>
              <w:spacing w:after="20"/>
              <w:jc w:val="right"/>
            </w:pPr>
            <w:r>
              <w:rPr>
                <w:color w:val="1C3A36"/>
                <w:sz w:val="16"/>
              </w:rPr>
              <w:t>19,995</w:t>
            </w:r>
          </w:p>
        </w:tc>
      </w:tr>
      <w:tr>
        <w:trPr>
          <w:cantSplit/>
        </w:trPr>
        <w:tc>
          <w:tcPr>
            <w:tcW w:type="dxa" w:w="3744"/>
          </w:tcPr>
          <w:p>
            <w:pPr>
              <w:spacing w:after="20"/>
            </w:pPr>
            <w:r>
              <w:rPr>
                <w:color w:val="1C3A36"/>
                <w:sz w:val="16"/>
              </w:rPr>
              <w:t>Gross profit — low of the range</w:t>
            </w:r>
          </w:p>
        </w:tc>
        <w:tc>
          <w:tcPr>
            <w:tcW w:type="dxa" w:w="2016"/>
          </w:tcPr>
          <w:p>
            <w:pPr>
              <w:spacing w:after="20"/>
              <w:jc w:val="right"/>
            </w:pPr>
            <w:r>
              <w:rPr>
                <w:color w:val="1C3A36"/>
                <w:sz w:val="16"/>
              </w:rPr>
              <w:t>1,557</w:t>
            </w:r>
          </w:p>
        </w:tc>
        <w:tc>
          <w:tcPr>
            <w:tcW w:type="dxa" w:w="2016"/>
          </w:tcPr>
          <w:p>
            <w:pPr>
              <w:spacing w:after="20"/>
              <w:jc w:val="right"/>
            </w:pPr>
            <w:r>
              <w:rPr>
                <w:color w:val="1C3A36"/>
                <w:sz w:val="16"/>
              </w:rPr>
              <w:t>1,387</w:t>
            </w:r>
          </w:p>
        </w:tc>
        <w:tc>
          <w:tcPr>
            <w:tcW w:type="dxa" w:w="2016"/>
          </w:tcPr>
          <w:p>
            <w:pPr>
              <w:spacing w:after="20"/>
              <w:jc w:val="right"/>
            </w:pPr>
            <w:r>
              <w:rPr>
                <w:color w:val="1C3A36"/>
                <w:sz w:val="16"/>
              </w:rPr>
              <w:t>538</w:t>
            </w:r>
          </w:p>
        </w:tc>
      </w:tr>
      <w:tr>
        <w:trPr>
          <w:cantSplit/>
        </w:trPr>
        <w:tc>
          <w:tcPr>
            <w:tcW w:type="dxa" w:w="3744"/>
            <w:shd w:val="clear" w:color="auto" w:fill="F6F1E6"/>
          </w:tcPr>
          <w:p>
            <w:pPr>
              <w:spacing w:after="20"/>
            </w:pPr>
            <w:r>
              <w:rPr>
                <w:b/>
                <w:color w:val="1C3A36"/>
                <w:sz w:val="16"/>
              </w:rPr>
              <w:t>Gross profit — high of the range</w:t>
            </w:r>
          </w:p>
        </w:tc>
        <w:tc>
          <w:tcPr>
            <w:tcW w:type="dxa" w:w="2016"/>
            <w:shd w:val="clear" w:color="auto" w:fill="F6F1E6"/>
          </w:tcPr>
          <w:p>
            <w:pPr>
              <w:spacing w:after="20"/>
              <w:jc w:val="right"/>
            </w:pPr>
            <w:r>
              <w:rPr>
                <w:b/>
                <w:color w:val="1C3A36"/>
                <w:sz w:val="16"/>
              </w:rPr>
              <w:t>11,914</w:t>
            </w:r>
          </w:p>
        </w:tc>
        <w:tc>
          <w:tcPr>
            <w:tcW w:type="dxa" w:w="2016"/>
            <w:shd w:val="clear" w:color="auto" w:fill="F6F1E6"/>
          </w:tcPr>
          <w:p>
            <w:pPr>
              <w:spacing w:after="20"/>
              <w:jc w:val="right"/>
            </w:pPr>
            <w:r>
              <w:rPr>
                <w:b/>
                <w:color w:val="1C3A36"/>
                <w:sz w:val="16"/>
              </w:rPr>
              <w:t>11,170</w:t>
            </w:r>
          </w:p>
        </w:tc>
        <w:tc>
          <w:tcPr>
            <w:tcW w:type="dxa" w:w="2016"/>
            <w:shd w:val="clear" w:color="auto" w:fill="F6F1E6"/>
          </w:tcPr>
          <w:p>
            <w:pPr>
              <w:spacing w:after="20"/>
              <w:jc w:val="right"/>
            </w:pPr>
            <w:r>
              <w:rPr>
                <w:b/>
                <w:color w:val="1C3A36"/>
                <w:sz w:val="16"/>
              </w:rPr>
              <w:t>8,565</w:t>
            </w:r>
          </w:p>
        </w:tc>
      </w:tr>
      <w:tr>
        <w:trPr>
          <w:cantSplit/>
        </w:trPr>
        <w:tc>
          <w:tcPr>
            <w:tcW w:type="dxa" w:w="3744"/>
          </w:tcPr>
          <w:p>
            <w:pPr>
              <w:spacing w:after="20"/>
            </w:pPr>
            <w:r>
              <w:rPr>
                <w:color w:val="1C3A36"/>
                <w:sz w:val="16"/>
              </w:rPr>
              <w:t>Tested cases behind the revenue band</w:t>
            </w:r>
          </w:p>
        </w:tc>
        <w:tc>
          <w:tcPr>
            <w:tcW w:type="dxa" w:w="2016"/>
          </w:tcPr>
          <w:p>
            <w:pPr>
              <w:spacing w:after="20"/>
              <w:jc w:val="right"/>
            </w:pPr>
            <w:r>
              <w:rPr>
                <w:color w:val="1C3A36"/>
                <w:sz w:val="16"/>
              </w:rPr>
              <w:t>11</w:t>
            </w:r>
          </w:p>
        </w:tc>
        <w:tc>
          <w:tcPr>
            <w:tcW w:type="dxa" w:w="2016"/>
          </w:tcPr>
          <w:p>
            <w:pPr>
              <w:spacing w:after="20"/>
              <w:jc w:val="right"/>
            </w:pPr>
            <w:r>
              <w:rPr>
                <w:color w:val="1C3A36"/>
                <w:sz w:val="16"/>
              </w:rPr>
              <w:t>10</w:t>
            </w:r>
          </w:p>
        </w:tc>
        <w:tc>
          <w:tcPr>
            <w:tcW w:type="dxa" w:w="2016"/>
          </w:tcPr>
          <w:p>
            <w:pPr>
              <w:spacing w:after="20"/>
              <w:jc w:val="right"/>
            </w:pPr>
            <w:r>
              <w:rPr>
                <w:color w:val="1C3A36"/>
                <w:sz w:val="16"/>
              </w:rPr>
              <w:t>9</w:t>
            </w:r>
          </w:p>
        </w:tc>
      </w:tr>
      <w:tr>
        <w:trPr>
          <w:cantSplit/>
        </w:trPr>
        <w:tc>
          <w:tcPr>
            <w:tcW w:type="dxa" w:w="3744"/>
          </w:tcPr>
          <w:p>
            <w:pPr>
              <w:spacing w:after="20"/>
            </w:pPr>
            <w:r>
              <w:rPr>
                <w:color w:val="1C3A36"/>
                <w:sz w:val="16"/>
              </w:rPr>
              <w:t>Tested cases behind the gross-profit band</w:t>
            </w:r>
          </w:p>
        </w:tc>
        <w:tc>
          <w:tcPr>
            <w:tcW w:type="dxa" w:w="2016"/>
          </w:tcPr>
          <w:p>
            <w:pPr>
              <w:spacing w:after="20"/>
              <w:jc w:val="right"/>
            </w:pPr>
            <w:r>
              <w:rPr>
                <w:color w:val="1C3A36"/>
                <w:sz w:val="16"/>
              </w:rPr>
              <w:t>6</w:t>
            </w:r>
          </w:p>
        </w:tc>
        <w:tc>
          <w:tcPr>
            <w:tcW w:type="dxa" w:w="2016"/>
          </w:tcPr>
          <w:p>
            <w:pPr>
              <w:spacing w:after="20"/>
              <w:jc w:val="right"/>
            </w:pPr>
            <w:r>
              <w:rPr>
                <w:color w:val="1C3A36"/>
                <w:sz w:val="16"/>
              </w:rPr>
              <w:t>5</w:t>
            </w:r>
          </w:p>
        </w:tc>
        <w:tc>
          <w:tcPr>
            <w:tcW w:type="dxa" w:w="2016"/>
          </w:tcPr>
          <w:p>
            <w:pPr>
              <w:spacing w:after="20"/>
              <w:jc w:val="right"/>
            </w:pPr>
            <w:r>
              <w:rPr>
                <w:color w:val="1C3A36"/>
                <w:sz w:val="16"/>
              </w:rPr>
              <w:t>5</w:t>
            </w:r>
          </w:p>
        </w:tc>
      </w:tr>
    </w:tbl>
    <w:p>
      <w:pPr>
        <w:spacing w:after="40"/>
      </w:pPr>
    </w:p>
    <w:p>
      <w:pPr>
        <w:spacing w:after="200" w:before="0"/>
      </w:pPr>
      <w:r>
        <w:rPr>
          <w:b w:val="0"/>
          <w:i/>
          <w:color w:val="6E7B77"/>
          <w:sz w:val="17"/>
        </w:rPr>
        <w:t>Table 29.  The multipliers come from projecting this company's own past, year-end by year-end, with the same rules and scoring each projection against what was later reported. A range that runs from a tenth of the point to above it is not a forecast of collapse; it is a measurement of how little a mechanical method knew, three years out, about a company that replaced its plant, floated its currency and tripled its output inside the tested window. The far years of any projection of this company support a range and never a point, and the fair-value field in the summary already spans that width.</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192</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14</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12</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21</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65</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304</w:t>
            </w:r>
          </w:p>
        </w:tc>
      </w:tr>
    </w:tbl>
    <w:p>
      <w:pPr>
        <w:spacing w:after="40"/>
      </w:pPr>
    </w:p>
    <w:p>
      <w:pPr>
        <w:spacing w:after="200" w:before="0"/>
      </w:pPr>
      <w:r>
        <w:rPr>
          <w:b w:val="0"/>
          <w:i/>
          <w:color w:val="6E7B77"/>
          <w:sz w:val="17"/>
        </w:rPr>
        <w:t>Table 30.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1's workings in full — every intermediate line, not a summary of them.</w:t>
      </w:r>
    </w:p>
    <w:p>
      <w:pPr>
        <w:spacing w:after="120" w:before="0"/>
      </w:pPr>
      <w:r>
        <w:rPr>
          <w:b/>
          <w:i w:val="0"/>
          <w:color w:val="1C3A36"/>
          <w:sz w:val="21"/>
        </w:rPr>
        <w:t>Range: EGP 3.82 to EGP 8.52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and the control discount are the two swing factors, and the range is their product: at US$550 per annual tonne with the 40% discount the reading is EGP 3.82; at US$700 with no discount it is EGP 8.52. The mid-point build cost with the discount, the central reading, is EGP 4.47.</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56</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6,952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805</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593</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9,657</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-3,998</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2,828</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-436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1,502</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15,016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4.29</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2's workings in full — every intermediate line, not a summary of them.</w:t>
      </w:r>
    </w:p>
    <w:p>
      <w:pPr>
        <w:spacing w:after="120" w:before="0"/>
      </w:pPr>
      <w:r>
        <w:rPr>
          <w:b/>
          <w:i w:val="0"/>
          <w:color w:val="1C3A36"/>
          <w:sz w:val="21"/>
        </w:rPr>
        <w:t>Range: EGP 2.78 to EGP 5.80 a share.</w:t>
      </w:r>
    </w:p>
    <w:p>
      <w:pPr>
        <w:spacing w:after="120" w:before="0"/>
      </w:pPr>
      <w:r>
        <w:rPr>
          <w:b w:val="0"/>
          <w:i w:val="0"/>
          <w:color w:val="1C3A36"/>
          <w:sz w:val="19"/>
        </w:rPr>
        <w:t>Reading it.  The middle reading, and the one closest to a conventional analyst's answer. It credits an ordinary year — EGP 9,657m of revenue and EGP 2,828m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2.78, twelve times EGP 5.80.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17,774</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12,910</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12,588</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13,330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9,682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4.87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33.  Expert 3's workings in full — every intermediate line, not a summary of them.</w:t>
      </w:r>
    </w:p>
    <w:p>
      <w:pPr>
        <w:spacing w:after="120" w:before="0"/>
      </w:pPr>
      <w:r>
        <w:rPr>
          <w:b/>
          <w:i w:val="0"/>
          <w:color w:val="1C3A36"/>
          <w:sz w:val="21"/>
        </w:rPr>
        <w:t>Range: EGP 0.00 to EGP 5.03 a share.</w:t>
      </w:r>
    </w:p>
    <w:p>
      <w:pPr>
        <w:spacing w:after="120" w:before="0"/>
      </w:pPr>
      <w:r>
        <w:rPr>
          <w:b w:val="0"/>
          <w:i w:val="0"/>
          <w:color w:val="1C3A36"/>
          <w:sz w:val="19"/>
        </w:rPr>
        <w:t>On both sides of the contested judgement.  With the programme carried through the claim is worth EGP 4.87 a share (EGP 0.00 to 5.03 across the volatility range); with the programme stopped the enterprise value rises to EGP 25,688 million and the same claim is worth EGP 7.77 (EGP 7.69 to 7.90). The two are published side by side and never averaged.</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17,774m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3.74 a share, and at 60% over seven years EGP 5.67.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3.74</w:t>
            </w:r>
          </w:p>
        </w:tc>
        <w:tc>
          <w:tcPr>
            <w:tcW w:type="dxa" w:w="1541"/>
          </w:tcPr>
          <w:p>
            <w:pPr>
              <w:spacing w:after="20"/>
              <w:jc w:val="right"/>
            </w:pPr>
            <w:r>
              <w:rPr>
                <w:color w:val="1C3A36"/>
                <w:sz w:val="17"/>
              </w:rPr>
              <w:t>3.80</w:t>
            </w:r>
          </w:p>
        </w:tc>
        <w:tc>
          <w:tcPr>
            <w:tcW w:type="dxa" w:w="1541"/>
          </w:tcPr>
          <w:p>
            <w:pPr>
              <w:spacing w:after="20"/>
              <w:jc w:val="right"/>
            </w:pPr>
            <w:r>
              <w:rPr>
                <w:color w:val="1C3A36"/>
                <w:sz w:val="17"/>
              </w:rPr>
              <w:t>3.95</w:t>
            </w:r>
          </w:p>
        </w:tc>
        <w:tc>
          <w:tcPr>
            <w:tcW w:type="dxa" w:w="1541"/>
          </w:tcPr>
          <w:p>
            <w:pPr>
              <w:spacing w:after="20"/>
              <w:jc w:val="right"/>
            </w:pPr>
            <w:r>
              <w:rPr>
                <w:color w:val="1C3A36"/>
                <w:sz w:val="17"/>
              </w:rPr>
              <w:t>4.13</w:t>
            </w:r>
          </w:p>
        </w:tc>
        <w:tc>
          <w:tcPr>
            <w:tcW w:type="dxa" w:w="1541"/>
          </w:tcPr>
          <w:p>
            <w:pPr>
              <w:spacing w:after="20"/>
              <w:jc w:val="right"/>
            </w:pPr>
            <w:r>
              <w:rPr>
                <w:color w:val="1C3A36"/>
                <w:sz w:val="17"/>
              </w:rPr>
              <w:t>4.23</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4.71</w:t>
            </w:r>
          </w:p>
        </w:tc>
        <w:tc>
          <w:tcPr>
            <w:tcW w:type="dxa" w:w="1541"/>
          </w:tcPr>
          <w:p>
            <w:pPr>
              <w:spacing w:after="20"/>
              <w:jc w:val="right"/>
            </w:pPr>
            <w:r>
              <w:rPr>
                <w:color w:val="1C3A36"/>
                <w:sz w:val="17"/>
              </w:rPr>
              <w:t>4.75</w:t>
            </w:r>
          </w:p>
        </w:tc>
        <w:tc>
          <w:tcPr>
            <w:tcW w:type="dxa" w:w="1541"/>
          </w:tcPr>
          <w:p>
            <w:pPr>
              <w:spacing w:after="20"/>
              <w:jc w:val="right"/>
            </w:pPr>
            <w:r>
              <w:rPr>
                <w:color w:val="1C3A36"/>
                <w:sz w:val="17"/>
              </w:rPr>
              <w:t>4.87</w:t>
            </w:r>
          </w:p>
        </w:tc>
        <w:tc>
          <w:tcPr>
            <w:tcW w:type="dxa" w:w="1541"/>
          </w:tcPr>
          <w:p>
            <w:pPr>
              <w:spacing w:after="20"/>
              <w:jc w:val="right"/>
            </w:pPr>
            <w:r>
              <w:rPr>
                <w:color w:val="1C3A36"/>
                <w:sz w:val="17"/>
              </w:rPr>
              <w:t>5.03</w:t>
            </w:r>
          </w:p>
        </w:tc>
        <w:tc>
          <w:tcPr>
            <w:tcW w:type="dxa" w:w="1541"/>
          </w:tcPr>
          <w:p>
            <w:pPr>
              <w:spacing w:after="20"/>
              <w:jc w:val="right"/>
            </w:pPr>
            <w:r>
              <w:rPr>
                <w:color w:val="1C3A36"/>
                <w:sz w:val="17"/>
              </w:rPr>
              <w:t>5.12</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5.37</w:t>
            </w:r>
          </w:p>
        </w:tc>
        <w:tc>
          <w:tcPr>
            <w:tcW w:type="dxa" w:w="1541"/>
          </w:tcPr>
          <w:p>
            <w:pPr>
              <w:spacing w:after="20"/>
              <w:jc w:val="right"/>
            </w:pPr>
            <w:r>
              <w:rPr>
                <w:color w:val="1C3A36"/>
                <w:sz w:val="17"/>
              </w:rPr>
              <w:t>5.39</w:t>
            </w:r>
          </w:p>
        </w:tc>
        <w:tc>
          <w:tcPr>
            <w:tcW w:type="dxa" w:w="1541"/>
          </w:tcPr>
          <w:p>
            <w:pPr>
              <w:spacing w:after="20"/>
              <w:jc w:val="right"/>
            </w:pPr>
            <w:r>
              <w:rPr>
                <w:color w:val="1C3A36"/>
                <w:sz w:val="17"/>
              </w:rPr>
              <w:t>5.48</w:t>
            </w:r>
          </w:p>
        </w:tc>
        <w:tc>
          <w:tcPr>
            <w:tcW w:type="dxa" w:w="1541"/>
          </w:tcPr>
          <w:p>
            <w:pPr>
              <w:spacing w:after="20"/>
              <w:jc w:val="right"/>
            </w:pPr>
            <w:r>
              <w:rPr>
                <w:color w:val="1C3A36"/>
                <w:sz w:val="17"/>
              </w:rPr>
              <w:t>5.60</w:t>
            </w:r>
          </w:p>
        </w:tc>
        <w:tc>
          <w:tcPr>
            <w:tcW w:type="dxa" w:w="1541"/>
          </w:tcPr>
          <w:p>
            <w:pPr>
              <w:spacing w:after="20"/>
              <w:jc w:val="right"/>
            </w:pPr>
            <w:r>
              <w:rPr>
                <w:color w:val="1C3A36"/>
                <w:sz w:val="17"/>
              </w:rPr>
              <w:t>5.67</w:t>
            </w:r>
          </w:p>
        </w:tc>
      </w:tr>
    </w:tbl>
    <w:p>
      <w:pPr>
        <w:spacing w:after="40"/>
      </w:pPr>
    </w:p>
    <w:p>
      <w:pPr>
        <w:spacing w:after="200" w:before="0"/>
      </w:pPr>
      <w:r>
        <w:rPr>
          <w:b w:val="0"/>
          <w:i/>
          <w:color w:val="6E7B77"/>
          <w:sz w:val="17"/>
        </w:rPr>
        <w:t>Table 34.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4.75 a share, at 55% EGP 5.03.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8.52.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1.04</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-2.25</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-1.21</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-3.90</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cash-flow lens against the market</w:t>
            </w:r>
          </w:p>
        </w:tc>
        <w:tc>
          <w:tcPr>
            <w:tcW w:type="dxa" w:w="1440"/>
          </w:tcPr>
          <w:p>
            <w:pPr>
              <w:spacing w:after="20"/>
              <w:jc w:val="right"/>
            </w:pPr>
            <w:r>
              <w:rPr>
                <w:color w:val="1C3A36"/>
                <w:sz w:val="16"/>
              </w:rPr>
              <w:t>-10.51</w:t>
            </w:r>
          </w:p>
        </w:tc>
        <w:tc>
          <w:tcPr>
            <w:tcW w:type="dxa" w:w="5904"/>
          </w:tcPr>
          <w:p>
            <w:pPr>
              <w:spacing w:after="20"/>
            </w:pPr>
            <w:r>
              <w:rPr>
                <w:color w:val="1C3A36"/>
                <w:sz w:val="16"/>
              </w:rPr>
              <w:t>The discount rate, and only the discount rate. At about 13.0% the market's price is reproduced; at any rate anchored to Egypt's sovereign it is not.</w:t>
            </w:r>
          </w:p>
        </w:tc>
      </w:tr>
      <w:tr>
        <w:trPr>
          <w:cantSplit/>
        </w:trPr>
        <w:tc>
          <w:tcPr>
            <w:tcW w:type="dxa" w:w="2736"/>
          </w:tcPr>
          <w:p>
            <w:pPr>
              <w:spacing w:after="20"/>
            </w:pPr>
            <w:r>
              <w:rPr>
                <w:color w:val="1C3A36"/>
                <w:sz w:val="16"/>
              </w:rPr>
              <w:t>The top of the field against the market</w:t>
            </w:r>
          </w:p>
        </w:tc>
        <w:tc>
          <w:tcPr>
            <w:tcW w:type="dxa" w:w="1440"/>
          </w:tcPr>
          <w:p>
            <w:pPr>
              <w:spacing w:after="20"/>
              <w:jc w:val="right"/>
            </w:pPr>
            <w:r>
              <w:rPr>
                <w:color w:val="1C3A36"/>
                <w:sz w:val="16"/>
              </w:rPr>
              <w:t>1.58</w:t>
            </w:r>
          </w:p>
        </w:tc>
        <w:tc>
          <w:tcPr>
            <w:tcW w:type="dxa" w:w="5904"/>
          </w:tcPr>
          <w:p>
            <w:pPr>
              <w:spacing w:after="20"/>
            </w:pPr>
            <w:r>
              <w:rPr>
                <w:color w:val="1C3A36"/>
                <w:sz w:val="16"/>
              </w:rPr>
              <w:t>The relative lens, which never charges the capital programme, is the one reading that sits above the price.</w:t>
            </w:r>
          </w:p>
        </w:tc>
      </w:tr>
    </w:tbl>
    <w:p>
      <w:pPr>
        <w:spacing w:after="40"/>
      </w:pPr>
    </w:p>
    <w:p>
      <w:pPr>
        <w:spacing w:after="200" w:before="0"/>
      </w:pPr>
      <w:r>
        <w:rPr>
          <w:b w:val="0"/>
          <w:i/>
          <w:color w:val="6E7B77"/>
          <w:sz w:val="17"/>
        </w:rPr>
        <w:t>Table 35.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304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1 September 2026 and the closing price of 2026-08-06.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