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1.57 on 7 August 2026 · study dated 9 August 2026, revised 17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and no rating, and it expresses no single-number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Revised 17 August 2026 following an external audit. </w:t>
            </w:r>
            <w:r>
              <w:rPr>
                <w:color w:val="1C3A36"/>
                <w:sz w:val="19"/>
              </w:rPr>
              <w:t>The changes and their prices are catalogued in the accompanying critique-response note (77 findings, each answered). The re-check also surfaced two corrections of this study's own making, disclosed openly: the first edition's FY2025 statement face carried administrative expenses of 246.6 and other income of 14.6 where the audited figures are 256.4 and 24.4 — both pairs close the operating-profit identity to the dirham, which is why the arithmetic cross-check could not catch the mis-split — and rental income earned on the investment properties was counted in operating cash flow while the properties were also added in the valuation bridge; it is now excluded from operating earnings.</w:t>
            </w:r>
          </w:p>
          <w:p>
            <w:pPr>
              <w:spacing w:after="100"/>
            </w:pPr>
            <w:r>
              <w:rPr>
                <w:b/>
                <w:color w:val="1C3A36"/>
                <w:sz w:val="19"/>
              </w:rPr>
              <w:t xml:space="preserve">Conventions of this revision. </w:t>
            </w:r>
            <w:r>
              <w:rPr>
                <w:color w:val="1C3A36"/>
                <w:sz w:val="19"/>
              </w:rPr>
              <w:t>The valuation clock sits at 30 June 2026: 2026 contributes only its second half, discounted at half a year, with later year-ends at one-and-a-half to four-and-a-half years. Operating EBITDA excludes the interest earned on the related-party acquisition receivables and the rental income on the investment properties; both assets enter the bridge at book value instead. The terminal value runs in two stages — ten years of volume-only growth, then a lower perpetuity.</w:t>
            </w:r>
          </w:p>
          <w:p>
            <w:pPr>
              <w:spacing w:after="100"/>
            </w:pPr>
            <w:r>
              <w:rPr>
                <w:b/>
                <w:color w:val="1C3A36"/>
                <w:sz w:val="19"/>
              </w:rPr>
              <w:t xml:space="preserve">The first structural judgement — the consumption question, framed twice. </w:t>
            </w:r>
            <w:r>
              <w:rPr>
                <w:color w:val="1C3A36"/>
                <w:sz w:val="19"/>
              </w:rPr>
              <w:t>Chilled-water consumption per connected refrigeration ton fell sharply in the first half of 2026, in a conflict year, and the shares fell with it. Whether usage recovers is computed BOTH ways as full models — a recovery (de-escalation) case and a continuation case in which the world stays as it stood at the anchor date — and NEITHER is privileged as the base: the two are published side by side, exactly like the tax framings. The quantitative finding survives either way: because roughly 76% of consumption revenue is electricity and water purchased from DEWA and passed through, permanent loss of the usage shock moves the discounted-cash-flow value by only 2.8%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2.100 against 1.944 on the primary lens; weighted centrals of 1.84 against 1.72 in the recovery case and 1.81 against 1.69 in the continuation case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and cost-of-capital constructions — the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by the company's own 2022 listing-era disclosure, not restated since.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(derived as audited operating profit plus depreciation and amortisation; the company's own reported EBITDA figures differ slightly in definition), revenue compounded from AED 2,464mn (2021) to 3,419mn (2025), and net profit reached AED 1,004mn in 2025. Net debt was AED 2,991mn at 30 June 2026 (1.8× 2025 EBITDA) after the 2025 refinancing into two AED 2.75bn revolving tranches at a reduced margin — of which one has since been extended to February 2028 while the other still matures September 2027. The dividend is committed at AED 875mn a year for 2025 and 2026 — 0.087 per share, a 5.6% yield at the anchor price — and free cash flow to equity runs almost exactly at the payout: covered, but not slack.</w:t>
      </w:r>
    </w:p>
    <w:p>
      <w:pPr>
        <w:spacing w:after="120" w:before="0"/>
      </w:pPr>
      <w:r>
        <w:rPr>
          <w:b w:val="0"/>
          <w:i w:val="0"/>
          <w:color w:val="1C3A36"/>
          <w:sz w:val="21"/>
        </w:rPr>
        <w:t>2026 is the conflict year, and the facts as they stood at the anchor date are stated plainly. Iran struck the Fujairah oil-industry zone on 4 May and clashed with US forces in the Strait of Hormuz over the following days; the truce brokered in the spring was declared over on 8 July — a month before this study's anchor; the strait itself was closed from 11 July, under a US naval blockade from 14 July, and REMAINED CLOSED at the 7 August anchor; an ADNOC tanker was attacked at sea the day after the anchor. No strike on UAE soil has been recorded since 8 July. The Dubai market index fell 21.9% peak to trough (closing basis: 6,774 on 2026-02-09 to 5,289 on 2026-03-16) and the central bank cut its 2026 GDP growth projection from 5.6% to 1.7% — while projecting a 9.8% rebound in 2027 and calling the slowdown a temporary moderation; both legs of that forecast are cited wherever the cut is. Empower's first half showed the transmission mechanism: revenue grew +4.5%, but the second quarter standalone FELL 2.7% year on year as consumption dropped 42m ton-hours (equivalent full-load hours -9% to 698 hours), tied by the interim notes mainly to lower hospitality activity — the company's own attribution; weather was a minor factor. Yet the shock half produced record profits: profit before tax of AED 514.0mn (+16.2%), net profit of 468mn (+16.2%) and EBITDA of 773mn (+7.5%) as presented — which SUPPORTS the pass-through arithmetic at the heart of this study. The shares closed the anchor session at 1.57, 23% below their 52-week high of 1.96, the last leg of the fall running from 1.60 on 4 August to 1.50 on 7 August around the half-year results (statements dated 5 August, released and covered 5–6 August).</w:t>
      </w:r>
    </w:p>
    <w:p>
      <w:pPr>
        <w:spacing w:after="120" w:before="0"/>
      </w:pPr>
      <w:r>
        <w:rPr>
          <w:b w:val="0"/>
          <w:i w:val="0"/>
          <w:color w:val="1C3A36"/>
          <w:sz w:val="21"/>
        </w:rPr>
        <w:t>On the four lenses used here the fair-value field carries TWO centrals, published side by side like the tax framings, because the macro condition dividing them had not resolved at the anchor: a recovery (de-escalation) case at AED 1.84 per share under the 9% tax framing (1.72 at 15%) — a case that requires a de-escalation which had NOT occurred at the anchor date — and a continuation case, describing the world as it stood on the published facts, at 1.81 (1.69). The scenario field runs 1.440 to 2.138 bear to bull, against a market price of 1.57. One disclosed transaction brackets the question from above: DEWA took its stake from 56% to 80% in February 2026 by buying Dubai Holding's 24% at AED 2.16 per share — a related-party CONTROL price, +38% above the anchor close, recorded here as a reference point and never as fair value.</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As of this 17 August revision — a dated postscript. </w:t>
            </w:r>
            <w:r>
              <w:rPr>
                <w:color w:val="1C3A36"/>
                <w:sz w:val="19"/>
              </w:rPr>
              <w:t>ADNOC vessels were attacked passing the strait on 12 and 14 August; an Iran–Oman agreement to reopen the strait was announced on 17 August but had not been implemented; and the formal ceasefire ended on 17 August as the 60-day negotiation deadline passed. None of this is in the numbers: the valuation remains anchored on the 7 August close and the facts as of that date, and the recovery/continuation framing above is how a reader should carry the news flow into it.</w:t>
            </w:r>
          </w:p>
        </w:tc>
      </w:tr>
    </w:tbl>
    <w:p>
      <w:pPr>
        <w:spacing w:after="40"/>
      </w:pP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both central estimates, the market price of 1.57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from a 30-June-2026 valuation clock, cost of capital 7.64%, two-stage terminal (ten years at 2.5% volume-only growth, then 1.5%). Terminal value = 77.9% of enterprise value (77.8% under the 15% framing) — disclosed here, in the bridge and in section 1.9</w:t>
            </w:r>
          </w:p>
        </w:tc>
        <w:tc>
          <w:tcPr>
            <w:tcW w:type="dxa" w:w="1368"/>
          </w:tcPr>
          <w:p>
            <w:pPr>
              <w:spacing w:after="20"/>
              <w:jc w:val="right"/>
            </w:pPr>
            <w:r>
              <w:rPr>
                <w:color w:val="1C3A36"/>
                <w:sz w:val="16"/>
              </w:rPr>
              <w:t>2.100</w:t>
            </w:r>
          </w:p>
        </w:tc>
        <w:tc>
          <w:tcPr>
            <w:tcW w:type="dxa" w:w="1368"/>
          </w:tcPr>
          <w:p>
            <w:pPr>
              <w:spacing w:after="20"/>
              <w:jc w:val="right"/>
            </w:pPr>
            <w:r>
              <w:rPr>
                <w:color w:val="1C3A36"/>
                <w:sz w:val="16"/>
              </w:rPr>
              <w:t>1.944</w:t>
            </w:r>
          </w:p>
        </w:tc>
        <w:tc>
          <w:tcPr>
            <w:tcW w:type="dxa" w:w="864"/>
          </w:tcPr>
          <w:p>
            <w:pPr>
              <w:spacing w:after="20"/>
              <w:jc w:val="right"/>
            </w:pPr>
            <w:r>
              <w:rPr>
                <w:color w:val="1C3A36"/>
                <w:sz w:val="16"/>
              </w:rPr>
              <w:t>+34%</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10.1× trailing EV/EBITDA on trailing operating EBITDA, like-for-like (gives 1.444); Tabreed 15.0× P/E on 2026E attributable profit (gives 1.537). Peer marks restruck at the anchor (Tabreed 2.46 on 6–7 August). Peers are themselves war-depressed — a market-regime reading, not an independent fundamental</w:t>
            </w:r>
          </w:p>
        </w:tc>
        <w:tc>
          <w:tcPr>
            <w:tcW w:type="dxa" w:w="1368"/>
          </w:tcPr>
          <w:p>
            <w:pPr>
              <w:spacing w:after="20"/>
              <w:jc w:val="right"/>
            </w:pPr>
            <w:r>
              <w:rPr>
                <w:color w:val="1C3A36"/>
                <w:sz w:val="16"/>
              </w:rPr>
              <w:t>1.444</w:t>
            </w:r>
          </w:p>
        </w:tc>
        <w:tc>
          <w:tcPr>
            <w:tcW w:type="dxa" w:w="1368"/>
          </w:tcPr>
          <w:p>
            <w:pPr>
              <w:spacing w:after="20"/>
              <w:jc w:val="right"/>
            </w:pPr>
            <w:r>
              <w:rPr>
                <w:color w:val="1C3A36"/>
                <w:sz w:val="16"/>
              </w:rPr>
              <w:t>1.444</w:t>
            </w:r>
          </w:p>
        </w:tc>
        <w:tc>
          <w:tcPr>
            <w:tcW w:type="dxa" w:w="864"/>
          </w:tcPr>
          <w:p>
            <w:pPr>
              <w:spacing w:after="20"/>
              <w:jc w:val="right"/>
            </w:pPr>
            <w:r>
              <w:rPr>
                <w:color w:val="1C3A36"/>
                <w:sz w:val="16"/>
              </w:rPr>
              <w:t>-8%</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forward justified multiple 16.0× from the sustainable return and the cost of equity (15.9× with the return re-taxed at 15%)</w:t>
            </w:r>
          </w:p>
        </w:tc>
        <w:tc>
          <w:tcPr>
            <w:tcW w:type="dxa" w:w="1368"/>
          </w:tcPr>
          <w:p>
            <w:pPr>
              <w:spacing w:after="20"/>
              <w:jc w:val="right"/>
            </w:pPr>
            <w:r>
              <w:rPr>
                <w:color w:val="1C3A36"/>
                <w:sz w:val="16"/>
              </w:rPr>
              <w:t>1.681</w:t>
            </w:r>
          </w:p>
        </w:tc>
        <w:tc>
          <w:tcPr>
            <w:tcW w:type="dxa" w:w="1368"/>
          </w:tcPr>
          <w:p>
            <w:pPr>
              <w:spacing w:after="20"/>
              <w:jc w:val="right"/>
            </w:pPr>
            <w:r>
              <w:rPr>
                <w:color w:val="1C3A36"/>
                <w:sz w:val="16"/>
              </w:rPr>
              <w:t>1.560</w:t>
            </w:r>
          </w:p>
        </w:tc>
        <w:tc>
          <w:tcPr>
            <w:tcW w:type="dxa" w:w="864"/>
          </w:tcPr>
          <w:p>
            <w:pPr>
              <w:spacing w:after="20"/>
              <w:jc w:val="right"/>
            </w:pPr>
            <w:r>
              <w:rPr>
                <w:color w:val="1C3A36"/>
                <w:sz w:val="16"/>
              </w:rPr>
              <w:t>+7%</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 (4.5× with the return re-taxed at 15%)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1.513</w:t>
            </w:r>
          </w:p>
        </w:tc>
        <w:tc>
          <w:tcPr>
            <w:tcW w:type="dxa" w:w="864"/>
          </w:tcPr>
          <w:p>
            <w:pPr>
              <w:spacing w:after="20"/>
              <w:jc w:val="right"/>
            </w:pPr>
            <w:r>
              <w:rPr>
                <w:color w:val="1C3A36"/>
                <w:sz w:val="16"/>
              </w:rPr>
              <w:t>+4%</w:t>
            </w:r>
          </w:p>
        </w:tc>
      </w:tr>
      <w:tr>
        <w:tc>
          <w:tcPr>
            <w:tcW w:type="dxa" w:w="1872"/>
            <w:shd w:val="clear" w:color="auto" w:fill="F6F1E6"/>
          </w:tcPr>
          <w:p>
            <w:pPr>
              <w:spacing w:after="20"/>
            </w:pPr>
            <w:r>
              <w:rPr>
                <w:b/>
                <w:color w:val="1C3A36"/>
                <w:sz w:val="16"/>
              </w:rPr>
              <w:t>Weighted central — recovery (de-escalation) case</w:t>
            </w:r>
          </w:p>
        </w:tc>
        <w:tc>
          <w:tcPr>
            <w:tcW w:type="dxa" w:w="4320"/>
            <w:shd w:val="clear" w:color="auto" w:fill="F6F1E6"/>
          </w:tcPr>
          <w:p>
            <w:pPr>
              <w:spacing w:after="20"/>
              <w:jc w:val="right"/>
            </w:pPr>
            <w:r>
              <w:rPr>
                <w:b/>
                <w:color w:val="1C3A36"/>
                <w:sz w:val="16"/>
              </w:rPr>
              <w:t>cash flow 50% · relative 20% · normalised 15% · book 15%; requires a de-escalation that had NOT occurred at the anchor date</w:t>
            </w:r>
          </w:p>
        </w:tc>
        <w:tc>
          <w:tcPr>
            <w:tcW w:type="dxa" w:w="1368"/>
            <w:shd w:val="clear" w:color="auto" w:fill="F6F1E6"/>
          </w:tcPr>
          <w:p>
            <w:pPr>
              <w:spacing w:after="20"/>
              <w:jc w:val="right"/>
            </w:pPr>
            <w:r>
              <w:rPr>
                <w:b/>
                <w:color w:val="1C3A36"/>
                <w:sz w:val="16"/>
              </w:rPr>
              <w:t>1.84</w:t>
            </w:r>
          </w:p>
        </w:tc>
        <w:tc>
          <w:tcPr>
            <w:tcW w:type="dxa" w:w="1368"/>
            <w:shd w:val="clear" w:color="auto" w:fill="F6F1E6"/>
          </w:tcPr>
          <w:p>
            <w:pPr>
              <w:spacing w:after="20"/>
              <w:jc w:val="right"/>
            </w:pPr>
            <w:r>
              <w:rPr>
                <w:b/>
                <w:color w:val="1C3A36"/>
                <w:sz w:val="16"/>
              </w:rPr>
              <w:t>1.72</w:t>
            </w:r>
          </w:p>
        </w:tc>
        <w:tc>
          <w:tcPr>
            <w:tcW w:type="dxa" w:w="864"/>
            <w:shd w:val="clear" w:color="auto" w:fill="F6F1E6"/>
          </w:tcPr>
          <w:p>
            <w:pPr>
              <w:spacing w:after="20"/>
              <w:jc w:val="right"/>
            </w:pPr>
            <w:r>
              <w:rPr>
                <w:b/>
                <w:color w:val="1C3A36"/>
                <w:sz w:val="16"/>
              </w:rPr>
              <w:t>+17%</w:t>
            </w:r>
          </w:p>
        </w:tc>
      </w:tr>
      <w:tr>
        <w:tc>
          <w:tcPr>
            <w:tcW w:type="dxa" w:w="1872"/>
            <w:shd w:val="clear" w:color="auto" w:fill="F6F1E6"/>
          </w:tcPr>
          <w:p>
            <w:pPr>
              <w:spacing w:after="20"/>
            </w:pPr>
            <w:r>
              <w:rPr>
                <w:b/>
                <w:color w:val="1C3A36"/>
                <w:sz w:val="16"/>
              </w:rPr>
              <w:t>Weighted central — continuation case</w:t>
            </w:r>
          </w:p>
        </w:tc>
        <w:tc>
          <w:tcPr>
            <w:tcW w:type="dxa" w:w="4320"/>
            <w:shd w:val="clear" w:color="auto" w:fill="F6F1E6"/>
          </w:tcPr>
          <w:p>
            <w:pPr>
              <w:spacing w:after="20"/>
              <w:jc w:val="right"/>
            </w:pPr>
            <w:r>
              <w:rPr>
                <w:b/>
                <w:color w:val="1C3A36"/>
                <w:sz w:val="16"/>
              </w:rPr>
              <w:t>same weights on the consumption-never-recovers build — the world as it stood on the published facts at the anchor; neither central is privileged over the other</w:t>
            </w:r>
          </w:p>
        </w:tc>
        <w:tc>
          <w:tcPr>
            <w:tcW w:type="dxa" w:w="1368"/>
            <w:shd w:val="clear" w:color="auto" w:fill="F6F1E6"/>
          </w:tcPr>
          <w:p>
            <w:pPr>
              <w:spacing w:after="20"/>
              <w:jc w:val="right"/>
            </w:pPr>
            <w:r>
              <w:rPr>
                <w:b/>
                <w:color w:val="1C3A36"/>
                <w:sz w:val="16"/>
              </w:rPr>
              <w:t>1.81</w:t>
            </w:r>
          </w:p>
        </w:tc>
        <w:tc>
          <w:tcPr>
            <w:tcW w:type="dxa" w:w="1368"/>
            <w:shd w:val="clear" w:color="auto" w:fill="F6F1E6"/>
          </w:tcPr>
          <w:p>
            <w:pPr>
              <w:spacing w:after="20"/>
              <w:jc w:val="right"/>
            </w:pPr>
            <w:r>
              <w:rPr>
                <w:b/>
                <w:color w:val="1C3A36"/>
                <w:sz w:val="16"/>
              </w:rPr>
              <w:t>1.69</w:t>
            </w:r>
          </w:p>
        </w:tc>
        <w:tc>
          <w:tcPr>
            <w:tcW w:type="dxa" w:w="864"/>
            <w:shd w:val="clear" w:color="auto" w:fill="F6F1E6"/>
          </w:tcPr>
          <w:p>
            <w:pPr>
              <w:spacing w:after="20"/>
              <w:jc w:val="right"/>
            </w:pPr>
            <w:r>
              <w:rPr>
                <w:b/>
                <w:color w:val="1C3A36"/>
                <w:sz w:val="16"/>
              </w:rPr>
              <w:t>+15%</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1.440 (war re-escalation, usage never recovers, 15% tax, +100bp on the cost of equity) to bull 2.138 (full recovery, 110k RT/yr)</w:t>
            </w:r>
          </w:p>
        </w:tc>
        <w:tc>
          <w:tcPr>
            <w:tcW w:type="dxa" w:w="1368"/>
          </w:tcPr>
          <w:p>
            <w:pPr>
              <w:spacing w:after="20"/>
              <w:jc w:val="right"/>
            </w:pPr>
            <w:r>
              <w:rPr>
                <w:color w:val="1C3A36"/>
                <w:sz w:val="16"/>
              </w:rPr>
              <w:t>1.440 – 2.138</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-0%</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1.57</w:t>
            </w:r>
          </w:p>
        </w:tc>
        <w:tc>
          <w:tcPr>
            <w:tcW w:type="dxa" w:w="1368"/>
          </w:tcPr>
          <w:p>
            <w:pPr>
              <w:spacing w:after="20"/>
              <w:jc w:val="right"/>
            </w:pPr>
            <w:r>
              <w:rPr>
                <w:color w:val="1C3A36"/>
                <w:sz w:val="16"/>
              </w:rPr>
              <w:t>1.57</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+38%</w:t>
            </w:r>
          </w:p>
        </w:tc>
      </w:tr>
    </w:tbl>
    <w:p>
      <w:pPr>
        <w:spacing w:after="40"/>
      </w:pPr>
    </w:p>
    <w:p>
      <w:pPr>
        <w:spacing w:after="200" w:before="0"/>
      </w:pPr>
      <w:r>
        <w:rPr>
          <w:b w:val="0"/>
          <w:i/>
          <w:color w:val="6E7B77"/>
          <w:sz w:val="17"/>
        </w:rPr>
        <w:t>Fair values are ranges and distributions, never a target; the centrals are printed to two decimals as summaries of ranges, the field is scenario risk, and construction risk is additional to it — on the primary lens the priced cost-of-capital constructions alone span 2.04 to 2.48 (section 1.8). The two tax columns are one of the study's two central contested judgements published in full: 9% is the audited 2025 effective rate, 15% is the domestic minimum top-up rate that would apply if consolidation into the DEWA group sweeps Empower into the OECD minimum-tax regime; the recovery/continuation pair is the other, framed the same way. Nothing is averaged anywhere in this document. The terminal-value share of enterprise value (77.9%)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15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85%-owned subsidiary (DXB CoolCo — per the audited filings, an exclusive 35-year concession running from 5 July 2023, acquired in 2023 with the seller retaining the 15% minority;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 (the company's 2022 listing-era disclosure, not restated since)</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The Regulatory and Supervisory Bureau ASSESSES tariff submissions and RECOMMENDS; approval rests with the Dubai Supreme Council of Energy. The bureau's tariff instrument (version 1.3, September 2025; 1.4, February 2026) sets explicit caps — 0.643 AED per ton-hour for consumption with capacity, fuel surcharge included (0.075 for the surcharge itself), an AED 30/month billing fee, an excess-demand fee capped at 120% of the capacity tariff — and states verbatim that tariff arrangements including indexation or escalation of capacity charges will not be approved. A November 2025 resolution adds an annual service fee of AED 1.55 per refrigeration ton (about AED 2.6mn a year on the connected base, roughly 0.005/share capitalised — immaterial, and expensed in these words) and an AED 100,000 fine for charging unapproved tariffs. This study holds the tariff FLAT in nominal AED throughout — which the no-indexation rule turns from a conservative choice into a regulatory constraint, while also removing any tariff-escalation upside: terminal growth must be volume-only</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15,700mn at the anchor price of 1.57</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tranches refinanced in 2025 at a reduced margin over EIBOR — one since extended to February 2028, the other still maturing September 2027 —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5.6%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valuation clock sits at 30 June 2026: 2026 contributes only its second half, discounted at half a year, with later year-ends at one-and-a-half to four-and-a-half years and the terminal at four-and-a-half — the alternative convention of discounting the full 2026 year against the June balance sheet would have counted the roughly AED 200mn of cash generated in the first half twice. The waterfall below runs the recovery case at the 9% audited tax rate; the 15% minimum-tax framing follows it, in full, immediately after, and the continuation case is a full parallel model in section 1.7.</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 xml:space="preserve">  of which pre-insulated pipes</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r>
      <w:tr>
        <w:tc>
          <w:tcPr>
            <w:tcW w:type="dxa" w:w="3312"/>
          </w:tcPr>
          <w:p>
            <w:pPr>
              <w:spacing w:after="20"/>
            </w:pPr>
            <w:r>
              <w:rPr>
                <w:color w:val="1C3A36"/>
                <w:sz w:val="17"/>
              </w:rPr>
              <w:t>Operating EBITDA</w:t>
            </w:r>
          </w:p>
        </w:tc>
        <w:tc>
          <w:tcPr>
            <w:tcW w:type="dxa" w:w="1354"/>
          </w:tcPr>
          <w:p>
            <w:pPr>
              <w:spacing w:after="20"/>
              <w:jc w:val="right"/>
            </w:pPr>
            <w:r>
              <w:rPr>
                <w:color w:val="1C3A36"/>
                <w:sz w:val="17"/>
              </w:rPr>
              <w:t>1,628</w:t>
            </w:r>
          </w:p>
        </w:tc>
        <w:tc>
          <w:tcPr>
            <w:tcW w:type="dxa" w:w="1354"/>
          </w:tcPr>
          <w:p>
            <w:pPr>
              <w:spacing w:after="20"/>
              <w:jc w:val="right"/>
            </w:pPr>
            <w:r>
              <w:rPr>
                <w:color w:val="1C3A36"/>
                <w:sz w:val="17"/>
              </w:rPr>
              <w:t>1,769</w:t>
            </w:r>
          </w:p>
        </w:tc>
        <w:tc>
          <w:tcPr>
            <w:tcW w:type="dxa" w:w="1354"/>
          </w:tcPr>
          <w:p>
            <w:pPr>
              <w:spacing w:after="20"/>
              <w:jc w:val="right"/>
            </w:pPr>
            <w:r>
              <w:rPr>
                <w:color w:val="1C3A36"/>
                <w:sz w:val="17"/>
              </w:rPr>
              <w:t>1,873</w:t>
            </w:r>
          </w:p>
        </w:tc>
        <w:tc>
          <w:tcPr>
            <w:tcW w:type="dxa" w:w="1354"/>
          </w:tcPr>
          <w:p>
            <w:pPr>
              <w:spacing w:after="20"/>
              <w:jc w:val="right"/>
            </w:pPr>
            <w:r>
              <w:rPr>
                <w:color w:val="1C3A36"/>
                <w:sz w:val="17"/>
              </w:rPr>
              <w:t>1,964</w:t>
            </w:r>
          </w:p>
        </w:tc>
        <w:tc>
          <w:tcPr>
            <w:tcW w:type="dxa" w:w="1354"/>
          </w:tcPr>
          <w:p>
            <w:pPr>
              <w:spacing w:after="20"/>
              <w:jc w:val="right"/>
            </w:pPr>
            <w:r>
              <w:rPr>
                <w:color w:val="1C3A36"/>
                <w:sz w:val="17"/>
              </w:rPr>
              <w:t>2,042</w:t>
            </w:r>
          </w:p>
        </w:tc>
      </w:tr>
      <w:tr>
        <w:tc>
          <w:tcPr>
            <w:tcW w:type="dxa" w:w="3312"/>
          </w:tcPr>
          <w:p>
            <w:pPr>
              <w:spacing w:after="20"/>
            </w:pPr>
            <w:r>
              <w:rPr>
                <w:color w:val="1C3A36"/>
                <w:sz w:val="17"/>
              </w:rPr>
              <w:t>Operating EBITDA margin</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46.1%</w:t>
            </w:r>
          </w:p>
        </w:tc>
        <w:tc>
          <w:tcPr>
            <w:tcW w:type="dxa" w:w="1354"/>
          </w:tcPr>
          <w:p>
            <w:pPr>
              <w:spacing w:after="20"/>
              <w:jc w:val="right"/>
            </w:pPr>
            <w:r>
              <w:rPr>
                <w:color w:val="1C3A36"/>
                <w:sz w:val="17"/>
              </w:rPr>
              <w:t>46.3%</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46.6%</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1,248</w:t>
            </w:r>
          </w:p>
        </w:tc>
        <w:tc>
          <w:tcPr>
            <w:tcW w:type="dxa" w:w="1354"/>
          </w:tcPr>
          <w:p>
            <w:pPr>
              <w:spacing w:after="20"/>
              <w:jc w:val="right"/>
            </w:pPr>
            <w:r>
              <w:rPr>
                <w:color w:val="1C3A36"/>
                <w:sz w:val="17"/>
              </w:rPr>
              <w:t>1,379</w:t>
            </w:r>
          </w:p>
        </w:tc>
        <w:tc>
          <w:tcPr>
            <w:tcW w:type="dxa" w:w="1354"/>
          </w:tcPr>
          <w:p>
            <w:pPr>
              <w:spacing w:after="20"/>
              <w:jc w:val="right"/>
            </w:pPr>
            <w:r>
              <w:rPr>
                <w:color w:val="1C3A36"/>
                <w:sz w:val="17"/>
              </w:rPr>
              <w:t>1,473</w:t>
            </w:r>
          </w:p>
        </w:tc>
        <w:tc>
          <w:tcPr>
            <w:tcW w:type="dxa" w:w="1354"/>
          </w:tcPr>
          <w:p>
            <w:pPr>
              <w:spacing w:after="20"/>
              <w:jc w:val="right"/>
            </w:pPr>
            <w:r>
              <w:rPr>
                <w:color w:val="1C3A36"/>
                <w:sz w:val="17"/>
              </w:rPr>
              <w:t>1,558</w:t>
            </w:r>
          </w:p>
        </w:tc>
        <w:tc>
          <w:tcPr>
            <w:tcW w:type="dxa" w:w="1354"/>
          </w:tcPr>
          <w:p>
            <w:pPr>
              <w:spacing w:after="20"/>
              <w:jc w:val="right"/>
            </w:pPr>
            <w:r>
              <w:rPr>
                <w:color w:val="1C3A36"/>
                <w:sz w:val="17"/>
              </w:rPr>
              <w:t>1,634</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1,135</w:t>
            </w:r>
          </w:p>
        </w:tc>
        <w:tc>
          <w:tcPr>
            <w:tcW w:type="dxa" w:w="1354"/>
          </w:tcPr>
          <w:p>
            <w:pPr>
              <w:spacing w:after="20"/>
              <w:jc w:val="right"/>
            </w:pPr>
            <w:r>
              <w:rPr>
                <w:color w:val="1C3A36"/>
                <w:sz w:val="17"/>
              </w:rPr>
              <w:t>1,255</w:t>
            </w:r>
          </w:p>
        </w:tc>
        <w:tc>
          <w:tcPr>
            <w:tcW w:type="dxa" w:w="1354"/>
          </w:tcPr>
          <w:p>
            <w:pPr>
              <w:spacing w:after="20"/>
              <w:jc w:val="right"/>
            </w:pPr>
            <w:r>
              <w:rPr>
                <w:color w:val="1C3A36"/>
                <w:sz w:val="17"/>
              </w:rPr>
              <w:t>1,341</w:t>
            </w:r>
          </w:p>
        </w:tc>
        <w:tc>
          <w:tcPr>
            <w:tcW w:type="dxa" w:w="1354"/>
          </w:tcPr>
          <w:p>
            <w:pPr>
              <w:spacing w:after="20"/>
              <w:jc w:val="right"/>
            </w:pPr>
            <w:r>
              <w:rPr>
                <w:color w:val="1C3A36"/>
                <w:sz w:val="17"/>
              </w:rPr>
              <w:t>1,418</w:t>
            </w:r>
          </w:p>
        </w:tc>
        <w:tc>
          <w:tcPr>
            <w:tcW w:type="dxa" w:w="1354"/>
          </w:tcPr>
          <w:p>
            <w:pPr>
              <w:spacing w:after="20"/>
              <w:jc w:val="right"/>
            </w:pPr>
            <w:r>
              <w:rPr>
                <w:color w:val="1C3A36"/>
                <w:sz w:val="17"/>
              </w:rPr>
              <w:t>1,487</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 (full-year rate)</w:t>
            </w:r>
          </w:p>
        </w:tc>
        <w:tc>
          <w:tcPr>
            <w:tcW w:type="dxa" w:w="1354"/>
            <w:shd w:val="clear" w:color="auto" w:fill="F6F1E6"/>
          </w:tcPr>
          <w:p>
            <w:pPr>
              <w:spacing w:after="20"/>
              <w:jc w:val="right"/>
            </w:pPr>
            <w:r>
              <w:rPr>
                <w:b/>
                <w:color w:val="1C3A36"/>
                <w:sz w:val="17"/>
              </w:rPr>
              <w:t>987</w:t>
            </w:r>
          </w:p>
        </w:tc>
        <w:tc>
          <w:tcPr>
            <w:tcW w:type="dxa" w:w="1354"/>
            <w:shd w:val="clear" w:color="auto" w:fill="F6F1E6"/>
          </w:tcPr>
          <w:p>
            <w:pPr>
              <w:spacing w:after="20"/>
              <w:jc w:val="right"/>
            </w:pPr>
            <w:r>
              <w:rPr>
                <w:b/>
                <w:color w:val="1C3A36"/>
                <w:sz w:val="17"/>
              </w:rPr>
              <w:t>1,271</w:t>
            </w:r>
          </w:p>
        </w:tc>
        <w:tc>
          <w:tcPr>
            <w:tcW w:type="dxa" w:w="1354"/>
            <w:shd w:val="clear" w:color="auto" w:fill="F6F1E6"/>
          </w:tcPr>
          <w:p>
            <w:pPr>
              <w:spacing w:after="20"/>
              <w:jc w:val="right"/>
            </w:pPr>
            <w:r>
              <w:rPr>
                <w:b/>
                <w:color w:val="1C3A36"/>
                <w:sz w:val="17"/>
              </w:rPr>
              <w:t>1,342</w:t>
            </w:r>
          </w:p>
        </w:tc>
        <w:tc>
          <w:tcPr>
            <w:tcW w:type="dxa" w:w="1354"/>
            <w:shd w:val="clear" w:color="auto" w:fill="F6F1E6"/>
          </w:tcPr>
          <w:p>
            <w:pPr>
              <w:spacing w:after="20"/>
              <w:jc w:val="right"/>
            </w:pPr>
            <w:r>
              <w:rPr>
                <w:b/>
                <w:color w:val="1C3A36"/>
                <w:sz w:val="17"/>
              </w:rPr>
              <w:t>1,463</w:t>
            </w:r>
          </w:p>
        </w:tc>
        <w:tc>
          <w:tcPr>
            <w:tcW w:type="dxa" w:w="1354"/>
            <w:shd w:val="clear" w:color="auto" w:fill="F6F1E6"/>
          </w:tcPr>
          <w:p>
            <w:pPr>
              <w:spacing w:after="20"/>
              <w:jc w:val="right"/>
            </w:pPr>
            <w:r>
              <w:rPr>
                <w:b/>
                <w:color w:val="1C3A36"/>
                <w:sz w:val="17"/>
              </w:rPr>
              <w:t>1,572</w:t>
            </w:r>
          </w:p>
        </w:tc>
      </w:tr>
      <w:tr>
        <w:tc>
          <w:tcPr>
            <w:tcW w:type="dxa" w:w="3312"/>
          </w:tcPr>
          <w:p>
            <w:pPr>
              <w:spacing w:after="20"/>
            </w:pPr>
            <w:r>
              <w:rPr>
                <w:color w:val="1C3A36"/>
                <w:sz w:val="17"/>
              </w:rPr>
              <w:t>Share of the year inside the valuation window</w:t>
            </w:r>
          </w:p>
        </w:tc>
        <w:tc>
          <w:tcPr>
            <w:tcW w:type="dxa" w:w="1354"/>
          </w:tcPr>
          <w:p>
            <w:pPr>
              <w:spacing w:after="20"/>
              <w:jc w:val="right"/>
            </w:pPr>
            <w:r>
              <w:rPr>
                <w:color w:val="1C3A36"/>
                <w:sz w:val="17"/>
              </w:rPr>
              <w:t>50%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0.9639</w:t>
            </w:r>
          </w:p>
        </w:tc>
        <w:tc>
          <w:tcPr>
            <w:tcW w:type="dxa" w:w="1354"/>
          </w:tcPr>
          <w:p>
            <w:pPr>
              <w:spacing w:after="20"/>
              <w:jc w:val="right"/>
            </w:pPr>
            <w:r>
              <w:rPr>
                <w:color w:val="1C3A36"/>
                <w:sz w:val="17"/>
              </w:rPr>
              <w:t>0.8955</w:t>
            </w:r>
          </w:p>
        </w:tc>
        <w:tc>
          <w:tcPr>
            <w:tcW w:type="dxa" w:w="1354"/>
          </w:tcPr>
          <w:p>
            <w:pPr>
              <w:spacing w:after="20"/>
              <w:jc w:val="right"/>
            </w:pPr>
            <w:r>
              <w:rPr>
                <w:color w:val="1C3A36"/>
                <w:sz w:val="17"/>
              </w:rPr>
              <w:t>0.8320</w:t>
            </w:r>
          </w:p>
        </w:tc>
        <w:tc>
          <w:tcPr>
            <w:tcW w:type="dxa" w:w="1354"/>
          </w:tcPr>
          <w:p>
            <w:pPr>
              <w:spacing w:after="20"/>
              <w:jc w:val="right"/>
            </w:pPr>
            <w:r>
              <w:rPr>
                <w:color w:val="1C3A36"/>
                <w:sz w:val="17"/>
              </w:rPr>
              <w:t>0.7729</w:t>
            </w:r>
          </w:p>
        </w:tc>
        <w:tc>
          <w:tcPr>
            <w:tcW w:type="dxa" w:w="1354"/>
          </w:tcPr>
          <w:p>
            <w:pPr>
              <w:spacing w:after="20"/>
              <w:jc w:val="right"/>
            </w:pPr>
            <w:r>
              <w:rPr>
                <w:color w:val="1C3A36"/>
                <w:sz w:val="17"/>
              </w:rPr>
              <w:t>0.7181</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476</w:t>
            </w:r>
          </w:p>
        </w:tc>
        <w:tc>
          <w:tcPr>
            <w:tcW w:type="dxa" w:w="1354"/>
            <w:shd w:val="clear" w:color="auto" w:fill="F6F1E6"/>
          </w:tcPr>
          <w:p>
            <w:pPr>
              <w:spacing w:after="20"/>
              <w:jc w:val="right"/>
            </w:pPr>
            <w:r>
              <w:rPr>
                <w:b/>
                <w:color w:val="1C3A36"/>
                <w:sz w:val="17"/>
              </w:rPr>
              <w:t>1,138</w:t>
            </w:r>
          </w:p>
        </w:tc>
        <w:tc>
          <w:tcPr>
            <w:tcW w:type="dxa" w:w="1354"/>
            <w:shd w:val="clear" w:color="auto" w:fill="F6F1E6"/>
          </w:tcPr>
          <w:p>
            <w:pPr>
              <w:spacing w:after="20"/>
              <w:jc w:val="right"/>
            </w:pPr>
            <w:r>
              <w:rPr>
                <w:b/>
                <w:color w:val="1C3A36"/>
                <w:sz w:val="17"/>
              </w:rPr>
              <w:t>1,117</w:t>
            </w:r>
          </w:p>
        </w:tc>
        <w:tc>
          <w:tcPr>
            <w:tcW w:type="dxa" w:w="1354"/>
            <w:shd w:val="clear" w:color="auto" w:fill="F6F1E6"/>
          </w:tcPr>
          <w:p>
            <w:pPr>
              <w:spacing w:after="20"/>
              <w:jc w:val="right"/>
            </w:pPr>
            <w:r>
              <w:rPr>
                <w:b/>
                <w:color w:val="1C3A36"/>
                <w:sz w:val="17"/>
              </w:rPr>
              <w:t>1,131</w:t>
            </w:r>
          </w:p>
        </w:tc>
        <w:tc>
          <w:tcPr>
            <w:tcW w:type="dxa" w:w="1354"/>
            <w:shd w:val="clear" w:color="auto" w:fill="F6F1E6"/>
          </w:tcPr>
          <w:p>
            <w:pPr>
              <w:spacing w:after="20"/>
              <w:jc w:val="right"/>
            </w:pPr>
            <w:r>
              <w:rPr>
                <w:b/>
                <w:color w:val="1C3A36"/>
                <w:sz w:val="17"/>
              </w:rPr>
              <w:t>1,129</w:t>
            </w:r>
          </w:p>
        </w:tc>
      </w:tr>
    </w:tbl>
    <w:p>
      <w:pPr>
        <w:spacing w:after="40"/>
      </w:pPr>
    </w:p>
    <w:p>
      <w:pPr>
        <w:spacing w:after="200" w:before="0"/>
      </w:pPr>
      <w:r>
        <w:rPr>
          <w:b w:val="0"/>
          <w:i/>
          <w:color w:val="6E7B77"/>
          <w:sz w:val="17"/>
        </w:rPr>
        <w:t>Every line is computed, not typed. The three revenue rows foot to the total. Operating EBITDA excludes the interest earned on the related-party acquisition receivables and the rental income on the investment properties — both assets are added at book in the bridge instead, so nothing is counted twice.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 FY2026 enters at half weight — the 30-June clock above.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1,061</w:t>
            </w:r>
          </w:p>
        </w:tc>
        <w:tc>
          <w:tcPr>
            <w:tcW w:type="dxa" w:w="1138"/>
          </w:tcPr>
          <w:p>
            <w:pPr>
              <w:spacing w:after="20"/>
              <w:jc w:val="right"/>
            </w:pPr>
            <w:r>
              <w:rPr>
                <w:color w:val="1C3A36"/>
                <w:sz w:val="17"/>
              </w:rPr>
              <w:t>1,172</w:t>
            </w:r>
          </w:p>
        </w:tc>
        <w:tc>
          <w:tcPr>
            <w:tcW w:type="dxa" w:w="1138"/>
          </w:tcPr>
          <w:p>
            <w:pPr>
              <w:spacing w:after="20"/>
              <w:jc w:val="right"/>
            </w:pPr>
            <w:r>
              <w:rPr>
                <w:color w:val="1C3A36"/>
                <w:sz w:val="17"/>
              </w:rPr>
              <w:t>1,252</w:t>
            </w:r>
          </w:p>
        </w:tc>
        <w:tc>
          <w:tcPr>
            <w:tcW w:type="dxa" w:w="1138"/>
          </w:tcPr>
          <w:p>
            <w:pPr>
              <w:spacing w:after="20"/>
              <w:jc w:val="right"/>
            </w:pPr>
            <w:r>
              <w:rPr>
                <w:color w:val="1C3A36"/>
                <w:sz w:val="17"/>
              </w:rPr>
              <w:t>1,325</w:t>
            </w:r>
          </w:p>
        </w:tc>
        <w:tc>
          <w:tcPr>
            <w:tcW w:type="dxa" w:w="1138"/>
          </w:tcPr>
          <w:p>
            <w:pPr>
              <w:spacing w:after="20"/>
              <w:jc w:val="right"/>
            </w:pPr>
            <w:r>
              <w:rPr>
                <w:color w:val="1C3A36"/>
                <w:sz w:val="17"/>
              </w:rPr>
              <w:t>1,389</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912</w:t>
            </w:r>
          </w:p>
        </w:tc>
        <w:tc>
          <w:tcPr>
            <w:tcW w:type="dxa" w:w="1138"/>
            <w:shd w:val="clear" w:color="auto" w:fill="F6F1E6"/>
          </w:tcPr>
          <w:p>
            <w:pPr>
              <w:spacing w:after="20"/>
              <w:jc w:val="right"/>
            </w:pPr>
            <w:r>
              <w:rPr>
                <w:b/>
                <w:color w:val="1C3A36"/>
                <w:sz w:val="17"/>
              </w:rPr>
              <w:t>1,188</w:t>
            </w:r>
          </w:p>
        </w:tc>
        <w:tc>
          <w:tcPr>
            <w:tcW w:type="dxa" w:w="1138"/>
            <w:shd w:val="clear" w:color="auto" w:fill="F6F1E6"/>
          </w:tcPr>
          <w:p>
            <w:pPr>
              <w:spacing w:after="20"/>
              <w:jc w:val="right"/>
            </w:pPr>
            <w:r>
              <w:rPr>
                <w:b/>
                <w:color w:val="1C3A36"/>
                <w:sz w:val="17"/>
              </w:rPr>
              <w:t>1,254</w:t>
            </w:r>
          </w:p>
        </w:tc>
        <w:tc>
          <w:tcPr>
            <w:tcW w:type="dxa" w:w="1138"/>
            <w:shd w:val="clear" w:color="auto" w:fill="F6F1E6"/>
          </w:tcPr>
          <w:p>
            <w:pPr>
              <w:spacing w:after="20"/>
              <w:jc w:val="right"/>
            </w:pPr>
            <w:r>
              <w:rPr>
                <w:b/>
                <w:color w:val="1C3A36"/>
                <w:sz w:val="17"/>
              </w:rPr>
              <w:t>1,369</w:t>
            </w:r>
          </w:p>
        </w:tc>
        <w:tc>
          <w:tcPr>
            <w:tcW w:type="dxa" w:w="1138"/>
            <w:shd w:val="clear" w:color="auto" w:fill="F6F1E6"/>
          </w:tcPr>
          <w:p>
            <w:pPr>
              <w:spacing w:after="20"/>
              <w:jc w:val="right"/>
            </w:pPr>
            <w:r>
              <w:rPr>
                <w:b/>
                <w:color w:val="1C3A36"/>
                <w:sz w:val="17"/>
              </w:rPr>
              <w:t>1,474</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440</w:t>
            </w:r>
          </w:p>
        </w:tc>
        <w:tc>
          <w:tcPr>
            <w:tcW w:type="dxa" w:w="1138"/>
          </w:tcPr>
          <w:p>
            <w:pPr>
              <w:spacing w:after="20"/>
              <w:jc w:val="right"/>
            </w:pPr>
            <w:r>
              <w:rPr>
                <w:color w:val="1C3A36"/>
                <w:sz w:val="17"/>
              </w:rPr>
              <w:t>1,064</w:t>
            </w:r>
          </w:p>
        </w:tc>
        <w:tc>
          <w:tcPr>
            <w:tcW w:type="dxa" w:w="1138"/>
          </w:tcPr>
          <w:p>
            <w:pPr>
              <w:spacing w:after="20"/>
              <w:jc w:val="right"/>
            </w:pPr>
            <w:r>
              <w:rPr>
                <w:color w:val="1C3A36"/>
                <w:sz w:val="17"/>
              </w:rPr>
              <w:t>1,043</w:t>
            </w:r>
          </w:p>
        </w:tc>
        <w:tc>
          <w:tcPr>
            <w:tcW w:type="dxa" w:w="1138"/>
          </w:tcPr>
          <w:p>
            <w:pPr>
              <w:spacing w:after="20"/>
              <w:jc w:val="right"/>
            </w:pPr>
            <w:r>
              <w:rPr>
                <w:color w:val="1C3A36"/>
                <w:sz w:val="17"/>
              </w:rPr>
              <w:t>1,058</w:t>
            </w:r>
          </w:p>
        </w:tc>
        <w:tc>
          <w:tcPr>
            <w:tcW w:type="dxa" w:w="1138"/>
          </w:tcPr>
          <w:p>
            <w:pPr>
              <w:spacing w:after="20"/>
              <w:jc w:val="right"/>
            </w:pPr>
            <w:r>
              <w:rPr>
                <w:color w:val="1C3A36"/>
                <w:sz w:val="17"/>
              </w:rPr>
              <w:t>1,059</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4,990</w:t>
            </w:r>
          </w:p>
        </w:tc>
        <w:tc>
          <w:tcPr>
            <w:tcW w:type="dxa" w:w="1368"/>
          </w:tcPr>
          <w:p>
            <w:pPr>
              <w:spacing w:after="20"/>
              <w:jc w:val="right"/>
            </w:pPr>
            <w:r>
              <w:rPr>
                <w:color w:val="1C3A36"/>
                <w:sz w:val="16"/>
              </w:rPr>
              <w:t>4,664</w:t>
            </w:r>
          </w:p>
        </w:tc>
        <w:tc>
          <w:tcPr>
            <w:tcW w:type="dxa" w:w="4176"/>
          </w:tcPr>
          <w:p>
            <w:pPr>
              <w:spacing w:after="20"/>
              <w:jc w:val="right"/>
            </w:pPr>
            <w:r>
              <w:rPr>
                <w:color w:val="1C3A36"/>
                <w:sz w:val="16"/>
              </w:rPr>
              <w:t>sum of the present-value rows above (2026 at half weight — the 30-June clock)</w:t>
            </w:r>
          </w:p>
        </w:tc>
      </w:tr>
      <w:tr>
        <w:tc>
          <w:tcPr>
            <w:tcW w:type="dxa" w:w="3168"/>
          </w:tcPr>
          <w:p>
            <w:pPr>
              <w:spacing w:after="20"/>
            </w:pPr>
            <w:r>
              <w:rPr>
                <w:color w:val="1C3A36"/>
                <w:sz w:val="16"/>
              </w:rPr>
              <w:t>Terminal value (two-stage)</w:t>
            </w:r>
          </w:p>
        </w:tc>
        <w:tc>
          <w:tcPr>
            <w:tcW w:type="dxa" w:w="1368"/>
          </w:tcPr>
          <w:p>
            <w:pPr>
              <w:spacing w:after="20"/>
              <w:jc w:val="right"/>
            </w:pPr>
            <w:r>
              <w:rPr>
                <w:color w:val="1C3A36"/>
                <w:sz w:val="16"/>
              </w:rPr>
              <w:t>24,553</w:t>
            </w:r>
          </w:p>
        </w:tc>
        <w:tc>
          <w:tcPr>
            <w:tcW w:type="dxa" w:w="1368"/>
          </w:tcPr>
          <w:p>
            <w:pPr>
              <w:spacing w:after="20"/>
              <w:jc w:val="right"/>
            </w:pPr>
            <w:r>
              <w:rPr>
                <w:color w:val="1C3A36"/>
                <w:sz w:val="16"/>
              </w:rPr>
              <w:t>22,821</w:t>
            </w:r>
          </w:p>
        </w:tc>
        <w:tc>
          <w:tcPr>
            <w:tcW w:type="dxa" w:w="4176"/>
          </w:tcPr>
          <w:p>
            <w:pPr>
              <w:spacing w:after="20"/>
              <w:jc w:val="right"/>
            </w:pPr>
            <w:r>
              <w:rPr>
                <w:color w:val="1C3A36"/>
                <w:sz w:val="16"/>
              </w:rPr>
              <w:t>stage one: ten further years of ordinary cash flow growing at 2.5% — volume-only under the regulator's no-indexation rule; stage two: a perpetuity at 1.5%. In BOTH stages the cash flow is profit after tax, plus the book depreciation charge, less what replacing the plant costs at today's prices over the 28.1-year life the depreciation notes imply, less the capital growth consumes, less inflation on working capital — which is a CREDIT here, because this company is funded by its own customers</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17,631</w:t>
            </w:r>
          </w:p>
        </w:tc>
        <w:tc>
          <w:tcPr>
            <w:tcW w:type="dxa" w:w="1368"/>
          </w:tcPr>
          <w:p>
            <w:pPr>
              <w:spacing w:after="20"/>
              <w:jc w:val="right"/>
            </w:pPr>
            <w:r>
              <w:rPr>
                <w:color w:val="1C3A36"/>
                <w:sz w:val="16"/>
              </w:rPr>
              <w:t>16,387</w:t>
            </w:r>
          </w:p>
        </w:tc>
        <w:tc>
          <w:tcPr>
            <w:tcW w:type="dxa" w:w="4176"/>
          </w:tcPr>
          <w:p>
            <w:pPr>
              <w:spacing w:after="20"/>
              <w:jc w:val="right"/>
            </w:pPr>
            <w:r>
              <w:rPr>
                <w:color w:val="1C3A36"/>
                <w:sz w:val="16"/>
              </w:rPr>
              <w:t>discounted at the year-4.5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22,622</w:t>
            </w:r>
          </w:p>
        </w:tc>
        <w:tc>
          <w:tcPr>
            <w:tcW w:type="dxa" w:w="1368"/>
            <w:shd w:val="clear" w:color="auto" w:fill="F6F1E6"/>
          </w:tcPr>
          <w:p>
            <w:pPr>
              <w:spacing w:after="20"/>
              <w:jc w:val="right"/>
            </w:pPr>
            <w:r>
              <w:rPr>
                <w:b/>
                <w:color w:val="1C3A36"/>
                <w:sz w:val="16"/>
              </w:rPr>
              <w:t>21,051</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77.9%</w:t>
            </w:r>
          </w:p>
        </w:tc>
        <w:tc>
          <w:tcPr>
            <w:tcW w:type="dxa" w:w="1368"/>
          </w:tcPr>
          <w:p>
            <w:pPr>
              <w:spacing w:after="20"/>
              <w:jc w:val="right"/>
            </w:pPr>
            <w:r>
              <w:rPr>
                <w:color w:val="1C3A36"/>
                <w:sz w:val="16"/>
              </w:rPr>
              <w:t>77.8%</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related-party acquisition receivables, at book</w:t>
            </w:r>
          </w:p>
        </w:tc>
        <w:tc>
          <w:tcPr>
            <w:tcW w:type="dxa" w:w="1368"/>
          </w:tcPr>
          <w:p>
            <w:pPr>
              <w:spacing w:after="20"/>
              <w:jc w:val="right"/>
            </w:pPr>
            <w:r>
              <w:rPr>
                <w:color w:val="1C3A36"/>
                <w:sz w:val="16"/>
              </w:rPr>
              <w:t>1,294</w:t>
            </w:r>
          </w:p>
        </w:tc>
        <w:tc>
          <w:tcPr>
            <w:tcW w:type="dxa" w:w="1368"/>
          </w:tcPr>
          <w:p>
            <w:pPr>
              <w:spacing w:after="20"/>
              <w:jc w:val="right"/>
            </w:pPr>
            <w:r>
              <w:rPr>
                <w:color w:val="1C3A36"/>
                <w:sz w:val="16"/>
              </w:rPr>
              <w:t>1,294</w:t>
            </w:r>
          </w:p>
        </w:tc>
        <w:tc>
          <w:tcPr>
            <w:tcW w:type="dxa" w:w="4176"/>
          </w:tcPr>
          <w:p>
            <w:pPr>
              <w:spacing w:after="20"/>
              <w:jc w:val="right"/>
            </w:pPr>
            <w:r>
              <w:rPr>
                <w:color w:val="1C3A36"/>
                <w:sz w:val="16"/>
              </w:rPr>
              <w:t>the concession-grantor financial asset (Dubai Aviation City, on the DXB CoolCo acquisition) and the Nakheel minimum-demand commitment (Empower Snow). Their interest is excluded from operating earnings, the asset enters here at book, and it is excluded from terminal invested capital — counted once, cleanly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AND its rental income are excluded from the operating model for the same once-only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(225)</w:t>
            </w:r>
          </w:p>
        </w:tc>
        <w:tc>
          <w:tcPr>
            <w:tcW w:type="dxa" w:w="1368"/>
          </w:tcPr>
          <w:p>
            <w:pPr>
              <w:spacing w:after="20"/>
              <w:jc w:val="right"/>
            </w:pPr>
            <w:r>
              <w:rPr>
                <w:color w:val="1C3A36"/>
                <w:sz w:val="16"/>
              </w:rPr>
              <w:t>(208)</w:t>
            </w:r>
          </w:p>
        </w:tc>
        <w:tc>
          <w:tcPr>
            <w:tcW w:type="dxa" w:w="4176"/>
          </w:tcPr>
          <w:p>
            <w:pPr>
              <w:spacing w:after="20"/>
              <w:jc w:val="right"/>
            </w:pPr>
            <w:r>
              <w:rPr>
                <w:color w:val="1C3A36"/>
                <w:sz w:val="16"/>
              </w:rPr>
              <w:t>minorities (the 15%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20,997</w:t>
            </w:r>
          </w:p>
        </w:tc>
        <w:tc>
          <w:tcPr>
            <w:tcW w:type="dxa" w:w="1368"/>
          </w:tcPr>
          <w:p>
            <w:pPr>
              <w:spacing w:after="20"/>
              <w:jc w:val="right"/>
            </w:pPr>
            <w:r>
              <w:rPr>
                <w:color w:val="1C3A36"/>
                <w:sz w:val="16"/>
              </w:rPr>
              <w:t>19,443</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2.100</w:t>
            </w:r>
          </w:p>
        </w:tc>
        <w:tc>
          <w:tcPr>
            <w:tcW w:type="dxa" w:w="1368"/>
            <w:shd w:val="clear" w:color="auto" w:fill="F6F1E6"/>
          </w:tcPr>
          <w:p>
            <w:pPr>
              <w:spacing w:after="20"/>
              <w:jc w:val="right"/>
            </w:pPr>
            <w:r>
              <w:rPr>
                <w:b/>
                <w:color w:val="1C3A36"/>
                <w:sz w:val="16"/>
              </w:rPr>
              <w:t>1.944</w:t>
            </w:r>
          </w:p>
        </w:tc>
        <w:tc>
          <w:tcPr>
            <w:tcW w:type="dxa" w:w="4176"/>
            <w:shd w:val="clear" w:color="auto" w:fill="F6F1E6"/>
          </w:tcPr>
          <w:p>
            <w:pPr>
              <w:spacing w:after="20"/>
              <w:jc w:val="right"/>
            </w:pPr>
            <w:r>
              <w:rPr>
                <w:b/>
                <w:color w:val="1C3A36"/>
                <w:sz w:val="16"/>
              </w:rPr>
              <w:t>against a spot of 1.57: +34% and +24% respectively</w:t>
            </w:r>
          </w:p>
        </w:tc>
      </w:tr>
    </w:tbl>
    <w:p>
      <w:pPr>
        <w:spacing w:after="40"/>
      </w:pPr>
    </w:p>
    <w:p>
      <w:pPr>
        <w:spacing w:after="200" w:before="0"/>
      </w:pPr>
      <w:r>
        <w:rPr>
          <w:b w:val="0"/>
          <w:i/>
          <w:color w:val="6E7B77"/>
          <w:sz w:val="17"/>
        </w:rPr>
        <w:t>Bridge and cash-flow clock BOTH sit at 30 June 2026: the June balance sheet nets against cash flows that begin in July, so nothing inside the first half of 2026 is counted twice (the first edition's full-year convention double-counted roughly AED 200mn of first-half cash — corrected). The difference between the two columns — AED 0.155 per share, 7.4%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4.7×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 The lens is framed under both tax columns like every other: with the sustainable return re-taxed at 15%, the justified multiple is 4.5× and the value 1.513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 restruck at the anchor)</w:t>
            </w:r>
          </w:p>
        </w:tc>
        <w:tc>
          <w:tcPr>
            <w:tcW w:type="dxa" w:w="1354"/>
          </w:tcPr>
          <w:p>
            <w:pPr>
              <w:spacing w:after="20"/>
              <w:jc w:val="right"/>
            </w:pPr>
            <w:r>
              <w:rPr>
                <w:color w:val="1C3A36"/>
                <w:sz w:val="17"/>
              </w:rPr>
              <w:t>10.1×</w:t>
            </w:r>
          </w:p>
        </w:tc>
        <w:tc>
          <w:tcPr>
            <w:tcW w:type="dxa" w:w="5112"/>
          </w:tcPr>
          <w:p>
            <w:pPr>
              <w:spacing w:after="20"/>
              <w:jc w:val="right"/>
            </w:pPr>
            <w:r>
              <w:rPr>
                <w:color w:val="1C3A36"/>
                <w:sz w:val="17"/>
              </w:rPr>
              <w:t>the only listed pure district-cooling peer (Dubai Financial Market); derived from its market value at the 2.46 close of 6–7 August (down 9.6% from the 2.72 of 22 June — the peer sold off with the subject, and the multiple is struck on the SAME date as the anchor) plus net debt over its trailing EBITDA,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trailing operating EBITDA (twelve months to 30 June 2026)</w:t>
            </w:r>
          </w:p>
        </w:tc>
        <w:tc>
          <w:tcPr>
            <w:tcW w:type="dxa" w:w="1354"/>
          </w:tcPr>
          <w:p>
            <w:pPr>
              <w:spacing w:after="20"/>
              <w:jc w:val="right"/>
            </w:pPr>
            <w:r>
              <w:rPr>
                <w:color w:val="1C3A36"/>
                <w:sz w:val="17"/>
              </w:rPr>
              <w:t>1,584</w:t>
            </w:r>
          </w:p>
        </w:tc>
        <w:tc>
          <w:tcPr>
            <w:tcW w:type="dxa" w:w="5112"/>
          </w:tcPr>
          <w:p>
            <w:pPr>
              <w:spacing w:after="20"/>
              <w:jc w:val="right"/>
            </w:pPr>
            <w:r>
              <w:rPr>
                <w:color w:val="1C3A36"/>
                <w:sz w:val="17"/>
              </w:rPr>
              <w:t>trailing multiple on trailing earnings — like-for-like periods on both sides</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15,998</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1.444</w:t>
            </w:r>
          </w:p>
        </w:tc>
        <w:tc>
          <w:tcPr>
            <w:tcW w:type="dxa" w:w="5112"/>
            <w:shd w:val="clear" w:color="auto" w:fill="F6F1E6"/>
          </w:tcPr>
          <w:p>
            <w:pPr>
              <w:spacing w:after="20"/>
              <w:jc w:val="right"/>
            </w:pPr>
            <w:r>
              <w:rPr>
                <w:b/>
                <w:color w:val="1C3A36"/>
                <w:sz w:val="17"/>
              </w:rPr>
              <w:t>-8% against spot</w:t>
            </w:r>
          </w:p>
        </w:tc>
      </w:tr>
      <w:tr>
        <w:tc>
          <w:tcPr>
            <w:tcW w:type="dxa" w:w="3614"/>
          </w:tcPr>
          <w:p>
            <w:pPr>
              <w:spacing w:after="20"/>
            </w:pPr>
            <w:r>
              <w:rPr>
                <w:color w:val="1C3A36"/>
                <w:sz w:val="17"/>
              </w:rPr>
              <w:t>Tabreed price/earnings 15.0× on 2026E attributable profit of 1,025</w:t>
            </w:r>
          </w:p>
        </w:tc>
        <w:tc>
          <w:tcPr>
            <w:tcW w:type="dxa" w:w="1354"/>
          </w:tcPr>
          <w:p>
            <w:pPr>
              <w:spacing w:after="20"/>
              <w:jc w:val="right"/>
            </w:pPr>
            <w:r>
              <w:rPr>
                <w:color w:val="1C3A36"/>
                <w:sz w:val="17"/>
              </w:rPr>
              <w:t>1.537</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The cross-relationship is stated from the numbers, not from memory: at the anchor marks Empower's own trailing enterprise multiple is 11.8× against Tabreed's 10.1× — a premium — while on trailing price/earnings Empower stands at 15.8× against Tabreed's 15.0× — a premium. Each half-turn of the enterprise multiple is worth about AED 0.079 per share on this lens.</w:t>
      </w: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(1.444 against 2.100)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FORWARD justified multiple of 16.0× — built from the sustainable return on equity (30.5%), the retention that 2.5% growth requires, and the 8.24% cost of equity, with no growth factor applied on top (the earnings being capitalised are already forward) — that is AED 1.681 per share. Under the 15% minimum-tax framing the return re-taxes to 28.5%, the justified multiple to 15.9× and the value to 1.560 — both framings, like everywhere else.</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 two cases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 — recovery case</w:t>
            </w:r>
          </w:p>
        </w:tc>
        <w:tc>
          <w:tcPr>
            <w:tcW w:type="dxa" w:w="1195"/>
          </w:tcPr>
          <w:p>
            <w:pPr>
              <w:spacing w:after="20"/>
              <w:jc w:val="right"/>
            </w:pPr>
            <w:r>
              <w:rPr>
                <w:color w:val="1C3A36"/>
                <w:sz w:val="17"/>
              </w:rPr>
              <w:t>2.100</w:t>
            </w:r>
          </w:p>
        </w:tc>
        <w:tc>
          <w:tcPr>
            <w:tcW w:type="dxa" w:w="1195"/>
          </w:tcPr>
          <w:p>
            <w:pPr>
              <w:spacing w:after="20"/>
              <w:jc w:val="right"/>
            </w:pPr>
            <w:r>
              <w:rPr>
                <w:color w:val="1C3A36"/>
                <w:sz w:val="17"/>
              </w:rPr>
              <w:t>1.944</w:t>
            </w:r>
          </w:p>
        </w:tc>
        <w:tc>
          <w:tcPr>
            <w:tcW w:type="dxa" w:w="1368"/>
          </w:tcPr>
          <w:p>
            <w:pPr>
              <w:spacing w:after="20"/>
              <w:jc w:val="right"/>
            </w:pPr>
            <w:r>
              <w:rPr>
                <w:color w:val="1C3A36"/>
                <w:sz w:val="17"/>
              </w:rPr>
              <w:t>50%</w:t>
            </w:r>
          </w:p>
        </w:tc>
      </w:tr>
      <w:tr>
        <w:tc>
          <w:tcPr>
            <w:tcW w:type="dxa" w:w="4882"/>
          </w:tcPr>
          <w:p>
            <w:pPr>
              <w:spacing w:after="20"/>
            </w:pPr>
            <w:r>
              <w:rPr>
                <w:color w:val="1C3A36"/>
                <w:sz w:val="17"/>
              </w:rPr>
              <w:t>Discounted cash flow — continuation case</w:t>
            </w:r>
          </w:p>
        </w:tc>
        <w:tc>
          <w:tcPr>
            <w:tcW w:type="dxa" w:w="1195"/>
          </w:tcPr>
          <w:p>
            <w:pPr>
              <w:spacing w:after="20"/>
              <w:jc w:val="right"/>
            </w:pPr>
            <w:r>
              <w:rPr>
                <w:color w:val="1C3A36"/>
                <w:sz w:val="17"/>
              </w:rPr>
              <w:t>2.041</w:t>
            </w:r>
          </w:p>
        </w:tc>
        <w:tc>
          <w:tcPr>
            <w:tcW w:type="dxa" w:w="1195"/>
          </w:tcPr>
          <w:p>
            <w:pPr>
              <w:spacing w:after="20"/>
              <w:jc w:val="right"/>
            </w:pPr>
            <w:r>
              <w:rPr>
                <w:color w:val="1C3A36"/>
                <w:sz w:val="17"/>
              </w:rPr>
              <w:t>1.889</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1.444</w:t>
            </w:r>
          </w:p>
        </w:tc>
        <w:tc>
          <w:tcPr>
            <w:tcW w:type="dxa" w:w="1195"/>
          </w:tcPr>
          <w:p>
            <w:pPr>
              <w:spacing w:after="20"/>
              <w:jc w:val="right"/>
            </w:pPr>
            <w:r>
              <w:rPr>
                <w:color w:val="1C3A36"/>
                <w:sz w:val="17"/>
              </w:rPr>
              <w:t>1.444</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1.681</w:t>
            </w:r>
          </w:p>
        </w:tc>
        <w:tc>
          <w:tcPr>
            <w:tcW w:type="dxa" w:w="1195"/>
          </w:tcPr>
          <w:p>
            <w:pPr>
              <w:spacing w:after="20"/>
              <w:jc w:val="right"/>
            </w:pPr>
            <w:r>
              <w:rPr>
                <w:color w:val="1C3A36"/>
                <w:sz w:val="17"/>
              </w:rPr>
              <w:t>1.560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1.513</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 — recovery (de-escalation)</w:t>
            </w:r>
          </w:p>
        </w:tc>
        <w:tc>
          <w:tcPr>
            <w:tcW w:type="dxa" w:w="1195"/>
            <w:shd w:val="clear" w:color="auto" w:fill="F6F1E6"/>
          </w:tcPr>
          <w:p>
            <w:pPr>
              <w:spacing w:after="20"/>
              <w:jc w:val="right"/>
            </w:pPr>
            <w:r>
              <w:rPr>
                <w:b/>
                <w:color w:val="1C3A36"/>
                <w:sz w:val="17"/>
              </w:rPr>
              <w:t>1.84</w:t>
            </w:r>
          </w:p>
        </w:tc>
        <w:tc>
          <w:tcPr>
            <w:tcW w:type="dxa" w:w="1195"/>
            <w:shd w:val="clear" w:color="auto" w:fill="F6F1E6"/>
          </w:tcPr>
          <w:p>
            <w:pPr>
              <w:spacing w:after="20"/>
              <w:jc w:val="right"/>
            </w:pPr>
            <w:r>
              <w:rPr>
                <w:b/>
                <w:color w:val="1C3A36"/>
                <w:sz w:val="17"/>
              </w:rPr>
              <w:t>1.72</w:t>
            </w:r>
          </w:p>
        </w:tc>
        <w:tc>
          <w:tcPr>
            <w:tcW w:type="dxa" w:w="1368"/>
            <w:shd w:val="clear" w:color="auto" w:fill="F6F1E6"/>
          </w:tcPr>
          <w:p>
            <w:pPr>
              <w:spacing w:after="20"/>
              <w:jc w:val="right"/>
            </w:pPr>
            <w:r>
              <w:rPr>
                <w:b/>
                <w:color w:val="1C3A36"/>
                <w:sz w:val="17"/>
              </w:rPr>
              <w:t>—</w:t>
            </w:r>
          </w:p>
        </w:tc>
      </w:tr>
      <w:tr>
        <w:tc>
          <w:tcPr>
            <w:tcW w:type="dxa" w:w="4882"/>
            <w:shd w:val="clear" w:color="auto" w:fill="F6F1E6"/>
          </w:tcPr>
          <w:p>
            <w:pPr>
              <w:spacing w:after="20"/>
            </w:pPr>
            <w:r>
              <w:rPr>
                <w:b/>
                <w:color w:val="1C3A36"/>
                <w:sz w:val="17"/>
              </w:rPr>
              <w:t>Weighted central — continuation</w:t>
            </w:r>
          </w:p>
        </w:tc>
        <w:tc>
          <w:tcPr>
            <w:tcW w:type="dxa" w:w="1195"/>
            <w:shd w:val="clear" w:color="auto" w:fill="F6F1E6"/>
          </w:tcPr>
          <w:p>
            <w:pPr>
              <w:spacing w:after="20"/>
              <w:jc w:val="right"/>
            </w:pPr>
            <w:r>
              <w:rPr>
                <w:b/>
                <w:color w:val="1C3A36"/>
                <w:sz w:val="17"/>
              </w:rPr>
              <w:t>1.81</w:t>
            </w:r>
          </w:p>
        </w:tc>
        <w:tc>
          <w:tcPr>
            <w:tcW w:type="dxa" w:w="1195"/>
            <w:shd w:val="clear" w:color="auto" w:fill="F6F1E6"/>
          </w:tcPr>
          <w:p>
            <w:pPr>
              <w:spacing w:after="20"/>
              <w:jc w:val="right"/>
            </w:pPr>
            <w:r>
              <w:rPr>
                <w:b/>
                <w:color w:val="1C3A36"/>
                <w:sz w:val="17"/>
              </w:rPr>
              <w:t>1.69</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1.440 to 2.138 bear to bull. Both tax columns are carried through every row, the recovery and continuation cases are carried through every horizontal cut, and nothing is averaged across either pair. Note how little the case choice moves the central — AED 0.029 per share — which is the pass-through arithmetic of section 1.7 doing its work.</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recovery case — the crux, section 1.7.</w:t>
      </w:r>
    </w:p>
    <w:p>
      <w:pPr>
        <w:spacing w:after="120" w:before="0"/>
      </w:pPr>
      <w:r>
        <w:rPr>
          <w:b w:val="0"/>
          <w:i w:val="0"/>
          <w:color w:val="1C3A36"/>
          <w:sz w:val="21"/>
        </w:rPr>
        <w:t>One reconciliation the reader should see rather than infer: the audited key-audit-matter figures put 2025 consumption revenue at 56.3% of total revenue, while the H1-2026 earnings deck shows a 49% consumption share for the half — the second half carries the summer cooling peak, so the full-year share always runs above the first-half share. The pass-through ratio used throughout (76.3%) is computed on the audited key-audit-matter basis, not the deck mix.</w:t>
      </w:r>
    </w:p>
    <w:p>
      <w:pPr>
        <w:spacing w:after="80" w:before="200"/>
      </w:pPr>
      <w:r>
        <w:rPr>
          <w:b/>
          <w:i w:val="0"/>
          <w:color w:val="1C3A36"/>
          <w:sz w:val="24"/>
        </w:rPr>
        <w:t>The physical unit build — hours and dirhams per ton-hour</w:t>
      </w:r>
    </w:p>
    <w:p>
      <w:pPr>
        <w:spacing w:after="120" w:before="0"/>
      </w:pPr>
      <w:r>
        <w:rPr>
          <w:b w:val="0"/>
          <w:i w:val="0"/>
          <w:color w:val="1C3A36"/>
          <w:sz w:val="21"/>
        </w:rPr>
        <w:t>The consumption leg decomposes to physical units: revenue = connected tons × equivalent full-load hours × the dirham rate per ton-hour. On the disclosed first-half figures the implied rate is 0.634 AED per ton-hour — 1.4% BELOW the regulator's cap of 0.643 (fuel surcharge included). Empower already prices essentially at the regulated cap: there is no tariff headroom, which hardens the flat-tariff assumption and removes any tariff upside at once. In these units the 2025 year ran about 1,883 equivalent full-load hours on the average connected base of 1,611k tons (3,034m ton-hours in all); the first half of 2026 ran 698 hours, -9% year on year. The crux of section 1.7, restated in hours: the shock year runs about 6% fewer hours; the recovery case restores the ~1,883-hour year; the continuation case never does.</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408mn in 2025 across cost of sales and administration) escalate on a UAE wage path of 2.5% a year. Interest earned on the related-party acquisition receivables and rental income on the investment properties are EXCLUDED from operating EBITDA — they are returns on assets the bridge adds at book, so counting them in the cash flows too would price them twice. The 2025 identity is exact: operating EBITDA of AED 1,549.7mn, plus receivable interest of 58.3, rental income of 18.1 and the credit-loss reversal of 16.1, reproduces the audited-derived 1,642.2 (operating profit plus depreciation and amortisation) to the decimal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Operating EBITDA (AED mn)</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shd w:val="clear" w:color="auto" w:fill="F6F1E6"/>
          </w:tcPr>
          <w:p>
            <w:pPr>
              <w:spacing w:after="20"/>
            </w:pPr>
            <w:r>
              <w:rPr>
                <w:b/>
                <w:color w:val="1C3A36"/>
                <w:sz w:val="16"/>
              </w:rPr>
              <w:t>Operating EBITDA margin — an OUTPUT</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46.1%</w:t>
            </w:r>
          </w:p>
        </w:tc>
        <w:tc>
          <w:tcPr>
            <w:tcW w:type="dxa" w:w="1152"/>
            <w:shd w:val="clear" w:color="auto" w:fill="F6F1E6"/>
          </w:tcPr>
          <w:p>
            <w:pPr>
              <w:spacing w:after="20"/>
              <w:jc w:val="right"/>
            </w:pPr>
            <w:r>
              <w:rPr>
                <w:b/>
                <w:color w:val="1C3A36"/>
                <w:sz w:val="16"/>
              </w:rPr>
              <w:t>46.3%</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46.6%</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 and it moves the opposite way to the market's instinct. The margin RISES in the shock year (from 45.3% in 2025 to 46.5%) because the revenue lost is mostly pass-through electricity and water cost that disappears with it; the dip is 2027 (46.1%), when the recovering consumption leg brings its pass-through cost back. The audited 2021–25 band of 47.6–50.5% is on the broader audited-derived basis (operating profit plus depreciation and amortisation, receivable interest and rental included), so the two series are stated on their own bases rather than mixed.</w:t>
      </w:r>
    </w:p>
    <w:p>
      <w:pPr>
        <w:spacing w:after="120" w:before="0"/>
      </w:pPr>
      <w:r>
        <w:rPr>
          <w:b w:val="0"/>
          <w:i w:val="0"/>
          <w:color w:val="1C3A36"/>
          <w:sz w:val="21"/>
        </w:rPr>
        <w:t>A run-rate check against the half just reported: the 2026 build, on the company's own EBITDA definition, implies a second half of AED 929mn against 930mn in the second half of 2025 — -0.1% year on year, conservative against the +7.5% the first half actually printed.</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recovery case lets it return to the 2025 level through 2027 — a case that requires the de-escalation which had NOT occurred at the anchor date. The continuation case is computed as a FULL model, not a sensitivity: the world as it stood on the published facts, usage never recovering. Neither case is privileged as the base; they are published side by side, exactly like the tax framings.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recovery</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2.002</w:t>
            </w:r>
          </w:p>
        </w:tc>
        <w:tc>
          <w:tcPr>
            <w:tcW w:type="dxa" w:w="1296"/>
          </w:tcPr>
          <w:p>
            <w:pPr>
              <w:spacing w:after="20"/>
              <w:jc w:val="right"/>
            </w:pPr>
            <w:r>
              <w:rPr>
                <w:color w:val="1C3A36"/>
                <w:sz w:val="17"/>
              </w:rPr>
              <w:t>-4.6%</w:t>
            </w:r>
          </w:p>
        </w:tc>
      </w:tr>
      <w:tr>
        <w:tc>
          <w:tcPr>
            <w:tcW w:type="dxa" w:w="4104"/>
          </w:tcPr>
          <w:p>
            <w:pPr>
              <w:spacing w:after="20"/>
            </w:pPr>
            <w:r>
              <w:rPr>
                <w:color w:val="1C3A36"/>
                <w:sz w:val="17"/>
              </w:rPr>
              <w:t>94% of the 2025 level  — the continuation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2.041</w:t>
            </w:r>
          </w:p>
        </w:tc>
        <w:tc>
          <w:tcPr>
            <w:tcW w:type="dxa" w:w="1296"/>
          </w:tcPr>
          <w:p>
            <w:pPr>
              <w:spacing w:after="20"/>
              <w:jc w:val="right"/>
            </w:pPr>
            <w:r>
              <w:rPr>
                <w:color w:val="1C3A36"/>
                <w:sz w:val="17"/>
              </w:rPr>
              <w:t>-2.8%</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2.070</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recovery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2.100</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2.129</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continuation case — moves the discounted-cash-flow value from 2.100 to 2.041, just 2.8% (1.889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the anchor here is its most RECENT print — the January-2031 tranche tapped on 30 July 2026, a 4.50-year tenor yielding 4.48%. A LONGER instrument exists and is named rather than ignored: a February-2033 Treasury Sukuk (the first seven-year dirham tranche, AED 1,650mn outstanding, ISIN AED01889C262), whose last auction print was 4.13% in the April tap — struck before the July escalation and therefore stale in a repriced market, which is why the on-the-run 4.48% remains the anchor; both are stated. The conflict is the macro event: the market index fell 21.9% peak to trough, the 2026 GDP projection was cut from 5.6% to 1.7% (with a 9.8% rebound projected for 2027 — the same forecast carries both legs),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most recent AED sovereign print (4.50-year tenor; the gap to the five-year-plus cash-flow horizon is flagged as a limitation, and the stale February-2033 print is named above)</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priced as a full parallel construction below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(anchor)</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disclosed all-in borrowing cost — the accounting capitalisation rate on general borrowings, an AVERAGE rather than a marginal print — kept as the anchor because it sits at the top of the EIBOR-plus-implied-margin band;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84.0% / 16.0%</w:t>
            </w:r>
          </w:p>
        </w:tc>
        <w:tc>
          <w:tcPr>
            <w:tcW w:type="dxa" w:w="1512"/>
          </w:tcPr>
          <w:p>
            <w:pPr>
              <w:spacing w:after="20"/>
              <w:jc w:val="right"/>
            </w:pPr>
            <w:r>
              <w:rPr>
                <w:color w:val="1C3A36"/>
                <w:sz w:val="16"/>
              </w:rPr>
              <w:t>84.0% / 16.0%</w:t>
            </w:r>
          </w:p>
        </w:tc>
        <w:tc>
          <w:tcPr>
            <w:tcW w:type="dxa" w:w="4824"/>
          </w:tcPr>
          <w:p>
            <w:pPr>
              <w:spacing w:after="20"/>
              <w:jc w:val="right"/>
            </w:pPr>
            <w:r>
              <w:rPr>
                <w:color w:val="1C3A36"/>
                <w:sz w:val="16"/>
              </w:rPr>
              <w:t>market value of equity at the anchor price; net debt at the reviewed June-2026 balance sheet — the target-structure choice is itself priced as alternative constructions in the table further below</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7.64%</w:t>
            </w:r>
          </w:p>
        </w:tc>
        <w:tc>
          <w:tcPr>
            <w:tcW w:type="dxa" w:w="1512"/>
            <w:shd w:val="clear" w:color="auto" w:fill="F6F1E6"/>
          </w:tcPr>
          <w:p>
            <w:pPr>
              <w:spacing w:after="20"/>
              <w:jc w:val="right"/>
            </w:pPr>
            <w:r>
              <w:rPr>
                <w:b/>
                <w:color w:val="1C3A36"/>
                <w:sz w:val="16"/>
              </w:rPr>
              <w:t>7.67%</w:t>
            </w:r>
          </w:p>
        </w:tc>
        <w:tc>
          <w:tcPr>
            <w:tcW w:type="dxa" w:w="4824"/>
            <w:shd w:val="clear" w:color="auto" w:fill="F6F1E6"/>
          </w:tcPr>
          <w:p>
            <w:pPr>
              <w:spacing w:after="20"/>
              <w:jc w:val="right"/>
            </w:pPr>
            <w:r>
              <w:rPr>
                <w:b/>
                <w:color w:val="1C3A36"/>
                <w:sz w:val="16"/>
              </w:rPr>
              <w:t>the rate the recovery and continuation cases discount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7.64%</w:t>
            </w:r>
          </w:p>
        </w:tc>
        <w:tc>
          <w:tcPr>
            <w:tcW w:type="dxa" w:w="1512"/>
          </w:tcPr>
          <w:p>
            <w:pPr>
              <w:spacing w:after="20"/>
              <w:jc w:val="right"/>
            </w:pPr>
            <w:r>
              <w:rPr>
                <w:color w:val="1C3A36"/>
                <w:sz w:val="16"/>
              </w:rPr>
              <w:t>7.67%</w:t>
            </w:r>
          </w:p>
        </w:tc>
        <w:tc>
          <w:tcPr>
            <w:tcW w:type="dxa" w:w="4824"/>
          </w:tcPr>
          <w:p>
            <w:pPr>
              <w:spacing w:after="20"/>
              <w:jc w:val="right"/>
            </w:pPr>
            <w:r>
              <w:rPr>
                <w:color w:val="1C3A36"/>
                <w:sz w:val="16"/>
              </w:rPr>
              <w:t>IDENTICAL to the 9% row: the minimum top-up tax is a minimum-effective-rate charge, not a higher statutory rate, so the 9% interest shield survives and both framings discount at 7.64% — stated so the reader is not left inferring it</w:t>
            </w:r>
          </w:p>
        </w:tc>
      </w:tr>
    </w:tbl>
    <w:p>
      <w:pPr>
        <w:spacing w:after="40"/>
      </w:pPr>
    </w:p>
    <w:p>
      <w:pPr>
        <w:spacing w:after="200" w:before="0"/>
      </w:pPr>
      <w:r>
        <w:rPr>
          <w:b w:val="0"/>
          <w:i/>
          <w:color w:val="6E7B77"/>
          <w:sz w:val="17"/>
        </w:rPr>
        <w:t>No glide path is applied to the cost of debt or the cost of capital: both revolving tranches float over EIBOR, the 2025 refinance already reset the margin, and the forward curve is flat to mildly higher — a glide would be invented, not sourced (the three-month EIBOR itself has drifted from 3.66% at end-March to about 3.9% in August, which the evidence table carries).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disclosed all-in borrowing cost, 2025 (the accounting capitalisation rate on general borrowings)</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an AVERAGE across the book rather than a marginal print — the label matters and is stated. It sits 44bp above the sovereign, as it must, and at the TOP of the band implied by EIBOR plus the undisclosed margin, which is why it is kept as the (conservative) anchor</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3.9% in August 2026 (3.66% at end-March); the exact contractual margin is not disclosed in any filing (recorded as a documented absence in the bibliography), so the capitalisation rate is the closest disclosed all-in figure</w:t>
            </w:r>
          </w:p>
        </w:tc>
      </w:tr>
    </w:tbl>
    <w:p>
      <w:pPr>
        <w:spacing w:after="40"/>
      </w:pPr>
    </w:p>
    <w:p>
      <w:pPr>
        <w:spacing w:after="120" w:before="0"/>
      </w:pPr>
      <w:r>
        <w:rPr>
          <w:b w:val="0"/>
          <w:i w:val="0"/>
          <w:color w:val="1C3A36"/>
          <w:sz w:val="21"/>
        </w:rPr>
        <w:t>One dated sensitivity belongs beside the anchor: only one of the two AED 2.75bn revolving tranches has been extended (to February 2028); the other still matures September 2027, so roughly half the debt book reprices at whatever EIBOR and margin the market offers then. Each 25 basis points on half the book is about AED 6.9mn of annual interest — visible in the coverage table of Appendix C.2, immaterial to the firm-level valuation, and stated so the reader knows where the roll risk sits.</w:t>
      </w:r>
    </w:p>
    <w:p>
      <w:pPr>
        <w:spacing w:after="80" w:before="200"/>
      </w:pPr>
      <w:r>
        <w:rPr>
          <w:b/>
          <w:i w:val="0"/>
          <w:color w:val="1C3A36"/>
          <w:sz w:val="24"/>
        </w:rPr>
        <w:t>The cost-of-capital constructions — all priced, none hidden</w:t>
      </w:r>
    </w:p>
    <w:p>
      <w:pPr>
        <w:spacing w:after="120" w:before="0"/>
      </w:pPr>
      <w:r>
        <w:rPr>
          <w:b w:val="0"/>
          <w:i w:val="0"/>
          <w:color w:val="1C3A36"/>
          <w:sz w:val="21"/>
        </w:rPr>
        <w:t>The single largest disagreements a competent reader can have with this study are constructions of the discount rate, not scenarios. Each is therefore computed as a full parallel valuation on the recovery case rather than argued away: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440"/>
        <w:gridCol w:w="1440"/>
        <w:gridCol w:w="4968"/>
      </w:tblGrid>
      <w:tr>
        <w:tc>
          <w:tcPr>
            <w:tcW w:type="dxa" w:w="2232"/>
            <w:shd w:val="clear" w:color="auto" w:fill="EAF0EE"/>
          </w:tcPr>
          <w:p>
            <w:pPr>
              <w:spacing w:after="20"/>
            </w:pPr>
            <w:r>
              <w:rPr>
                <w:b/>
                <w:color w:val="1C3A36"/>
                <w:sz w:val="16"/>
              </w:rPr>
              <w:t>Construction</w:t>
            </w:r>
          </w:p>
        </w:tc>
        <w:tc>
          <w:tcPr>
            <w:tcW w:type="dxa" w:w="1440"/>
            <w:shd w:val="clear" w:color="auto" w:fill="EAF0EE"/>
          </w:tcPr>
          <w:p>
            <w:pPr>
              <w:spacing w:after="20"/>
            </w:pPr>
            <w:r>
              <w:rPr>
                <w:b/>
                <w:color w:val="1C3A36"/>
                <w:sz w:val="16"/>
              </w:rPr>
              <w:t>Cost of capital</w:t>
            </w:r>
          </w:p>
        </w:tc>
        <w:tc>
          <w:tcPr>
            <w:tcW w:type="dxa" w:w="1440"/>
            <w:shd w:val="clear" w:color="auto" w:fill="EAF0EE"/>
          </w:tcPr>
          <w:p>
            <w:pPr>
              <w:spacing w:after="20"/>
            </w:pPr>
            <w:r>
              <w:rPr>
                <w:b/>
                <w:color w:val="1C3A36"/>
                <w:sz w:val="16"/>
              </w:rPr>
              <w:t>Fair value at 9%</w:t>
            </w:r>
          </w:p>
        </w:tc>
        <w:tc>
          <w:tcPr>
            <w:tcW w:type="dxa" w:w="4968"/>
            <w:shd w:val="clear" w:color="auto" w:fill="EAF0EE"/>
          </w:tcPr>
          <w:p>
            <w:pPr>
              <w:spacing w:after="20"/>
            </w:pPr>
            <w:r>
              <w:rPr>
                <w:b/>
                <w:color w:val="1C3A36"/>
                <w:sz w:val="16"/>
              </w:rPr>
              <w:t>The argument, and why the base stays where it is</w:t>
            </w:r>
          </w:p>
        </w:tc>
      </w:tr>
      <w:tr>
        <w:tc>
          <w:tcPr>
            <w:tcW w:type="dxa" w:w="2232"/>
            <w:shd w:val="clear" w:color="auto" w:fill="F6F1E6"/>
          </w:tcPr>
          <w:p>
            <w:pPr>
              <w:spacing w:after="20"/>
            </w:pPr>
            <w:r>
              <w:rPr>
                <w:b/>
                <w:color w:val="1C3A36"/>
                <w:sz w:val="16"/>
              </w:rPr>
              <w:t>Target net-debt weights (the published base)</w:t>
            </w:r>
          </w:p>
        </w:tc>
        <w:tc>
          <w:tcPr>
            <w:tcW w:type="dxa" w:w="1440"/>
            <w:shd w:val="clear" w:color="auto" w:fill="F6F1E6"/>
          </w:tcPr>
          <w:p>
            <w:pPr>
              <w:spacing w:after="20"/>
              <w:jc w:val="right"/>
            </w:pPr>
            <w:r>
              <w:rPr>
                <w:b/>
                <w:color w:val="1C3A36"/>
                <w:sz w:val="16"/>
              </w:rPr>
              <w:t>7.64%</w:t>
            </w:r>
          </w:p>
        </w:tc>
        <w:tc>
          <w:tcPr>
            <w:tcW w:type="dxa" w:w="1440"/>
            <w:shd w:val="clear" w:color="auto" w:fill="F6F1E6"/>
          </w:tcPr>
          <w:p>
            <w:pPr>
              <w:spacing w:after="20"/>
              <w:jc w:val="right"/>
            </w:pPr>
            <w:r>
              <w:rPr>
                <w:b/>
                <w:color w:val="1C3A36"/>
                <w:sz w:val="16"/>
              </w:rPr>
              <w:t>2.100</w:t>
            </w:r>
          </w:p>
        </w:tc>
        <w:tc>
          <w:tcPr>
            <w:tcW w:type="dxa" w:w="4968"/>
            <w:shd w:val="clear" w:color="auto" w:fill="F6F1E6"/>
          </w:tcPr>
          <w:p>
            <w:pPr>
              <w:spacing w:after="20"/>
              <w:jc w:val="right"/>
            </w:pPr>
            <w:r>
              <w:rPr>
                <w:b/>
                <w:color w:val="1C3A36"/>
                <w:sz w:val="16"/>
              </w:rPr>
              <w:t>the company's own net-debt policy runs ~1.8× EBITDA and the payout absorbs essentially all free cash flow to equity, so surplus cash is transient — the forward-looking structure is net</w:t>
            </w:r>
          </w:p>
        </w:tc>
      </w:tr>
      <w:tr>
        <w:tc>
          <w:tcPr>
            <w:tcW w:type="dxa" w:w="2232"/>
          </w:tcPr>
          <w:p>
            <w:pPr>
              <w:spacing w:after="20"/>
            </w:pPr>
            <w:r>
              <w:rPr>
                <w:color w:val="1C3A36"/>
                <w:sz w:val="16"/>
              </w:rPr>
              <w:t>Gross-debt weights</w:t>
            </w:r>
          </w:p>
        </w:tc>
        <w:tc>
          <w:tcPr>
            <w:tcW w:type="dxa" w:w="1440"/>
          </w:tcPr>
          <w:p>
            <w:pPr>
              <w:spacing w:after="20"/>
              <w:jc w:val="right"/>
            </w:pPr>
            <w:r>
              <w:rPr>
                <w:color w:val="1C3A36"/>
                <w:sz w:val="16"/>
              </w:rPr>
              <w:t>7.26%</w:t>
            </w:r>
          </w:p>
        </w:tc>
        <w:tc>
          <w:tcPr>
            <w:tcW w:type="dxa" w:w="1440"/>
          </w:tcPr>
          <w:p>
            <w:pPr>
              <w:spacing w:after="20"/>
              <w:jc w:val="right"/>
            </w:pPr>
            <w:r>
              <w:rPr>
                <w:color w:val="1C3A36"/>
                <w:sz w:val="16"/>
              </w:rPr>
              <w:t>2.251</w:t>
            </w:r>
          </w:p>
        </w:tc>
        <w:tc>
          <w:tcPr>
            <w:tcW w:type="dxa" w:w="4968"/>
          </w:tcPr>
          <w:p>
            <w:pPr>
              <w:spacing w:after="20"/>
              <w:jc w:val="right"/>
            </w:pPr>
            <w:r>
              <w:rPr>
                <w:color w:val="1C3A36"/>
                <w:sz w:val="16"/>
              </w:rPr>
              <w:t>weight the debt actually financed at the cost of debt; treats the cash pile as a separate asset rather than an offset</w:t>
            </w:r>
          </w:p>
        </w:tc>
      </w:tr>
      <w:tr>
        <w:tc>
          <w:tcPr>
            <w:tcW w:type="dxa" w:w="2232"/>
          </w:tcPr>
          <w:p>
            <w:pPr>
              <w:spacing w:after="20"/>
            </w:pPr>
            <w:r>
              <w:rPr>
                <w:color w:val="1C3A36"/>
                <w:sz w:val="16"/>
              </w:rPr>
              <w:t>Net debt at its negative carry</w:t>
            </w:r>
          </w:p>
        </w:tc>
        <w:tc>
          <w:tcPr>
            <w:tcW w:type="dxa" w:w="1440"/>
          </w:tcPr>
          <w:p>
            <w:pPr>
              <w:spacing w:after="20"/>
              <w:jc w:val="right"/>
            </w:pPr>
            <w:r>
              <w:rPr>
                <w:color w:val="1C3A36"/>
                <w:sz w:val="16"/>
              </w:rPr>
              <w:t>7.81%</w:t>
            </w:r>
          </w:p>
        </w:tc>
        <w:tc>
          <w:tcPr>
            <w:tcW w:type="dxa" w:w="1440"/>
          </w:tcPr>
          <w:p>
            <w:pPr>
              <w:spacing w:after="20"/>
              <w:jc w:val="right"/>
            </w:pPr>
            <w:r>
              <w:rPr>
                <w:color w:val="1C3A36"/>
                <w:sz w:val="16"/>
              </w:rPr>
              <w:t>2.036</w:t>
            </w:r>
          </w:p>
        </w:tc>
        <w:tc>
          <w:tcPr>
            <w:tcW w:type="dxa" w:w="4968"/>
          </w:tcPr>
          <w:p>
            <w:pPr>
              <w:spacing w:after="20"/>
              <w:jc w:val="right"/>
            </w:pPr>
            <w:r>
              <w:rPr>
                <w:color w:val="1C3A36"/>
                <w:sz w:val="16"/>
              </w:rPr>
              <w:t>charge the cash pile its yield give-up (net-debt cost 5.56%): cash earning deposit rates against debt costing 4.92% is negative carry, priced instead of ignored</w:t>
            </w:r>
          </w:p>
        </w:tc>
      </w:tr>
      <w:tr>
        <w:tc>
          <w:tcPr>
            <w:tcW w:type="dxa" w:w="2232"/>
          </w:tcPr>
          <w:p>
            <w:pPr>
              <w:spacing w:after="20"/>
            </w:pPr>
            <w:r>
              <w:rPr>
                <w:color w:val="1C3A36"/>
                <w:sz w:val="16"/>
              </w:rPr>
              <w:t>Listing-exchange index beta</w:t>
            </w:r>
          </w:p>
        </w:tc>
        <w:tc>
          <w:tcPr>
            <w:tcW w:type="dxa" w:w="1440"/>
          </w:tcPr>
          <w:p>
            <w:pPr>
              <w:spacing w:after="20"/>
              <w:jc w:val="right"/>
            </w:pPr>
            <w:r>
              <w:rPr>
                <w:color w:val="1C3A36"/>
                <w:sz w:val="16"/>
              </w:rPr>
              <w:t>6.78%</w:t>
            </w:r>
          </w:p>
        </w:tc>
        <w:tc>
          <w:tcPr>
            <w:tcW w:type="dxa" w:w="1440"/>
          </w:tcPr>
          <w:p>
            <w:pPr>
              <w:spacing w:after="20"/>
              <w:jc w:val="right"/>
            </w:pPr>
            <w:r>
              <w:rPr>
                <w:color w:val="1C3A36"/>
                <w:sz w:val="16"/>
              </w:rPr>
              <w:t>2.475</w:t>
            </w:r>
          </w:p>
        </w:tc>
        <w:tc>
          <w:tcPr>
            <w:tcW w:type="dxa" w:w="4968"/>
          </w:tcPr>
          <w:p>
            <w:pPr>
              <w:spacing w:after="20"/>
              <w:jc w:val="right"/>
            </w:pPr>
            <w:r>
              <w:rPr>
                <w:color w:val="1C3A36"/>
                <w:sz w:val="16"/>
              </w:rPr>
              <w:t>the same weekly regression against the DFM General Index gives a beta of 0.652 and a cost of equity of 7.22%; the published base uses the FTSE ADX General Index by explicit client instruction, and that choice is priced here in full, not parenthetically</w:t>
            </w:r>
          </w:p>
        </w:tc>
      </w:tr>
    </w:tbl>
    <w:p>
      <w:pPr>
        <w:spacing w:after="40"/>
      </w:pPr>
    </w:p>
    <w:p>
      <w:pPr>
        <w:spacing w:after="200" w:before="0"/>
      </w:pPr>
      <w:r>
        <w:rPr>
          <w:b w:val="0"/>
          <w:i/>
          <w:color w:val="6E7B77"/>
          <w:sz w:val="17"/>
        </w:rPr>
        <w:t>The published scenario field (1.440–2.138) is bounded by SCENARIOS; these CONSTRUCTIONS alone span 2.036 to 2.475 on the identical cash flows — construction risk is additional to scenario risk, and of comparable size. The beta's own 90% sampling interval (0.56–1.17) maps to roughly 1.71–2.68 per share on the primary lens via the section 1.9 grid. A reader should treat the printed field as scenario risk and carry construction risk on top of it.</w:t>
      </w: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the weighting and beta-index choices are full parallel valuations above; and the beta's sampling error is shown so a reader can re-run the cost of equity at either end of the interval (0.56 lifts the fair value, 1.17 lowers it — the direction is worth roughly AED 0.191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0.0%</w:t>
            </w:r>
          </w:p>
        </w:tc>
        <w:tc>
          <w:tcPr>
            <w:tcW w:type="dxa" w:w="1469"/>
            <w:shd w:val="clear" w:color="auto" w:fill="EAF0EE"/>
          </w:tcPr>
          <w:p>
            <w:pPr>
              <w:spacing w:after="20"/>
            </w:pPr>
            <w:r>
              <w:rPr>
                <w:b/>
                <w:color w:val="1C3A36"/>
                <w:sz w:val="16"/>
              </w:rPr>
              <w:t>g = 1.0%</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r>
      <w:tr>
        <w:tc>
          <w:tcPr>
            <w:tcW w:type="dxa" w:w="2736"/>
          </w:tcPr>
          <w:p>
            <w:pPr>
              <w:spacing w:after="20"/>
            </w:pPr>
            <w:r>
              <w:rPr>
                <w:color w:val="1C3A36"/>
                <w:sz w:val="16"/>
              </w:rPr>
              <w:t>Cost of capital 6.64%</w:t>
            </w:r>
          </w:p>
        </w:tc>
        <w:tc>
          <w:tcPr>
            <w:tcW w:type="dxa" w:w="1469"/>
          </w:tcPr>
          <w:p>
            <w:pPr>
              <w:spacing w:after="20"/>
              <w:jc w:val="right"/>
            </w:pPr>
            <w:r>
              <w:rPr>
                <w:color w:val="1C3A36"/>
                <w:sz w:val="16"/>
              </w:rPr>
              <w:t>2.028</w:t>
            </w:r>
          </w:p>
        </w:tc>
        <w:tc>
          <w:tcPr>
            <w:tcW w:type="dxa" w:w="1469"/>
          </w:tcPr>
          <w:p>
            <w:pPr>
              <w:spacing w:after="20"/>
              <w:jc w:val="right"/>
            </w:pPr>
            <w:r>
              <w:rPr>
                <w:color w:val="1C3A36"/>
                <w:sz w:val="16"/>
              </w:rPr>
              <w:t>2.269</w:t>
            </w:r>
          </w:p>
        </w:tc>
        <w:tc>
          <w:tcPr>
            <w:tcW w:type="dxa" w:w="1469"/>
          </w:tcPr>
          <w:p>
            <w:pPr>
              <w:spacing w:after="20"/>
              <w:jc w:val="right"/>
            </w:pPr>
            <w:r>
              <w:rPr>
                <w:color w:val="1C3A36"/>
                <w:sz w:val="16"/>
              </w:rPr>
              <w:t>2.491</w:t>
            </w:r>
          </w:p>
        </w:tc>
        <w:tc>
          <w:tcPr>
            <w:tcW w:type="dxa" w:w="1469"/>
          </w:tcPr>
          <w:p>
            <w:pPr>
              <w:spacing w:after="20"/>
              <w:jc w:val="right"/>
            </w:pPr>
            <w:r>
              <w:rPr>
                <w:color w:val="1C3A36"/>
                <w:sz w:val="16"/>
              </w:rPr>
              <w:t>2.561</w:t>
            </w:r>
          </w:p>
        </w:tc>
        <w:tc>
          <w:tcPr>
            <w:tcW w:type="dxa" w:w="1469"/>
          </w:tcPr>
          <w:p>
            <w:pPr>
              <w:spacing w:after="20"/>
              <w:jc w:val="right"/>
            </w:pPr>
            <w:r>
              <w:rPr>
                <w:color w:val="1C3A36"/>
                <w:sz w:val="16"/>
              </w:rPr>
              <w:t>2.634</w:t>
            </w:r>
          </w:p>
        </w:tc>
      </w:tr>
      <w:tr>
        <w:tc>
          <w:tcPr>
            <w:tcW w:type="dxa" w:w="2736"/>
          </w:tcPr>
          <w:p>
            <w:pPr>
              <w:spacing w:after="20"/>
            </w:pPr>
            <w:r>
              <w:rPr>
                <w:color w:val="1C3A36"/>
                <w:sz w:val="16"/>
              </w:rPr>
              <w:t>Cost of capital 7.14%</w:t>
            </w:r>
          </w:p>
        </w:tc>
        <w:tc>
          <w:tcPr>
            <w:tcW w:type="dxa" w:w="1469"/>
          </w:tcPr>
          <w:p>
            <w:pPr>
              <w:spacing w:after="20"/>
              <w:jc w:val="right"/>
            </w:pPr>
            <w:r>
              <w:rPr>
                <w:color w:val="1C3A36"/>
                <w:sz w:val="16"/>
              </w:rPr>
              <w:t>1.873</w:t>
            </w:r>
          </w:p>
        </w:tc>
        <w:tc>
          <w:tcPr>
            <w:tcW w:type="dxa" w:w="1469"/>
          </w:tcPr>
          <w:p>
            <w:pPr>
              <w:spacing w:after="20"/>
              <w:jc w:val="right"/>
            </w:pPr>
            <w:r>
              <w:rPr>
                <w:color w:val="1C3A36"/>
                <w:sz w:val="16"/>
              </w:rPr>
              <w:t>2.071</w:t>
            </w:r>
          </w:p>
        </w:tc>
        <w:tc>
          <w:tcPr>
            <w:tcW w:type="dxa" w:w="1469"/>
          </w:tcPr>
          <w:p>
            <w:pPr>
              <w:spacing w:after="20"/>
              <w:jc w:val="right"/>
            </w:pPr>
            <w:r>
              <w:rPr>
                <w:color w:val="1C3A36"/>
                <w:sz w:val="16"/>
              </w:rPr>
              <w:t>2.254</w:t>
            </w:r>
          </w:p>
        </w:tc>
        <w:tc>
          <w:tcPr>
            <w:tcW w:type="dxa" w:w="1469"/>
          </w:tcPr>
          <w:p>
            <w:pPr>
              <w:spacing w:after="20"/>
              <w:jc w:val="right"/>
            </w:pPr>
            <w:r>
              <w:rPr>
                <w:color w:val="1C3A36"/>
                <w:sz w:val="16"/>
              </w:rPr>
              <w:t>2.313</w:t>
            </w:r>
          </w:p>
        </w:tc>
        <w:tc>
          <w:tcPr>
            <w:tcW w:type="dxa" w:w="1469"/>
          </w:tcPr>
          <w:p>
            <w:pPr>
              <w:spacing w:after="20"/>
              <w:jc w:val="right"/>
            </w:pPr>
            <w:r>
              <w:rPr>
                <w:color w:val="1C3A36"/>
                <w:sz w:val="16"/>
              </w:rPr>
              <w:t>2.376</w:t>
            </w:r>
          </w:p>
        </w:tc>
      </w:tr>
      <w:tr>
        <w:tc>
          <w:tcPr>
            <w:tcW w:type="dxa" w:w="2736"/>
            <w:shd w:val="clear" w:color="auto" w:fill="F6F1E6"/>
          </w:tcPr>
          <w:p>
            <w:pPr>
              <w:spacing w:after="20"/>
            </w:pPr>
            <w:r>
              <w:rPr>
                <w:b/>
                <w:color w:val="1C3A36"/>
                <w:sz w:val="16"/>
              </w:rPr>
              <w:t>Cost of capital 7.64%  (base)</w:t>
            </w:r>
          </w:p>
        </w:tc>
        <w:tc>
          <w:tcPr>
            <w:tcW w:type="dxa" w:w="1469"/>
            <w:shd w:val="clear" w:color="auto" w:fill="F6F1E6"/>
          </w:tcPr>
          <w:p>
            <w:pPr>
              <w:spacing w:after="20"/>
              <w:jc w:val="right"/>
            </w:pPr>
            <w:r>
              <w:rPr>
                <w:b/>
                <w:color w:val="1C3A36"/>
                <w:sz w:val="16"/>
              </w:rPr>
              <w:t>1.739</w:t>
            </w:r>
          </w:p>
        </w:tc>
        <w:tc>
          <w:tcPr>
            <w:tcW w:type="dxa" w:w="1469"/>
            <w:shd w:val="clear" w:color="auto" w:fill="F6F1E6"/>
          </w:tcPr>
          <w:p>
            <w:pPr>
              <w:spacing w:after="20"/>
              <w:jc w:val="right"/>
            </w:pPr>
            <w:r>
              <w:rPr>
                <w:b/>
                <w:color w:val="1C3A36"/>
                <w:sz w:val="16"/>
              </w:rPr>
              <w:t>1.903</w:t>
            </w:r>
          </w:p>
        </w:tc>
        <w:tc>
          <w:tcPr>
            <w:tcW w:type="dxa" w:w="1469"/>
            <w:shd w:val="clear" w:color="auto" w:fill="F6F1E6"/>
          </w:tcPr>
          <w:p>
            <w:pPr>
              <w:spacing w:after="20"/>
              <w:jc w:val="right"/>
            </w:pPr>
            <w:r>
              <w:rPr>
                <w:b/>
                <w:color w:val="1C3A36"/>
                <w:sz w:val="16"/>
              </w:rPr>
              <w:t>2.055</w:t>
            </w:r>
          </w:p>
        </w:tc>
        <w:tc>
          <w:tcPr>
            <w:tcW w:type="dxa" w:w="1469"/>
            <w:shd w:val="clear" w:color="auto" w:fill="F6F1E6"/>
          </w:tcPr>
          <w:p>
            <w:pPr>
              <w:spacing w:after="20"/>
              <w:jc w:val="right"/>
            </w:pPr>
            <w:r>
              <w:rPr>
                <w:b/>
                <w:color w:val="1C3A36"/>
                <w:sz w:val="16"/>
              </w:rPr>
              <w:t>2.107</w:t>
            </w:r>
          </w:p>
        </w:tc>
        <w:tc>
          <w:tcPr>
            <w:tcW w:type="dxa" w:w="1469"/>
            <w:shd w:val="clear" w:color="auto" w:fill="F6F1E6"/>
          </w:tcPr>
          <w:p>
            <w:pPr>
              <w:spacing w:after="20"/>
              <w:jc w:val="right"/>
            </w:pPr>
            <w:r>
              <w:rPr>
                <w:b/>
                <w:color w:val="1C3A36"/>
                <w:sz w:val="16"/>
              </w:rPr>
              <w:t>2.160</w:t>
            </w:r>
          </w:p>
        </w:tc>
      </w:tr>
      <w:tr>
        <w:tc>
          <w:tcPr>
            <w:tcW w:type="dxa" w:w="2736"/>
          </w:tcPr>
          <w:p>
            <w:pPr>
              <w:spacing w:after="20"/>
            </w:pPr>
            <w:r>
              <w:rPr>
                <w:color w:val="1C3A36"/>
                <w:sz w:val="16"/>
              </w:rPr>
              <w:t>Cost of capital 8.14%</w:t>
            </w:r>
          </w:p>
        </w:tc>
        <w:tc>
          <w:tcPr>
            <w:tcW w:type="dxa" w:w="1469"/>
          </w:tcPr>
          <w:p>
            <w:pPr>
              <w:spacing w:after="20"/>
              <w:jc w:val="right"/>
            </w:pPr>
            <w:r>
              <w:rPr>
                <w:color w:val="1C3A36"/>
                <w:sz w:val="16"/>
              </w:rPr>
              <w:t>1.620</w:t>
            </w:r>
          </w:p>
        </w:tc>
        <w:tc>
          <w:tcPr>
            <w:tcW w:type="dxa" w:w="1469"/>
          </w:tcPr>
          <w:p>
            <w:pPr>
              <w:spacing w:after="20"/>
              <w:jc w:val="right"/>
            </w:pPr>
            <w:r>
              <w:rPr>
                <w:color w:val="1C3A36"/>
                <w:sz w:val="16"/>
              </w:rPr>
              <w:t>1.759</w:t>
            </w:r>
          </w:p>
        </w:tc>
        <w:tc>
          <w:tcPr>
            <w:tcW w:type="dxa" w:w="1469"/>
          </w:tcPr>
          <w:p>
            <w:pPr>
              <w:spacing w:after="20"/>
              <w:jc w:val="right"/>
            </w:pPr>
            <w:r>
              <w:rPr>
                <w:color w:val="1C3A36"/>
                <w:sz w:val="16"/>
              </w:rPr>
              <w:t>1.886</w:t>
            </w:r>
          </w:p>
        </w:tc>
        <w:tc>
          <w:tcPr>
            <w:tcW w:type="dxa" w:w="1469"/>
          </w:tcPr>
          <w:p>
            <w:pPr>
              <w:spacing w:after="20"/>
              <w:jc w:val="right"/>
            </w:pPr>
            <w:r>
              <w:rPr>
                <w:color w:val="1C3A36"/>
                <w:sz w:val="16"/>
              </w:rPr>
              <w:t>1.931</w:t>
            </w:r>
          </w:p>
        </w:tc>
        <w:tc>
          <w:tcPr>
            <w:tcW w:type="dxa" w:w="1469"/>
          </w:tcPr>
          <w:p>
            <w:pPr>
              <w:spacing w:after="20"/>
              <w:jc w:val="right"/>
            </w:pPr>
            <w:r>
              <w:rPr>
                <w:color w:val="1C3A36"/>
                <w:sz w:val="16"/>
              </w:rPr>
              <w:t>1.978</w:t>
            </w:r>
          </w:p>
        </w:tc>
      </w:tr>
      <w:tr>
        <w:tc>
          <w:tcPr>
            <w:tcW w:type="dxa" w:w="2736"/>
          </w:tcPr>
          <w:p>
            <w:pPr>
              <w:spacing w:after="20"/>
            </w:pPr>
            <w:r>
              <w:rPr>
                <w:color w:val="1C3A36"/>
                <w:sz w:val="16"/>
              </w:rPr>
              <w:t>Cost of capital 8.64%</w:t>
            </w:r>
          </w:p>
        </w:tc>
        <w:tc>
          <w:tcPr>
            <w:tcW w:type="dxa" w:w="1469"/>
          </w:tcPr>
          <w:p>
            <w:pPr>
              <w:spacing w:after="20"/>
              <w:jc w:val="right"/>
            </w:pPr>
            <w:r>
              <w:rPr>
                <w:color w:val="1C3A36"/>
                <w:sz w:val="16"/>
              </w:rPr>
              <w:t>1.516</w:t>
            </w:r>
          </w:p>
        </w:tc>
        <w:tc>
          <w:tcPr>
            <w:tcW w:type="dxa" w:w="1469"/>
          </w:tcPr>
          <w:p>
            <w:pPr>
              <w:spacing w:after="20"/>
              <w:jc w:val="right"/>
            </w:pPr>
            <w:r>
              <w:rPr>
                <w:color w:val="1C3A36"/>
                <w:sz w:val="16"/>
              </w:rPr>
              <w:t>1.633</w:t>
            </w:r>
          </w:p>
        </w:tc>
        <w:tc>
          <w:tcPr>
            <w:tcW w:type="dxa" w:w="1469"/>
          </w:tcPr>
          <w:p>
            <w:pPr>
              <w:spacing w:after="20"/>
              <w:jc w:val="right"/>
            </w:pPr>
            <w:r>
              <w:rPr>
                <w:color w:val="1C3A36"/>
                <w:sz w:val="16"/>
              </w:rPr>
              <w:t>1.741</w:t>
            </w:r>
          </w:p>
        </w:tc>
        <w:tc>
          <w:tcPr>
            <w:tcW w:type="dxa" w:w="1469"/>
          </w:tcPr>
          <w:p>
            <w:pPr>
              <w:spacing w:after="20"/>
              <w:jc w:val="right"/>
            </w:pPr>
            <w:r>
              <w:rPr>
                <w:color w:val="1C3A36"/>
                <w:sz w:val="16"/>
              </w:rPr>
              <w:t>1.781</w:t>
            </w:r>
          </w:p>
        </w:tc>
        <w:tc>
          <w:tcPr>
            <w:tcW w:type="dxa" w:w="1469"/>
          </w:tcPr>
          <w:p>
            <w:pPr>
              <w:spacing w:after="20"/>
              <w:jc w:val="right"/>
            </w:pPr>
            <w:r>
              <w:rPr>
                <w:color w:val="1C3A36"/>
                <w:sz w:val="16"/>
              </w:rPr>
              <w:t>1.821</w:t>
            </w:r>
          </w:p>
        </w:tc>
      </w:tr>
    </w:tbl>
    <w:p>
      <w:pPr>
        <w:spacing w:after="40"/>
      </w:pPr>
    </w:p>
    <w:p>
      <w:pPr>
        <w:spacing w:after="200" w:before="0"/>
      </w:pPr>
      <w:r>
        <w:rPr>
          <w:b w:val="0"/>
          <w:i/>
          <w:color w:val="6E7B77"/>
          <w:sz w:val="17"/>
        </w:rPr>
        <w:t>The base cell (2.107) sits at 7.64% and 2.5%. A half-point of discount rate is worth roughly AED 0.191 per share — more than the entire consumption crux — which is the honest hierarchy of what matters in this valuation: rate, tax, tariff, then usage. The growth axis now extends to ZERO so the reader can see the flat-everything endpoint: no volume growth at all, forever, is worth 1.739 at the base rate.</w:t>
      </w:r>
    </w:p>
    <w:p>
      <w:pPr>
        <w:spacing w:after="120" w:before="0"/>
      </w:pPr>
      <w:r>
        <w:rPr>
          <w:b w:val="0"/>
          <w:i w:val="0"/>
          <w:color w:val="1C3A36"/>
          <w:sz w:val="21"/>
        </w:rPr>
        <w:t>Two words on the growth assumption itself, because the first edition mislabelled it. The 2.5% stage-one rate is NOT a nominal-GDP-consistent figure — UAE nominal GDP compounds at roughly 5.7% a year on the current five-year outlook, and 2.5% is about half of it (the error ran in the conservative direction). It is a VOLUME-ONLY bound under the regulator's no-indexation rule: the Dubai 2040 build-out, the contracted backlog and a signing run-rate of 163-186 new contracts a year support it for the ten-year second stage, after which the perpetuity drops to 1.5% (long-run densification, zero real tariff growth). The tension is stated rather than hidden: 2.5% volume growth forever would double the connected base roughly every 28 years, which is why it is NOT extended into the perpetuity and why the grid above prices every stop down to zero.</w:t>
      </w:r>
    </w:p>
    <w:p>
      <w:pPr>
        <w:spacing w:after="120" w:before="0"/>
      </w:pPr>
      <w:r>
        <w:rPr>
          <w:b w:val="0"/>
          <w:i w:val="0"/>
          <w:color w:val="1C3A36"/>
          <w:sz w:val="21"/>
        </w:rPr>
        <w:t>Both rates are now stated as REAL rates and the headline figures derived from them, which on this company is a change of description rather than of assumption and is worth a sentence for that reason. Because the tariff is regulated and NOT indexed, nominal revenue growth IS volume growth here, so 2.5% on the 2.0% long-run inflation this economy is expected to run is 0.49% in real terms, and the perpetuity's 1.5% is -0.49% — a real DECLINE. Nothing about the forecast moves; what moves is that a reader can see the second stage assumes this business shrinks slowly in real terms for ever, which the phrase 'zero real tariff growth' describes without naming.</w:t>
      </w:r>
    </w:p>
    <w:p>
      <w:pPr>
        <w:spacing w:after="120" w:before="0"/>
      </w:pPr>
      <w:r>
        <w:rPr>
          <w:b w:val="0"/>
          <w:i w:val="0"/>
          <w:color w:val="1C3A36"/>
          <w:sz w:val="21"/>
        </w:rPr>
        <w:t>What the terminal charges for is capital MAINTENANCE, at what replacement actually costs, and the asset life it rests on is DERIVED rather than chosen. The accounting policy gives ranges by class — plant, equipment and machinery 2 to 30 years, buildings 25, intangibles 30 — and no weighting, so no single figure can be read off it. The depreciation notes' own two columns supply one: the gross cost of everything that depreciates, over the year's own charge, is 28.10 years, and the prior year's columns give 27.88 on the same identity. Against that, the construction this edition replaces charged as though the whole plant were rebuilt every fifty years in stage one and every sixty-seven in stage two — which are facts about the dirham's peg to the dollar rather than about a chilled-water plant. Terminal free cash flow is AED 1,374mn in the first year of stage one, 92.4% of profit.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1.440</w:t>
            </w:r>
          </w:p>
        </w:tc>
      </w:tr>
      <w:tr>
        <w:tc>
          <w:tcPr>
            <w:tcW w:type="dxa" w:w="2016"/>
            <w:shd w:val="clear" w:color="auto" w:fill="F6F1E6"/>
          </w:tcPr>
          <w:p>
            <w:pPr>
              <w:spacing w:after="20"/>
            </w:pPr>
            <w:r>
              <w:rPr>
                <w:b/>
                <w:color w:val="1C3A36"/>
                <w:sz w:val="16"/>
              </w:rPr>
              <w:t>Continuation — the world as it stood at the anchor</w:t>
            </w:r>
          </w:p>
        </w:tc>
        <w:tc>
          <w:tcPr>
            <w:tcW w:type="dxa" w:w="6048"/>
            <w:shd w:val="clear" w:color="auto" w:fill="F6F1E6"/>
          </w:tcPr>
          <w:p>
            <w:pPr>
              <w:spacing w:after="20"/>
              <w:jc w:val="right"/>
            </w:pPr>
            <w:r>
              <w:rPr>
                <w:b/>
                <w:color w:val="1C3A36"/>
                <w:sz w:val="16"/>
              </w:rPr>
              <w:t>the consumption shock never unwinds; guidance-midpoint connections continue (they grew through the war half); both tax framings published</w:t>
            </w:r>
          </w:p>
        </w:tc>
        <w:tc>
          <w:tcPr>
            <w:tcW w:type="dxa" w:w="2016"/>
            <w:shd w:val="clear" w:color="auto" w:fill="F6F1E6"/>
          </w:tcPr>
          <w:p>
            <w:pPr>
              <w:spacing w:after="20"/>
              <w:jc w:val="right"/>
            </w:pPr>
            <w:r>
              <w:rPr>
                <w:b/>
                <w:color w:val="1C3A36"/>
                <w:sz w:val="16"/>
              </w:rPr>
              <w:t>1.81 / 1.69</w:t>
            </w:r>
          </w:p>
        </w:tc>
      </w:tr>
      <w:tr>
        <w:tc>
          <w:tcPr>
            <w:tcW w:type="dxa" w:w="2016"/>
            <w:shd w:val="clear" w:color="auto" w:fill="F6F1E6"/>
          </w:tcPr>
          <w:p>
            <w:pPr>
              <w:spacing w:after="20"/>
            </w:pPr>
            <w:r>
              <w:rPr>
                <w:b/>
                <w:color w:val="1C3A36"/>
                <w:sz w:val="16"/>
              </w:rPr>
              <w:t>Recovery (de-escalation)</w:t>
            </w:r>
          </w:p>
        </w:tc>
        <w:tc>
          <w:tcPr>
            <w:tcW w:type="dxa" w:w="6048"/>
            <w:shd w:val="clear" w:color="auto" w:fill="F6F1E6"/>
          </w:tcPr>
          <w:p>
            <w:pPr>
              <w:spacing w:after="20"/>
              <w:jc w:val="right"/>
            </w:pPr>
            <w:r>
              <w:rPr>
                <w:b/>
                <w:color w:val="1C3A36"/>
                <w:sz w:val="16"/>
              </w:rPr>
              <w:t>usage recovers through 2027 — requires a de-escalation that had not occurred at the anchor date; guidance-midpoint connections; both tax framings published</w:t>
            </w:r>
          </w:p>
        </w:tc>
        <w:tc>
          <w:tcPr>
            <w:tcW w:type="dxa" w:w="2016"/>
            <w:shd w:val="clear" w:color="auto" w:fill="F6F1E6"/>
          </w:tcPr>
          <w:p>
            <w:pPr>
              <w:spacing w:after="20"/>
              <w:jc w:val="right"/>
            </w:pPr>
            <w:r>
              <w:rPr>
                <w:b/>
                <w:color w:val="1C3A36"/>
                <w:sz w:val="16"/>
              </w:rPr>
              <w:t>1.84 / 1.72</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follow the top-of-guidance path (110/110/100/90/80k RT over the five years); 9% tax</w:t>
            </w:r>
          </w:p>
        </w:tc>
        <w:tc>
          <w:tcPr>
            <w:tcW w:type="dxa" w:w="2016"/>
          </w:tcPr>
          <w:p>
            <w:pPr>
              <w:spacing w:after="20"/>
              <w:jc w:val="right"/>
            </w:pPr>
            <w:r>
              <w:rPr>
                <w:color w:val="1C3A36"/>
                <w:sz w:val="16"/>
              </w:rPr>
              <w:t>2.138</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 The middle two rows are the study's two published centrals: NEITHER is called the base, because the fact dividing them had not resolved at the anchor date.</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-1.6%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-3.2%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-2.8%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evidence behind the band widths is stated plainly, at its actual strength. The bands are set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 a record too short to establish forecasting skill either way, and it is presented as such. On those 10 windows every realised outcome fell inside the 80% band — 10 of 10, where 8 would be expected — which is itself evidence the bands are drawn too WIDE, not proof they are right. The centring is clean (the average percentile of the realised outcomes was 0.46, statistically uniform on the standard tests), and the bands run about 28% wider than this stock's own short history would warrant — a width that cost a few percent of average sharpness against the benchmark on those same windows,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1.57, with the trailing tape behind it. All four published centrals — recovery 1.84 / 1.72 and continuation 1.81 / 1.69 by tax framing — sit INSIDE the three-month cone, below its 95th percentile of 1.92 (the span 1.69–1.84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2.100 / 1.944 by tax framing, +34% / +24% against the market</w:t>
            </w:r>
          </w:p>
        </w:tc>
        <w:tc>
          <w:tcPr>
            <w:tcW w:type="dxa" w:w="4104"/>
          </w:tcPr>
          <w:p>
            <w:pPr>
              <w:spacing w:after="20"/>
              <w:jc w:val="right"/>
            </w:pPr>
            <w:r>
              <w:rPr>
                <w:color w:val="1C3A36"/>
                <w:sz w:val="16"/>
              </w:rPr>
              <w:t>the tariff stays flat but is not cut; the contracted backlog connects; the crux recovers (and barely matters if it does not — the continuation model is 2.041 / 1.889)</w:t>
            </w:r>
          </w:p>
        </w:tc>
      </w:tr>
      <w:tr>
        <w:tc>
          <w:tcPr>
            <w:tcW w:type="dxa" w:w="2664"/>
          </w:tcPr>
          <w:p>
            <w:pPr>
              <w:spacing w:after="20"/>
            </w:pPr>
            <w:r>
              <w:rPr>
                <w:color w:val="1C3A36"/>
                <w:sz w:val="16"/>
              </w:rPr>
              <w:t>Weighted central — recovery</w:t>
            </w:r>
          </w:p>
        </w:tc>
        <w:tc>
          <w:tcPr>
            <w:tcW w:type="dxa" w:w="3312"/>
          </w:tcPr>
          <w:p>
            <w:pPr>
              <w:spacing w:after="20"/>
              <w:jc w:val="right"/>
            </w:pPr>
            <w:r>
              <w:rPr>
                <w:color w:val="1C3A36"/>
                <w:sz w:val="16"/>
              </w:rPr>
              <w:t>AED 1.84 / 1.72, +17% / +10%</w:t>
            </w:r>
          </w:p>
        </w:tc>
        <w:tc>
          <w:tcPr>
            <w:tcW w:type="dxa" w:w="4104"/>
          </w:tcPr>
          <w:p>
            <w:pPr>
              <w:spacing w:after="20"/>
              <w:jc w:val="right"/>
            </w:pPr>
            <w:r>
              <w:rPr>
                <w:color w:val="1C3A36"/>
                <w:sz w:val="16"/>
              </w:rPr>
              <w:t>a de-escalation that had not occurred at the anchor date; a fifth of the weight deliberately given to today's war-discounted market regime through the relative lens</w:t>
            </w:r>
          </w:p>
        </w:tc>
      </w:tr>
      <w:tr>
        <w:tc>
          <w:tcPr>
            <w:tcW w:type="dxa" w:w="2664"/>
          </w:tcPr>
          <w:p>
            <w:pPr>
              <w:spacing w:after="20"/>
            </w:pPr>
            <w:r>
              <w:rPr>
                <w:color w:val="1C3A36"/>
                <w:sz w:val="16"/>
              </w:rPr>
              <w:t>Weighted central — continuation</w:t>
            </w:r>
          </w:p>
        </w:tc>
        <w:tc>
          <w:tcPr>
            <w:tcW w:type="dxa" w:w="3312"/>
          </w:tcPr>
          <w:p>
            <w:pPr>
              <w:spacing w:after="20"/>
              <w:jc w:val="right"/>
            </w:pPr>
            <w:r>
              <w:rPr>
                <w:color w:val="1C3A36"/>
                <w:sz w:val="16"/>
              </w:rPr>
              <w:t>AED 1.81 / 1.69, +15% / +8%</w:t>
            </w:r>
          </w:p>
        </w:tc>
        <w:tc>
          <w:tcPr>
            <w:tcW w:type="dxa" w:w="4104"/>
          </w:tcPr>
          <w:p>
            <w:pPr>
              <w:spacing w:after="20"/>
              <w:jc w:val="right"/>
            </w:pPr>
            <w:r>
              <w:rPr>
                <w:color w:val="1C3A36"/>
                <w:sz w:val="16"/>
              </w:rPr>
              <w:t>the world as it stood on the published facts at the anchor; same weights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1.444, -8%</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1.57</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+38%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Even the continuation case, which concedes the whole usage shock forever, sits well above the market price. The genuine open questions are the ones the market prices less visibly: whether the 15% minimum tax reaches the company (0.155 per share, published as its own column), and whether the next approved tariff schedule stays flat (not priced — flagged as the model's single most valuable assumption). Between the 1.69 continuation central under the harsher tax framing and the 1.57 market price lies the war discount itself; a reader who expects the conflict regime to persist should weight the relative lens harder, and the field published here lets them. All four published centrals — recovery 1.84 / 1.72 and continuation 1.81 / 1.69 by tax framing — sit INSIDE the three-month cone, below its 95th percentile of 1.92 (the span 1.69–1.84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200" w:before="0"/>
      </w:pPr>
      <w:r>
        <w:rPr>
          <w:b w:val="0"/>
          <w:i w:val="0"/>
          <w:color w:val="1C3A36"/>
          <w:sz w:val="21"/>
        </w:rPr>
        <w:t>No rating is expressed here or anywhere else in this document, and no single-number target: the output is a set of ranges, two published centrals and a distribution — with the construction range of section 1.8 stated beside them.</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The conflict tempo and the strait</w:t>
            </w:r>
          </w:p>
        </w:tc>
        <w:tc>
          <w:tcPr>
            <w:tcW w:type="dxa" w:w="3960"/>
          </w:tcPr>
          <w:p>
            <w:pPr>
              <w:spacing w:after="20"/>
              <w:jc w:val="right"/>
            </w:pPr>
            <w:r>
              <w:rPr>
                <w:color w:val="1C3A36"/>
                <w:sz w:val="16"/>
              </w:rPr>
              <w:t>the ceasefire was declared over on 8 July and the Strait of Hormuz stood closed at the anchor — "truce durability" is no longer the question. The demand shock transmits through hospitality occupancy; attacks reaching UAE soil are the bear case, a reopened strait is the de-escalation the recovery case requires</w:t>
            </w:r>
          </w:p>
        </w:tc>
        <w:tc>
          <w:tcPr>
            <w:tcW w:type="dxa" w:w="3960"/>
          </w:tcPr>
          <w:p>
            <w:pPr>
              <w:spacing w:after="20"/>
              <w:jc w:val="right"/>
            </w:pPr>
            <w:r>
              <w:rPr>
                <w:color w:val="1C3A36"/>
                <w:sz w:val="16"/>
              </w:rPr>
              <w:t>the tempo of attacks on shipping and on UAE soil (none on soil since 8 July; tankers hit 8, 12 and 14 August); the Iran–Oman reopening track announced 17 August — implementation, not announcement, is the event</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0.155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next tariff decision</w:t>
            </w:r>
          </w:p>
        </w:tc>
        <w:tc>
          <w:tcPr>
            <w:tcW w:type="dxa" w:w="3960"/>
          </w:tcPr>
          <w:p>
            <w:pPr>
              <w:spacing w:after="20"/>
              <w:jc w:val="right"/>
            </w:pPr>
            <w:r>
              <w:rPr>
                <w:color w:val="1C3A36"/>
                <w:sz w:val="16"/>
              </w:rPr>
              <w:t>the flat regulated tariff is the single most valuable assumption in the model; a cap cut at review would do what no consumption shock can. The current instrument already caps the rate Empower charges at essentially its achieved level and bars indexation of capacity charges</w:t>
            </w:r>
          </w:p>
        </w:tc>
        <w:tc>
          <w:tcPr>
            <w:tcW w:type="dxa" w:w="3960"/>
          </w:tcPr>
          <w:p>
            <w:pPr>
              <w:spacing w:after="20"/>
              <w:jc w:val="right"/>
            </w:pPr>
            <w:r>
              <w:rPr>
                <w:color w:val="1C3A36"/>
                <w:sz w:val="16"/>
              </w:rPr>
              <w:t>decisions of the Dubai Supreme Council of Energy — the body that APPROVES tariffs — with Regulatory and Supervisory Bureau consultations and tariff-instrument revisions as the leading indicator</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-26% move and a +22%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1.69 – 1.84</w:t>
            </w:r>
          </w:p>
        </w:tc>
        <w:tc>
          <w:tcPr>
            <w:tcW w:type="dxa" w:w="5040"/>
          </w:tcPr>
          <w:p>
            <w:pPr>
              <w:spacing w:after="20"/>
              <w:jc w:val="right"/>
            </w:pPr>
            <w:r>
              <w:rPr>
                <w:color w:val="1C3A36"/>
                <w:sz w:val="16"/>
              </w:rPr>
              <w:t>All four published centrals — recovery 1.84 / 1.72 and continuation 1.81 / 1.69 by tax framing — sit INSIDE the three-month cone, below its 95th percentile of 1.92 (the span 1.69–1.84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recovery case restores usage per connected ton to the 2025 level through 2027 — and it requires a de-escalation that had not occurred at the anchor date, which is why the continuation case is published beside it as an equal, not beneath it as a sensitivity. The full continuation model costs only 2.8% on the primary lens, so this is a watch-item rather than a value risk — but two consecutive halves with equivalent full-load hours below the 2026 trough would put the shock outside anything hospitality-linked, and the recovery case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1.440 per share. A reader can adopt it wholesale rather than improvising a discount.</w:t>
      </w:r>
    </w:p>
    <w:p>
      <w:pPr>
        <w:pStyle w:val="ListBullet"/>
        <w:spacing w:after="60"/>
      </w:pPr>
      <w:r>
        <w:rPr>
          <w:b/>
          <w:color w:val="1C3A36"/>
          <w:sz w:val="21"/>
        </w:rPr>
        <w:t xml:space="preserve">A tariff-cap cut at a regulatory review. </w:t>
      </w:r>
      <w:r>
        <w:rPr>
          <w:color w:val="1C3A36"/>
          <w:sz w:val="21"/>
        </w:rPr>
        <w:t>The flat regulated tariff is the single most valuable assumption in the model — it underwrites the capacity charge that carries 77.9% of the enterprise value into the terminal. The current tariff instrument hardens the flat assumption (indexation of capacity charges is barred, and the achieved rate already sits at the cap) while confirming there is no escalation upside either. No cap cut has occurred in the record examined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4.50-year bond against five-plus years of cash flows (the most recent AED print; the longer February-2033 sukuk's last print predates the July repricing);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 56.3% of 2025 revenue on that basis (the deck's first-half mix and the audited full-year share differ because the second half carries the summer peak).</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related-party acquisition receivables (excluded from the operating build; the asset sits in the bridge at book)</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(256)</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(history: audited-derived, operating profit + D&amp;A; forecast: operating EBITDA — see note)</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1,628</w:t>
            </w:r>
          </w:p>
        </w:tc>
        <w:tc>
          <w:tcPr>
            <w:tcW w:type="dxa" w:w="918"/>
            <w:shd w:val="clear" w:color="auto" w:fill="F6F1E6"/>
          </w:tcPr>
          <w:p>
            <w:pPr>
              <w:spacing w:after="20"/>
              <w:jc w:val="right"/>
            </w:pPr>
            <w:r>
              <w:rPr>
                <w:b/>
                <w:color w:val="1C3A36"/>
                <w:sz w:val="15"/>
              </w:rPr>
              <w:t>1,769</w:t>
            </w:r>
          </w:p>
        </w:tc>
        <w:tc>
          <w:tcPr>
            <w:tcW w:type="dxa" w:w="918"/>
            <w:shd w:val="clear" w:color="auto" w:fill="F6F1E6"/>
          </w:tcPr>
          <w:p>
            <w:pPr>
              <w:spacing w:after="20"/>
              <w:jc w:val="right"/>
            </w:pPr>
            <w:r>
              <w:rPr>
                <w:b/>
                <w:color w:val="1C3A36"/>
                <w:sz w:val="15"/>
              </w:rPr>
              <w:t>1,873</w:t>
            </w:r>
          </w:p>
        </w:tc>
        <w:tc>
          <w:tcPr>
            <w:tcW w:type="dxa" w:w="918"/>
            <w:shd w:val="clear" w:color="auto" w:fill="F6F1E6"/>
          </w:tcPr>
          <w:p>
            <w:pPr>
              <w:spacing w:after="20"/>
              <w:jc w:val="right"/>
            </w:pPr>
            <w:r>
              <w:rPr>
                <w:b/>
                <w:color w:val="1C3A36"/>
                <w:sz w:val="15"/>
              </w:rPr>
              <w:t>1,964</w:t>
            </w:r>
          </w:p>
        </w:tc>
        <w:tc>
          <w:tcPr>
            <w:tcW w:type="dxa" w:w="918"/>
            <w:shd w:val="clear" w:color="auto" w:fill="F6F1E6"/>
          </w:tcPr>
          <w:p>
            <w:pPr>
              <w:spacing w:after="20"/>
              <w:jc w:val="right"/>
            </w:pPr>
            <w:r>
              <w:rPr>
                <w:b/>
                <w:color w:val="1C3A36"/>
                <w:sz w:val="15"/>
              </w:rPr>
              <w:t>2,042</w:t>
            </w:r>
          </w:p>
        </w:tc>
      </w:tr>
      <w:tr>
        <w:tc>
          <w:tcPr>
            <w:tcW w:type="dxa" w:w="2736"/>
            <w:shd w:val="clear" w:color="auto" w:fill="F6F1E6"/>
          </w:tcPr>
          <w:p>
            <w:pPr>
              <w:spacing w:after="20"/>
            </w:pPr>
            <w:r>
              <w:rPr>
                <w:b/>
                <w:color w:val="1C3A36"/>
                <w:sz w:val="15"/>
              </w:rPr>
              <w:t>EBITDA margin (same bases)</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46.1%</w:t>
            </w:r>
          </w:p>
        </w:tc>
        <w:tc>
          <w:tcPr>
            <w:tcW w:type="dxa" w:w="918"/>
            <w:shd w:val="clear" w:color="auto" w:fill="F6F1E6"/>
          </w:tcPr>
          <w:p>
            <w:pPr>
              <w:spacing w:after="20"/>
              <w:jc w:val="right"/>
            </w:pPr>
            <w:r>
              <w:rPr>
                <w:b/>
                <w:color w:val="1C3A36"/>
                <w:sz w:val="15"/>
              </w:rPr>
              <w:t>46.3%</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46.6%</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1,248</w:t>
            </w:r>
          </w:p>
        </w:tc>
        <w:tc>
          <w:tcPr>
            <w:tcW w:type="dxa" w:w="918"/>
          </w:tcPr>
          <w:p>
            <w:pPr>
              <w:spacing w:after="20"/>
              <w:jc w:val="right"/>
            </w:pPr>
            <w:r>
              <w:rPr>
                <w:color w:val="1C3A36"/>
                <w:sz w:val="15"/>
              </w:rPr>
              <w:t>1,379</w:t>
            </w:r>
          </w:p>
        </w:tc>
        <w:tc>
          <w:tcPr>
            <w:tcW w:type="dxa" w:w="918"/>
          </w:tcPr>
          <w:p>
            <w:pPr>
              <w:spacing w:after="20"/>
              <w:jc w:val="right"/>
            </w:pPr>
            <w:r>
              <w:rPr>
                <w:color w:val="1C3A36"/>
                <w:sz w:val="15"/>
              </w:rPr>
              <w:t>1,473</w:t>
            </w:r>
          </w:p>
        </w:tc>
        <w:tc>
          <w:tcPr>
            <w:tcW w:type="dxa" w:w="918"/>
          </w:tcPr>
          <w:p>
            <w:pPr>
              <w:spacing w:after="20"/>
              <w:jc w:val="right"/>
            </w:pPr>
            <w:r>
              <w:rPr>
                <w:color w:val="1C3A36"/>
                <w:sz w:val="15"/>
              </w:rPr>
              <w:t>1,558</w:t>
            </w:r>
          </w:p>
        </w:tc>
        <w:tc>
          <w:tcPr>
            <w:tcW w:type="dxa" w:w="918"/>
          </w:tcPr>
          <w:p>
            <w:pPr>
              <w:spacing w:after="20"/>
              <w:jc w:val="right"/>
            </w:pPr>
            <w:r>
              <w:rPr>
                <w:color w:val="1C3A36"/>
                <w:sz w:val="15"/>
              </w:rPr>
              <w:t>1,634</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1,135 / 1,061</w:t>
            </w:r>
          </w:p>
        </w:tc>
        <w:tc>
          <w:tcPr>
            <w:tcW w:type="dxa" w:w="918"/>
          </w:tcPr>
          <w:p>
            <w:pPr>
              <w:spacing w:after="20"/>
              <w:jc w:val="right"/>
            </w:pPr>
            <w:r>
              <w:rPr>
                <w:color w:val="1C3A36"/>
                <w:sz w:val="15"/>
              </w:rPr>
              <w:t>1,255 / 1,172</w:t>
            </w:r>
          </w:p>
        </w:tc>
        <w:tc>
          <w:tcPr>
            <w:tcW w:type="dxa" w:w="918"/>
          </w:tcPr>
          <w:p>
            <w:pPr>
              <w:spacing w:after="20"/>
              <w:jc w:val="right"/>
            </w:pPr>
            <w:r>
              <w:rPr>
                <w:color w:val="1C3A36"/>
                <w:sz w:val="15"/>
              </w:rPr>
              <w:t>1,341 / 1,252</w:t>
            </w:r>
          </w:p>
        </w:tc>
        <w:tc>
          <w:tcPr>
            <w:tcW w:type="dxa" w:w="918"/>
          </w:tcPr>
          <w:p>
            <w:pPr>
              <w:spacing w:after="20"/>
              <w:jc w:val="right"/>
            </w:pPr>
            <w:r>
              <w:rPr>
                <w:color w:val="1C3A36"/>
                <w:sz w:val="15"/>
              </w:rPr>
              <w:t>1,418 / 1,325</w:t>
            </w:r>
          </w:p>
        </w:tc>
        <w:tc>
          <w:tcPr>
            <w:tcW w:type="dxa" w:w="918"/>
          </w:tcPr>
          <w:p>
            <w:pPr>
              <w:spacing w:after="20"/>
              <w:jc w:val="right"/>
            </w:pPr>
            <w:r>
              <w:rPr>
                <w:color w:val="1C3A36"/>
                <w:sz w:val="15"/>
              </w:rPr>
              <w:t>1,487 / 1,389</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interest income on the related-party acquisition receivables is presented INSIDE gross profit by the company, and the same presentation is kept here). Historical EBITDA is a house derivation — operating profit plus depreciation and amortisation — labelled as such; the audited statements contain no EBITDA line. The FORECAST rows are on the stricter operating basis, which excludes the receivable interest and rental income (2025 on that basis: 1,549.7 — the exact identity is in section 1.6), because those returns belong to assets the bridge adds at book.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Related-party acquisition receivables (amortised cost, current + non-current)</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1,325</w:t>
            </w:r>
          </w:p>
        </w:tc>
        <w:tc>
          <w:tcPr>
            <w:tcW w:type="dxa" w:w="1296"/>
          </w:tcPr>
          <w:p>
            <w:pPr>
              <w:spacing w:after="20"/>
              <w:jc w:val="right"/>
            </w:pPr>
            <w:r>
              <w:rPr>
                <w:color w:val="1C3A36"/>
                <w:sz w:val="16"/>
              </w:rPr>
              <w:t>1,305</w:t>
            </w:r>
          </w:p>
        </w:tc>
        <w:tc>
          <w:tcPr>
            <w:tcW w:type="dxa" w:w="1728"/>
          </w:tcPr>
          <w:p>
            <w:pPr>
              <w:spacing w:after="20"/>
              <w:jc w:val="right"/>
            </w:pPr>
            <w:r>
              <w:rPr>
                <w:color w:val="1C3A36"/>
                <w:sz w:val="16"/>
              </w:rPr>
              <w:t>1,294</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Right-of-use, deferred tax, other financial assets and due from related parties</w:t>
            </w:r>
          </w:p>
        </w:tc>
        <w:tc>
          <w:tcPr>
            <w:tcW w:type="dxa" w:w="1296"/>
            <w:shd w:val="clear" w:color="auto" w:fill="F6F1E6"/>
          </w:tcPr>
          <w:p>
            <w:pPr>
              <w:spacing w:after="20"/>
              <w:jc w:val="right"/>
            </w:pPr>
            <w:r>
              <w:rPr>
                <w:b/>
                <w:color w:val="1C3A36"/>
                <w:sz w:val="16"/>
              </w:rPr>
              <w:t>95</w:t>
            </w:r>
          </w:p>
        </w:tc>
        <w:tc>
          <w:tcPr>
            <w:tcW w:type="dxa" w:w="1296"/>
            <w:shd w:val="clear" w:color="auto" w:fill="F6F1E6"/>
          </w:tcPr>
          <w:p>
            <w:pPr>
              <w:spacing w:after="20"/>
              <w:jc w:val="right"/>
            </w:pPr>
            <w:r>
              <w:rPr>
                <w:b/>
                <w:color w:val="1C3A36"/>
                <w:sz w:val="16"/>
              </w:rPr>
              <w:t>121</w:t>
            </w:r>
          </w:p>
        </w:tc>
        <w:tc>
          <w:tcPr>
            <w:tcW w:type="dxa" w:w="1296"/>
            <w:shd w:val="clear" w:color="auto" w:fill="F6F1E6"/>
          </w:tcPr>
          <w:p>
            <w:pPr>
              <w:spacing w:after="20"/>
              <w:jc w:val="right"/>
            </w:pPr>
            <w:r>
              <w:rPr>
                <w:b/>
                <w:color w:val="1C3A36"/>
                <w:sz w:val="16"/>
              </w:rPr>
              <w:t>158</w:t>
            </w:r>
          </w:p>
        </w:tc>
        <w:tc>
          <w:tcPr>
            <w:tcW w:type="dxa" w:w="1728"/>
            <w:shd w:val="clear" w:color="auto" w:fill="F6F1E6"/>
          </w:tcPr>
          <w:p>
            <w:pPr>
              <w:spacing w:after="20"/>
              <w:jc w:val="right"/>
            </w:pPr>
            <w:r>
              <w:rPr>
                <w:b/>
                <w:color w:val="1C3A36"/>
                <w:sz w:val="16"/>
              </w:rPr>
              <w:t>216</w:t>
            </w:r>
          </w:p>
        </w:tc>
      </w:tr>
      <w:tr>
        <w:tc>
          <w:tcPr>
            <w:tcW w:type="dxa" w:w="4464"/>
          </w:tcPr>
          <w:p>
            <w:pPr>
              <w:spacing w:after="20"/>
            </w:pPr>
            <w:r>
              <w:rPr>
                <w:color w:val="1C3A36"/>
                <w:sz w:val="16"/>
              </w:rPr>
              <w:t>Total assets</w:t>
            </w:r>
          </w:p>
        </w:tc>
        <w:tc>
          <w:tcPr>
            <w:tcW w:type="dxa" w:w="1296"/>
          </w:tcPr>
          <w:p>
            <w:pPr>
              <w:spacing w:after="20"/>
              <w:jc w:val="right"/>
            </w:pPr>
            <w:r>
              <w:rPr>
                <w:color w:val="1C3A36"/>
                <w:sz w:val="16"/>
              </w:rPr>
              <w:t>9,728</w:t>
            </w:r>
          </w:p>
        </w:tc>
        <w:tc>
          <w:tcPr>
            <w:tcW w:type="dxa" w:w="1296"/>
          </w:tcPr>
          <w:p>
            <w:pPr>
              <w:spacing w:after="20"/>
              <w:jc w:val="right"/>
            </w:pPr>
            <w:r>
              <w:rPr>
                <w:color w:val="1C3A36"/>
                <w:sz w:val="16"/>
              </w:rPr>
              <w:t>11,183</w:t>
            </w:r>
          </w:p>
        </w:tc>
        <w:tc>
          <w:tcPr>
            <w:tcW w:type="dxa" w:w="1296"/>
          </w:tcPr>
          <w:p>
            <w:pPr>
              <w:spacing w:after="20"/>
              <w:jc w:val="right"/>
            </w:pPr>
            <w:r>
              <w:rPr>
                <w:color w:val="1C3A36"/>
                <w:sz w:val="16"/>
              </w:rPr>
              <w:t>11,817</w:t>
            </w:r>
          </w:p>
        </w:tc>
        <w:tc>
          <w:tcPr>
            <w:tcW w:type="dxa" w:w="1728"/>
          </w:tcPr>
          <w:p>
            <w:pPr>
              <w:spacing w:after="20"/>
              <w:jc w:val="right"/>
            </w:pPr>
            <w:r>
              <w:rPr>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Retentions, deferred government grant, end-of-service benefits and due to related parties</w:t>
            </w:r>
          </w:p>
        </w:tc>
        <w:tc>
          <w:tcPr>
            <w:tcW w:type="dxa" w:w="1296"/>
          </w:tcPr>
          <w:p>
            <w:pPr>
              <w:spacing w:after="20"/>
              <w:jc w:val="right"/>
            </w:pPr>
            <w:r>
              <w:rPr>
                <w:color w:val="1C3A36"/>
                <w:sz w:val="16"/>
              </w:rPr>
              <w:t>517</w:t>
            </w:r>
          </w:p>
        </w:tc>
        <w:tc>
          <w:tcPr>
            <w:tcW w:type="dxa" w:w="1296"/>
          </w:tcPr>
          <w:p>
            <w:pPr>
              <w:spacing w:after="20"/>
              <w:jc w:val="right"/>
            </w:pPr>
            <w:r>
              <w:rPr>
                <w:color w:val="1C3A36"/>
                <w:sz w:val="16"/>
              </w:rPr>
              <w:t>628</w:t>
            </w:r>
          </w:p>
        </w:tc>
        <w:tc>
          <w:tcPr>
            <w:tcW w:type="dxa" w:w="1296"/>
          </w:tcPr>
          <w:p>
            <w:pPr>
              <w:spacing w:after="20"/>
              <w:jc w:val="right"/>
            </w:pPr>
            <w:r>
              <w:rPr>
                <w:color w:val="1C3A36"/>
                <w:sz w:val="16"/>
              </w:rPr>
              <w:t>649</w:t>
            </w:r>
          </w:p>
        </w:tc>
        <w:tc>
          <w:tcPr>
            <w:tcW w:type="dxa" w:w="1728"/>
          </w:tcPr>
          <w:p>
            <w:pPr>
              <w:spacing w:after="20"/>
              <w:jc w:val="right"/>
            </w:pPr>
            <w:r>
              <w:rPr>
                <w:color w:val="1C3A36"/>
                <w:sz w:val="16"/>
              </w:rPr>
              <w:t>777</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shd w:val="clear" w:color="auto" w:fill="F6F1E6"/>
          </w:tcPr>
          <w:p>
            <w:pPr>
              <w:spacing w:after="20"/>
            </w:pPr>
            <w:r>
              <w:rPr>
                <w:b/>
                <w:color w:val="1C3A36"/>
                <w:sz w:val="16"/>
              </w:rPr>
              <w:t>Equity attributable to shareholders</w:t>
            </w:r>
          </w:p>
        </w:tc>
        <w:tc>
          <w:tcPr>
            <w:tcW w:type="dxa" w:w="1296"/>
            <w:shd w:val="clear" w:color="auto" w:fill="F6F1E6"/>
          </w:tcPr>
          <w:p>
            <w:pPr>
              <w:spacing w:after="20"/>
              <w:jc w:val="right"/>
            </w:pPr>
            <w:r>
              <w:rPr>
                <w:b/>
                <w:color w:val="1C3A36"/>
                <w:sz w:val="16"/>
              </w:rPr>
              <w:t>3,144</w:t>
            </w:r>
          </w:p>
        </w:tc>
        <w:tc>
          <w:tcPr>
            <w:tcW w:type="dxa" w:w="1296"/>
            <w:shd w:val="clear" w:color="auto" w:fill="F6F1E6"/>
          </w:tcPr>
          <w:p>
            <w:pPr>
              <w:spacing w:after="20"/>
              <w:jc w:val="right"/>
            </w:pPr>
            <w:r>
              <w:rPr>
                <w:b/>
                <w:color w:val="1C3A36"/>
                <w:sz w:val="16"/>
              </w:rPr>
              <w:t>3,198</w:t>
            </w:r>
          </w:p>
        </w:tc>
        <w:tc>
          <w:tcPr>
            <w:tcW w:type="dxa" w:w="1296"/>
            <w:shd w:val="clear" w:color="auto" w:fill="F6F1E6"/>
          </w:tcPr>
          <w:p>
            <w:pPr>
              <w:spacing w:after="20"/>
              <w:jc w:val="right"/>
            </w:pPr>
            <w:r>
              <w:rPr>
                <w:b/>
                <w:color w:val="1C3A36"/>
                <w:sz w:val="16"/>
              </w:rPr>
              <w:t>3,311</w:t>
            </w:r>
          </w:p>
        </w:tc>
        <w:tc>
          <w:tcPr>
            <w:tcW w:type="dxa" w:w="1728"/>
            <w:shd w:val="clear" w:color="auto" w:fill="F6F1E6"/>
          </w:tcPr>
          <w:p>
            <w:pPr>
              <w:spacing w:after="20"/>
              <w:jc w:val="right"/>
            </w:pPr>
            <w:r>
              <w:rPr>
                <w:b/>
                <w:color w:val="1C3A36"/>
                <w:sz w:val="16"/>
              </w:rPr>
              <w:t>3,338</w:t>
            </w:r>
          </w:p>
        </w:tc>
      </w:tr>
      <w:tr>
        <w:tc>
          <w:tcPr>
            <w:tcW w:type="dxa" w:w="4464"/>
            <w:shd w:val="clear" w:color="auto" w:fill="F6F1E6"/>
          </w:tcPr>
          <w:p>
            <w:pPr>
              <w:spacing w:after="20"/>
            </w:pPr>
            <w:r>
              <w:rPr>
                <w:b/>
                <w:color w:val="1C3A36"/>
                <w:sz w:val="16"/>
              </w:rPr>
              <w:t>Non-controlling interests</w:t>
            </w:r>
          </w:p>
        </w:tc>
        <w:tc>
          <w:tcPr>
            <w:tcW w:type="dxa" w:w="1296"/>
            <w:shd w:val="clear" w:color="auto" w:fill="F6F1E6"/>
          </w:tcPr>
          <w:p>
            <w:pPr>
              <w:spacing w:after="20"/>
              <w:jc w:val="right"/>
            </w:pPr>
            <w:r>
              <w:rPr>
                <w:b/>
                <w:color w:val="1C3A36"/>
                <w:sz w:val="16"/>
              </w:rPr>
              <w:t>167</w:t>
            </w:r>
          </w:p>
        </w:tc>
        <w:tc>
          <w:tcPr>
            <w:tcW w:type="dxa" w:w="1296"/>
            <w:shd w:val="clear" w:color="auto" w:fill="F6F1E6"/>
          </w:tcPr>
          <w:p>
            <w:pPr>
              <w:spacing w:after="20"/>
              <w:jc w:val="right"/>
            </w:pPr>
            <w:r>
              <w:rPr>
                <w:b/>
                <w:color w:val="1C3A36"/>
                <w:sz w:val="16"/>
              </w:rPr>
              <w:t>176</w:t>
            </w:r>
          </w:p>
        </w:tc>
        <w:tc>
          <w:tcPr>
            <w:tcW w:type="dxa" w:w="1296"/>
            <w:shd w:val="clear" w:color="auto" w:fill="F6F1E6"/>
          </w:tcPr>
          <w:p>
            <w:pPr>
              <w:spacing w:after="20"/>
              <w:jc w:val="right"/>
            </w:pPr>
            <w:r>
              <w:rPr>
                <w:b/>
                <w:color w:val="1C3A36"/>
                <w:sz w:val="16"/>
              </w:rPr>
              <w:t>186</w:t>
            </w:r>
          </w:p>
        </w:tc>
        <w:tc>
          <w:tcPr>
            <w:tcW w:type="dxa" w:w="1728"/>
            <w:shd w:val="clear" w:color="auto" w:fill="F6F1E6"/>
          </w:tcPr>
          <w:p>
            <w:pPr>
              <w:spacing w:after="20"/>
              <w:jc w:val="right"/>
            </w:pPr>
            <w:r>
              <w:rPr>
                <w:b/>
                <w:color w:val="1C3A36"/>
                <w:sz w:val="16"/>
              </w:rPr>
              <w:t>191</w:t>
            </w:r>
          </w:p>
        </w:tc>
      </w:tr>
      <w:tr>
        <w:tc>
          <w:tcPr>
            <w:tcW w:type="dxa" w:w="4464"/>
          </w:tcPr>
          <w:p>
            <w:pPr>
              <w:spacing w:after="20"/>
            </w:pPr>
            <w:r>
              <w:rPr>
                <w:color w:val="1C3A36"/>
                <w:sz w:val="16"/>
              </w:rPr>
              <w:t>Total equity</w:t>
            </w:r>
          </w:p>
        </w:tc>
        <w:tc>
          <w:tcPr>
            <w:tcW w:type="dxa" w:w="1296"/>
          </w:tcPr>
          <w:p>
            <w:pPr>
              <w:spacing w:after="20"/>
              <w:jc w:val="right"/>
            </w:pPr>
            <w:r>
              <w:rPr>
                <w:color w:val="1C3A36"/>
                <w:sz w:val="16"/>
              </w:rPr>
              <w:t>3,311</w:t>
            </w:r>
          </w:p>
        </w:tc>
        <w:tc>
          <w:tcPr>
            <w:tcW w:type="dxa" w:w="1296"/>
          </w:tcPr>
          <w:p>
            <w:pPr>
              <w:spacing w:after="20"/>
              <w:jc w:val="right"/>
            </w:pPr>
            <w:r>
              <w:rPr>
                <w:color w:val="1C3A36"/>
                <w:sz w:val="16"/>
              </w:rPr>
              <w:t>3,373</w:t>
            </w:r>
          </w:p>
        </w:tc>
        <w:tc>
          <w:tcPr>
            <w:tcW w:type="dxa" w:w="1296"/>
          </w:tcPr>
          <w:p>
            <w:pPr>
              <w:spacing w:after="20"/>
              <w:jc w:val="right"/>
            </w:pPr>
            <w:r>
              <w:rPr>
                <w:color w:val="1C3A36"/>
                <w:sz w:val="16"/>
              </w:rPr>
              <w:t>3,497</w:t>
            </w:r>
          </w:p>
        </w:tc>
        <w:tc>
          <w:tcPr>
            <w:tcW w:type="dxa" w:w="1728"/>
          </w:tcPr>
          <w:p>
            <w:pPr>
              <w:spacing w:after="20"/>
              <w:jc w:val="right"/>
            </w:pPr>
            <w:r>
              <w:rPr>
                <w:color w:val="1C3A36"/>
                <w:sz w:val="16"/>
              </w:rPr>
              <w:t>3,528</w:t>
            </w:r>
          </w:p>
        </w:tc>
      </w:tr>
      <w:tr>
        <w:tc>
          <w:tcPr>
            <w:tcW w:type="dxa" w:w="4464"/>
          </w:tcPr>
          <w:p>
            <w:pPr>
              <w:spacing w:after="20"/>
            </w:pPr>
            <w:r>
              <w:rPr>
                <w:color w:val="1C3A36"/>
                <w:sz w:val="16"/>
              </w:rPr>
              <w:t>Net debt (borrowings + leases − cash − deposits)</w:t>
            </w:r>
          </w:p>
        </w:tc>
        <w:tc>
          <w:tcPr>
            <w:tcW w:type="dxa" w:w="1296"/>
          </w:tcPr>
          <w:p>
            <w:pPr>
              <w:spacing w:after="20"/>
              <w:jc w:val="right"/>
            </w:pPr>
            <w:r>
              <w:rPr>
                <w:color w:val="1C3A36"/>
                <w:sz w:val="16"/>
              </w:rPr>
              <w:t>3,930</w:t>
            </w:r>
          </w:p>
        </w:tc>
        <w:tc>
          <w:tcPr>
            <w:tcW w:type="dxa" w:w="1296"/>
          </w:tcPr>
          <w:p>
            <w:pPr>
              <w:spacing w:after="20"/>
              <w:jc w:val="right"/>
            </w:pPr>
            <w:r>
              <w:rPr>
                <w:color w:val="1C3A36"/>
                <w:sz w:val="16"/>
              </w:rPr>
              <w:t>3,537</w:t>
            </w:r>
          </w:p>
        </w:tc>
        <w:tc>
          <w:tcPr>
            <w:tcW w:type="dxa" w:w="1296"/>
          </w:tcPr>
          <w:p>
            <w:pPr>
              <w:spacing w:after="20"/>
              <w:jc w:val="right"/>
            </w:pPr>
            <w:r>
              <w:rPr>
                <w:color w:val="1C3A36"/>
                <w:sz w:val="16"/>
              </w:rPr>
              <w:t>3,192</w:t>
            </w:r>
          </w:p>
        </w:tc>
        <w:tc>
          <w:tcPr>
            <w:tcW w:type="dxa" w:w="1728"/>
          </w:tcPr>
          <w:p>
            <w:pPr>
              <w:spacing w:after="20"/>
              <w:jc w:val="right"/>
            </w:pPr>
            <w:r>
              <w:rPr>
                <w:color w:val="1C3A36"/>
                <w:sz w:val="16"/>
              </w:rPr>
              <w:t>2,991</w:t>
            </w:r>
          </w:p>
        </w:tc>
      </w:tr>
    </w:tbl>
    <w:p>
      <w:pPr>
        <w:spacing w:after="40"/>
      </w:pPr>
    </w:p>
    <w:p>
      <w:pPr>
        <w:spacing w:after="200" w:before="0"/>
      </w:pPr>
      <w:r>
        <w:rPr>
          <w:b w:val="0"/>
          <w:i/>
          <w:color w:val="6E7B77"/>
          <w:sz w:val="17"/>
        </w:rPr>
        <w:t>FY2023, FY2024 and FY2025 are audited; the June-2026 column is the reviewed interim. The receivables row carries the FULL carrying value — current and non-current portions summed — in every column, amortising from 1,344 at FY2023 to 1,294 at June 2026.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987</w:t>
            </w:r>
          </w:p>
        </w:tc>
        <w:tc>
          <w:tcPr>
            <w:tcW w:type="dxa" w:w="1267"/>
            <w:shd w:val="clear" w:color="auto" w:fill="F6F1E6"/>
          </w:tcPr>
          <w:p>
            <w:pPr>
              <w:spacing w:after="20"/>
              <w:jc w:val="right"/>
            </w:pPr>
            <w:r>
              <w:rPr>
                <w:b/>
                <w:color w:val="1C3A36"/>
                <w:sz w:val="16"/>
              </w:rPr>
              <w:t>1,271</w:t>
            </w:r>
          </w:p>
        </w:tc>
        <w:tc>
          <w:tcPr>
            <w:tcW w:type="dxa" w:w="1267"/>
            <w:shd w:val="clear" w:color="auto" w:fill="F6F1E6"/>
          </w:tcPr>
          <w:p>
            <w:pPr>
              <w:spacing w:after="20"/>
              <w:jc w:val="right"/>
            </w:pPr>
            <w:r>
              <w:rPr>
                <w:b/>
                <w:color w:val="1C3A36"/>
                <w:sz w:val="16"/>
              </w:rPr>
              <w:t>1,342</w:t>
            </w:r>
          </w:p>
        </w:tc>
        <w:tc>
          <w:tcPr>
            <w:tcW w:type="dxa" w:w="1267"/>
            <w:shd w:val="clear" w:color="auto" w:fill="F6F1E6"/>
          </w:tcPr>
          <w:p>
            <w:pPr>
              <w:spacing w:after="20"/>
              <w:jc w:val="right"/>
            </w:pPr>
            <w:r>
              <w:rPr>
                <w:b/>
                <w:color w:val="1C3A36"/>
                <w:sz w:val="16"/>
              </w:rPr>
              <w:t>1,463</w:t>
            </w:r>
          </w:p>
        </w:tc>
        <w:tc>
          <w:tcPr>
            <w:tcW w:type="dxa" w:w="1267"/>
            <w:shd w:val="clear" w:color="auto" w:fill="F6F1E6"/>
          </w:tcPr>
          <w:p>
            <w:pPr>
              <w:spacing w:after="20"/>
              <w:jc w:val="right"/>
            </w:pPr>
            <w:r>
              <w:rPr>
                <w:b/>
                <w:color w:val="1C3A36"/>
                <w:sz w:val="16"/>
              </w:rPr>
              <w:t>1,572</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912</w:t>
            </w:r>
          </w:p>
        </w:tc>
        <w:tc>
          <w:tcPr>
            <w:tcW w:type="dxa" w:w="1267"/>
            <w:shd w:val="clear" w:color="auto" w:fill="F6F1E6"/>
          </w:tcPr>
          <w:p>
            <w:pPr>
              <w:spacing w:after="20"/>
              <w:jc w:val="right"/>
            </w:pPr>
            <w:r>
              <w:rPr>
                <w:b/>
                <w:color w:val="1C3A36"/>
                <w:sz w:val="16"/>
              </w:rPr>
              <w:t>1,188</w:t>
            </w:r>
          </w:p>
        </w:tc>
        <w:tc>
          <w:tcPr>
            <w:tcW w:type="dxa" w:w="1267"/>
            <w:shd w:val="clear" w:color="auto" w:fill="F6F1E6"/>
          </w:tcPr>
          <w:p>
            <w:pPr>
              <w:spacing w:after="20"/>
              <w:jc w:val="right"/>
            </w:pPr>
            <w:r>
              <w:rPr>
                <w:b/>
                <w:color w:val="1C3A36"/>
                <w:sz w:val="16"/>
              </w:rPr>
              <w:t>1,254</w:t>
            </w:r>
          </w:p>
        </w:tc>
        <w:tc>
          <w:tcPr>
            <w:tcW w:type="dxa" w:w="1267"/>
            <w:shd w:val="clear" w:color="auto" w:fill="F6F1E6"/>
          </w:tcPr>
          <w:p>
            <w:pPr>
              <w:spacing w:after="20"/>
              <w:jc w:val="right"/>
            </w:pPr>
            <w:r>
              <w:rPr>
                <w:b/>
                <w:color w:val="1C3A36"/>
                <w:sz w:val="16"/>
              </w:rPr>
              <w:t>1,369</w:t>
            </w:r>
          </w:p>
        </w:tc>
        <w:tc>
          <w:tcPr>
            <w:tcW w:type="dxa" w:w="1267"/>
            <w:shd w:val="clear" w:color="auto" w:fill="F6F1E6"/>
          </w:tcPr>
          <w:p>
            <w:pPr>
              <w:spacing w:after="20"/>
              <w:jc w:val="right"/>
            </w:pPr>
            <w:r>
              <w:rPr>
                <w:b/>
                <w:color w:val="1C3A36"/>
                <w:sz w:val="16"/>
              </w:rPr>
              <w:t>1,474</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100mn of after-tax net finance cost on the model's own forecast finance line — runs almost exactly at the AED 875mn payout in the shock year: the dividend is covered, with the growth funded by the working-capital release and the revolving facilities' headroom. The debt convention is stated precisely: GROSS borrowings are held flat by construction, while NET debt falls as retained cash builds — the model neither assumes deleveraging credit nor new debt-funded expansion. Both the equity roll and the net-debt roll start from the same 30 June 2026 reviewed balance sheet, on the same clock as the valuation bridge.</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2,456</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51.7%</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enterprise value / EBITDA</w:t>
            </w:r>
          </w:p>
        </w:tc>
        <w:tc>
          <w:tcPr>
            <w:tcW w:type="dxa" w:w="2592"/>
          </w:tcPr>
          <w:p>
            <w:pPr>
              <w:spacing w:after="20"/>
              <w:jc w:val="right"/>
            </w:pPr>
            <w:r>
              <w:rPr>
                <w:color w:val="1C3A36"/>
                <w:sz w:val="16"/>
              </w:rPr>
              <w:t>11.8×</w:t>
            </w:r>
          </w:p>
        </w:tc>
        <w:tc>
          <w:tcPr>
            <w:tcW w:type="dxa" w:w="2664"/>
          </w:tcPr>
          <w:p>
            <w:pPr>
              <w:spacing w:after="20"/>
              <w:jc w:val="right"/>
            </w:pPr>
            <w:r>
              <w:rPr>
                <w:color w:val="1C3A36"/>
                <w:sz w:val="16"/>
              </w:rPr>
              <w:t>10.1×</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15.8×</w:t>
            </w:r>
          </w:p>
        </w:tc>
        <w:tc>
          <w:tcPr>
            <w:tcW w:type="dxa" w:w="2664"/>
          </w:tcPr>
          <w:p>
            <w:pPr>
              <w:spacing w:after="20"/>
              <w:jc w:val="right"/>
            </w:pPr>
            <w:r>
              <w:rPr>
                <w:color w:val="1C3A36"/>
                <w:sz w:val="16"/>
              </w:rPr>
              <w:t>15.0×</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5.6%</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as reported via exchange disclosures; market value RESTRUCK at the 2.46 close of 6/7-Aug-2026 (the 22-Jun data-provider mark of 2.72 is superseded);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Supreme Council of Energy approves tariffs on the bureau's recommendation; a cap cut would reprice the capacity charge — the profit pool itself. The current instrument bars indexation of capacity charges, so the upside direction is already closed by rule</w:t>
            </w:r>
          </w:p>
        </w:tc>
        <w:tc>
          <w:tcPr>
            <w:tcW w:type="dxa" w:w="3960"/>
          </w:tcPr>
          <w:p>
            <w:pPr>
              <w:spacing w:after="20"/>
              <w:jc w:val="right"/>
            </w:pPr>
            <w:r>
              <w:rPr>
                <w:color w:val="1C3A36"/>
                <w:sz w:val="16"/>
              </w:rPr>
              <w:t>the downside is NOT priced — flagged as the model's single most valuable assumption (sections 1.7 and 7); a cut is a regime change requiring a re-model. The no-escalation side IS priced: the build holds the tariff flat everywhere and terminal growth is volume-only</w:t>
            </w:r>
          </w:p>
        </w:tc>
      </w:tr>
      <w:tr>
        <w:tc>
          <w:tcPr>
            <w:tcW w:type="dxa" w:w="2232"/>
          </w:tcPr>
          <w:p>
            <w:pPr>
              <w:spacing w:after="20"/>
            </w:pPr>
            <w:r>
              <w:rPr>
                <w:color w:val="1C3A36"/>
                <w:sz w:val="16"/>
              </w:rPr>
              <w:t>War continuation /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continuation case is one of the two published centrals (1.81 / 1.69); the bear scenario, AED 1.440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0.155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2.8%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4.50-year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(the district-cooling law)</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w:t>
            </w:r>
          </w:p>
        </w:tc>
        <w:tc>
          <w:tcPr>
            <w:tcW w:type="dxa" w:w="3744"/>
          </w:tcPr>
          <w:p>
            <w:pPr>
              <w:spacing w:after="20"/>
              <w:jc w:val="right"/>
            </w:pPr>
            <w:r>
              <w:rPr>
                <w:color w:val="1C3A36"/>
                <w:sz w:val="16"/>
              </w:rPr>
              <w:t>the tariff-regulation frame: the bureau assesses and recommends, the Supreme Council of Energy approves</w:t>
            </w:r>
          </w:p>
        </w:tc>
      </w:tr>
      <w:tr>
        <w:tc>
          <w:tcPr>
            <w:tcW w:type="dxa" w:w="3312"/>
          </w:tcPr>
          <w:p>
            <w:pPr>
              <w:spacing w:after="20"/>
            </w:pPr>
            <w:r>
              <w:rPr>
                <w:color w:val="1C3A36"/>
                <w:sz w:val="16"/>
              </w:rPr>
              <w:t>Regulatory and Supervisory Bureau tariff instrument, version 1.3 (17-Sep-2025) and version 1.4 (6-Feb-2026) — primary documents, read in full</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Sep-2025 / Feb-2026</w:t>
            </w:r>
          </w:p>
        </w:tc>
        <w:tc>
          <w:tcPr>
            <w:tcW w:type="dxa" w:w="3744"/>
          </w:tcPr>
          <w:p>
            <w:pPr>
              <w:spacing w:after="20"/>
              <w:jc w:val="right"/>
            </w:pPr>
            <w:r>
              <w:rPr>
                <w:color w:val="1C3A36"/>
                <w:sz w:val="16"/>
              </w:rPr>
              <w:t>the explicit tariff caps (0.643 AED/ton-hour consumption-with-capacity including fuel surcharge; 0.075 fuel surcharge; AED 30/month billing fee; 120% excess-demand cap) and the verbatim no-indexation rule for capacity charges — added in the 17-Aug revision after the external audit showed the first edition had missed both instruments</w:t>
            </w:r>
          </w:p>
        </w:tc>
      </w:tr>
      <w:tr>
        <w:tc>
          <w:tcPr>
            <w:tcW w:type="dxa" w:w="3312"/>
          </w:tcPr>
          <w:p>
            <w:pPr>
              <w:spacing w:after="20"/>
            </w:pPr>
            <w:r>
              <w:rPr>
                <w:color w:val="1C3A36"/>
                <w:sz w:val="16"/>
              </w:rPr>
              <w:t>Dubai Executive Council Resolution 87/2025 (18-Nov-2025) — primary document</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Nov-2025</w:t>
            </w:r>
          </w:p>
        </w:tc>
        <w:tc>
          <w:tcPr>
            <w:tcW w:type="dxa" w:w="3744"/>
          </w:tcPr>
          <w:p>
            <w:pPr>
              <w:spacing w:after="20"/>
              <w:jc w:val="right"/>
            </w:pPr>
            <w:r>
              <w:rPr>
                <w:color w:val="1C3A36"/>
                <w:sz w:val="16"/>
              </w:rPr>
              <w:t>the AED 1.55/refrigeration-ton annual service fee and the AED 100,000 fine for unapproved tariffs — same revision, same reason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UAE Ministry of Finance outstanding-securities programme table</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read 17-Aug-2026</w:t>
            </w:r>
          </w:p>
        </w:tc>
        <w:tc>
          <w:tcPr>
            <w:tcW w:type="dxa" w:w="3744"/>
          </w:tcPr>
          <w:p>
            <w:pPr>
              <w:spacing w:after="20"/>
              <w:jc w:val="right"/>
            </w:pPr>
            <w:r>
              <w:rPr>
                <w:color w:val="1C3A36"/>
                <w:sz w:val="16"/>
              </w:rPr>
              <w:t>the full dirham curve, including the February-2033 sukuk (AED 1,650mn, AED01889C262) named in section 1.8 as the longer-but-stale print</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 (index file to 24-Jul-2026)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restruck 6/7-Aug-2026</w:t>
            </w:r>
          </w:p>
        </w:tc>
        <w:tc>
          <w:tcPr>
            <w:tcW w:type="dxa" w:w="3744"/>
          </w:tcPr>
          <w:p>
            <w:pPr>
              <w:spacing w:after="20"/>
              <w:jc w:val="right"/>
            </w:pPr>
            <w:r>
              <w:rPr>
                <w:color w:val="1C3A36"/>
                <w:sz w:val="16"/>
              </w:rPr>
              <w:t>the relative-multiples lens — cross-check only, never a source for Empower's own numbers; the peer mark is struck on the anchor dates, not the June data-provider pull</w:t>
            </w:r>
          </w:p>
        </w:tc>
      </w:tr>
      <w:tr>
        <w:tc>
          <w:tcPr>
            <w:tcW w:type="dxa" w:w="3312"/>
          </w:tcPr>
          <w:p>
            <w:pPr>
              <w:spacing w:after="20"/>
            </w:pPr>
            <w:r>
              <w:rPr>
                <w:color w:val="1C3A36"/>
                <w:sz w:val="16"/>
              </w:rPr>
              <w:t>Wire and reference coverage of the 2026 conflict, cross-checked against the dated timeline record</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17-Aug-2026</w:t>
            </w:r>
          </w:p>
        </w:tc>
        <w:tc>
          <w:tcPr>
            <w:tcW w:type="dxa" w:w="3744"/>
          </w:tcPr>
          <w:p>
            <w:pPr>
              <w:spacing w:after="20"/>
              <w:jc w:val="right"/>
            </w:pPr>
            <w:r>
              <w:rPr>
                <w:color w:val="1C3A36"/>
                <w:sz w:val="16"/>
              </w:rPr>
              <w:t>the macro timeline as stated in the headline — strait closure, ceasefire end, tanker attacks — externally re-verified in the 17-Aug revision after the first edition carried a stale truce reading</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(recovery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tcPr>
          <w:p>
            <w:pPr>
              <w:spacing w:after="20"/>
            </w:pPr>
            <w:r>
              <w:rPr>
                <w:color w:val="1C3A36"/>
                <w:sz w:val="16"/>
              </w:rPr>
              <w:t>EBIT</w:t>
            </w:r>
          </w:p>
        </w:tc>
        <w:tc>
          <w:tcPr>
            <w:tcW w:type="dxa" w:w="1152"/>
          </w:tcPr>
          <w:p>
            <w:pPr>
              <w:spacing w:after="20"/>
              <w:jc w:val="right"/>
            </w:pPr>
            <w:r>
              <w:rPr>
                <w:color w:val="1C3A36"/>
                <w:sz w:val="16"/>
              </w:rPr>
              <w:t>1,248</w:t>
            </w:r>
          </w:p>
        </w:tc>
        <w:tc>
          <w:tcPr>
            <w:tcW w:type="dxa" w:w="1152"/>
          </w:tcPr>
          <w:p>
            <w:pPr>
              <w:spacing w:after="20"/>
              <w:jc w:val="right"/>
            </w:pPr>
            <w:r>
              <w:rPr>
                <w:color w:val="1C3A36"/>
                <w:sz w:val="16"/>
              </w:rPr>
              <w:t>1,379</w:t>
            </w:r>
          </w:p>
        </w:tc>
        <w:tc>
          <w:tcPr>
            <w:tcW w:type="dxa" w:w="1152"/>
          </w:tcPr>
          <w:p>
            <w:pPr>
              <w:spacing w:after="20"/>
              <w:jc w:val="right"/>
            </w:pPr>
            <w:r>
              <w:rPr>
                <w:color w:val="1C3A36"/>
                <w:sz w:val="16"/>
              </w:rPr>
              <w:t>1,473</w:t>
            </w:r>
          </w:p>
        </w:tc>
        <w:tc>
          <w:tcPr>
            <w:tcW w:type="dxa" w:w="1152"/>
          </w:tcPr>
          <w:p>
            <w:pPr>
              <w:spacing w:after="20"/>
              <w:jc w:val="right"/>
            </w:pPr>
            <w:r>
              <w:rPr>
                <w:color w:val="1C3A36"/>
                <w:sz w:val="16"/>
              </w:rPr>
              <w:t>1,558</w:t>
            </w:r>
          </w:p>
        </w:tc>
        <w:tc>
          <w:tcPr>
            <w:tcW w:type="dxa" w:w="1152"/>
          </w:tcPr>
          <w:p>
            <w:pPr>
              <w:spacing w:after="20"/>
              <w:jc w:val="right"/>
            </w:pPr>
            <w:r>
              <w:rPr>
                <w:color w:val="1C3A36"/>
                <w:sz w:val="16"/>
              </w:rPr>
              <w:t>1,634</w:t>
            </w:r>
          </w:p>
        </w:tc>
      </w:tr>
      <w:tr>
        <w:tc>
          <w:tcPr>
            <w:tcW w:type="dxa" w:w="4320"/>
          </w:tcPr>
          <w:p>
            <w:pPr>
              <w:spacing w:after="20"/>
            </w:pPr>
            <w:r>
              <w:rPr>
                <w:color w:val="1C3A36"/>
                <w:sz w:val="16"/>
              </w:rPr>
              <w:t>NOPAT</w:t>
            </w:r>
          </w:p>
        </w:tc>
        <w:tc>
          <w:tcPr>
            <w:tcW w:type="dxa" w:w="1152"/>
          </w:tcPr>
          <w:p>
            <w:pPr>
              <w:spacing w:after="20"/>
              <w:jc w:val="right"/>
            </w:pPr>
            <w:r>
              <w:rPr>
                <w:color w:val="1C3A36"/>
                <w:sz w:val="16"/>
              </w:rPr>
              <w:t>1,135</w:t>
            </w:r>
          </w:p>
        </w:tc>
        <w:tc>
          <w:tcPr>
            <w:tcW w:type="dxa" w:w="1152"/>
          </w:tcPr>
          <w:p>
            <w:pPr>
              <w:spacing w:after="20"/>
              <w:jc w:val="right"/>
            </w:pPr>
            <w:r>
              <w:rPr>
                <w:color w:val="1C3A36"/>
                <w:sz w:val="16"/>
              </w:rPr>
              <w:t>1,255</w:t>
            </w:r>
          </w:p>
        </w:tc>
        <w:tc>
          <w:tcPr>
            <w:tcW w:type="dxa" w:w="1152"/>
          </w:tcPr>
          <w:p>
            <w:pPr>
              <w:spacing w:after="20"/>
              <w:jc w:val="right"/>
            </w:pPr>
            <w:r>
              <w:rPr>
                <w:color w:val="1C3A36"/>
                <w:sz w:val="16"/>
              </w:rPr>
              <w:t>1,341</w:t>
            </w:r>
          </w:p>
        </w:tc>
        <w:tc>
          <w:tcPr>
            <w:tcW w:type="dxa" w:w="1152"/>
          </w:tcPr>
          <w:p>
            <w:pPr>
              <w:spacing w:after="20"/>
              <w:jc w:val="right"/>
            </w:pPr>
            <w:r>
              <w:rPr>
                <w:color w:val="1C3A36"/>
                <w:sz w:val="16"/>
              </w:rPr>
              <w:t>1,418</w:t>
            </w:r>
          </w:p>
        </w:tc>
        <w:tc>
          <w:tcPr>
            <w:tcW w:type="dxa" w:w="1152"/>
          </w:tcPr>
          <w:p>
            <w:pPr>
              <w:spacing w:after="20"/>
              <w:jc w:val="right"/>
            </w:pPr>
            <w:r>
              <w:rPr>
                <w:color w:val="1C3A36"/>
                <w:sz w:val="16"/>
              </w:rPr>
              <w:t>1,487</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476</w:t>
            </w:r>
          </w:p>
        </w:tc>
        <w:tc>
          <w:tcPr>
            <w:tcW w:type="dxa" w:w="1152"/>
            <w:shd w:val="clear" w:color="auto" w:fill="F6F1E6"/>
          </w:tcPr>
          <w:p>
            <w:pPr>
              <w:spacing w:after="20"/>
              <w:jc w:val="right"/>
            </w:pPr>
            <w:r>
              <w:rPr>
                <w:b/>
                <w:color w:val="1C3A36"/>
                <w:sz w:val="16"/>
              </w:rPr>
              <w:t>1,138</w:t>
            </w:r>
          </w:p>
        </w:tc>
        <w:tc>
          <w:tcPr>
            <w:tcW w:type="dxa" w:w="1152"/>
            <w:shd w:val="clear" w:color="auto" w:fill="F6F1E6"/>
          </w:tcPr>
          <w:p>
            <w:pPr>
              <w:spacing w:after="20"/>
              <w:jc w:val="right"/>
            </w:pPr>
            <w:r>
              <w:rPr>
                <w:b/>
                <w:color w:val="1C3A36"/>
                <w:sz w:val="16"/>
              </w:rPr>
              <w:t>1,117</w:t>
            </w:r>
          </w:p>
        </w:tc>
        <w:tc>
          <w:tcPr>
            <w:tcW w:type="dxa" w:w="1152"/>
            <w:shd w:val="clear" w:color="auto" w:fill="F6F1E6"/>
          </w:tcPr>
          <w:p>
            <w:pPr>
              <w:spacing w:after="20"/>
              <w:jc w:val="right"/>
            </w:pPr>
            <w:r>
              <w:rPr>
                <w:b/>
                <w:color w:val="1C3A36"/>
                <w:sz w:val="16"/>
              </w:rPr>
              <w:t>1,131</w:t>
            </w:r>
          </w:p>
        </w:tc>
        <w:tc>
          <w:tcPr>
            <w:tcW w:type="dxa" w:w="1152"/>
            <w:shd w:val="clear" w:color="auto" w:fill="F6F1E6"/>
          </w:tcPr>
          <w:p>
            <w:pPr>
              <w:spacing w:after="20"/>
              <w:jc w:val="right"/>
            </w:pPr>
            <w:r>
              <w:rPr>
                <w:b/>
                <w:color w:val="1C3A36"/>
                <w:sz w:val="16"/>
              </w:rPr>
              <w:t>1,129</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 2026 at half weight — the 30-June clock)</w:t>
            </w:r>
          </w:p>
        </w:tc>
        <w:tc>
          <w:tcPr>
            <w:tcW w:type="dxa" w:w="3528"/>
          </w:tcPr>
          <w:p>
            <w:pPr>
              <w:spacing w:after="20"/>
              <w:jc w:val="right"/>
            </w:pPr>
            <w:r>
              <w:rPr>
                <w:color w:val="1C3A36"/>
                <w:sz w:val="16"/>
              </w:rPr>
              <w:t>4,990</w:t>
            </w:r>
          </w:p>
        </w:tc>
      </w:tr>
      <w:tr>
        <w:tc>
          <w:tcPr>
            <w:tcW w:type="dxa" w:w="6552"/>
          </w:tcPr>
          <w:p>
            <w:pPr>
              <w:spacing w:after="20"/>
            </w:pPr>
            <w:r>
              <w:rPr>
                <w:color w:val="1C3A36"/>
                <w:sz w:val="16"/>
              </w:rPr>
              <w:t>Terminal value, two-stage — ten years of final-NOPAT growth at 2.5% (volume-only), then a perpetuity at 1.5%; reinvestment = growth ÷ 26.9% return in each stage</w:t>
            </w:r>
          </w:p>
        </w:tc>
        <w:tc>
          <w:tcPr>
            <w:tcW w:type="dxa" w:w="3528"/>
          </w:tcPr>
          <w:p>
            <w:pPr>
              <w:spacing w:after="20"/>
              <w:jc w:val="right"/>
            </w:pPr>
            <w:r>
              <w:rPr>
                <w:color w:val="1C3A36"/>
                <w:sz w:val="16"/>
              </w:rPr>
              <w:t>24,553</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17,631</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22,622</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(225)</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20,997</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2.100</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1.92 – 2.23</w:t>
            </w:r>
          </w:p>
        </w:tc>
      </w:tr>
    </w:tbl>
    <w:p>
      <w:pPr>
        <w:spacing w:after="40"/>
      </w:pPr>
    </w:p>
    <w:p>
      <w:pPr>
        <w:spacing w:after="120" w:before="0"/>
      </w:pPr>
      <w:r>
        <w:rPr>
          <w:b w:val="0"/>
          <w:i w:val="0"/>
          <w:color w:val="1C3A36"/>
          <w:sz w:val="21"/>
        </w:rPr>
        <w:t>Named sensitivity: the consumption-recovery grid of section 1.7 — the full span from continuation (never-recovers) to overshoot is worth AED 0.126 per share, while a half-point of discount rate is worth about AED 0.191.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central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tcPr>
          <w:p>
            <w:pPr>
              <w:spacing w:after="20"/>
            </w:pPr>
            <w:r>
              <w:rPr>
                <w:color w:val="1C3A36"/>
                <w:sz w:val="16"/>
              </w:rPr>
              <w:t>Less after-tax net finance cost (the model's OWN forecast finance line — the June-2026 debt book and cash balance carried forward — not the 2025 actual)</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887</w:t>
            </w:r>
          </w:p>
        </w:tc>
        <w:tc>
          <w:tcPr>
            <w:tcW w:type="dxa" w:w="1152"/>
          </w:tcPr>
          <w:p>
            <w:pPr>
              <w:spacing w:after="20"/>
              <w:jc w:val="right"/>
            </w:pPr>
            <w:r>
              <w:rPr>
                <w:color w:val="1C3A36"/>
                <w:sz w:val="16"/>
              </w:rPr>
              <w:t>1,171</w:t>
            </w:r>
          </w:p>
        </w:tc>
        <w:tc>
          <w:tcPr>
            <w:tcW w:type="dxa" w:w="1152"/>
          </w:tcPr>
          <w:p>
            <w:pPr>
              <w:spacing w:after="20"/>
              <w:jc w:val="right"/>
            </w:pPr>
            <w:r>
              <w:rPr>
                <w:color w:val="1C3A36"/>
                <w:sz w:val="16"/>
              </w:rPr>
              <w:t>1,243</w:t>
            </w:r>
          </w:p>
        </w:tc>
        <w:tc>
          <w:tcPr>
            <w:tcW w:type="dxa" w:w="1152"/>
          </w:tcPr>
          <w:p>
            <w:pPr>
              <w:spacing w:after="20"/>
              <w:jc w:val="right"/>
            </w:pPr>
            <w:r>
              <w:rPr>
                <w:color w:val="1C3A36"/>
                <w:sz w:val="16"/>
              </w:rPr>
              <w:t>1,363</w:t>
            </w:r>
          </w:p>
        </w:tc>
        <w:tc>
          <w:tcPr>
            <w:tcW w:type="dxa" w:w="1152"/>
          </w:tcPr>
          <w:p>
            <w:pPr>
              <w:spacing w:after="20"/>
              <w:jc w:val="right"/>
            </w:pPr>
            <w:r>
              <w:rPr>
                <w:color w:val="1C3A36"/>
                <w:sz w:val="16"/>
              </w:rPr>
              <w:t>1,473</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1.01×</w:t>
            </w:r>
          </w:p>
        </w:tc>
        <w:tc>
          <w:tcPr>
            <w:tcW w:type="dxa" w:w="1152"/>
            <w:shd w:val="clear" w:color="auto" w:fill="F6F1E6"/>
          </w:tcPr>
          <w:p>
            <w:pPr>
              <w:spacing w:after="20"/>
              <w:jc w:val="right"/>
            </w:pPr>
            <w:r>
              <w:rPr>
                <w:b/>
                <w:color w:val="1C3A36"/>
                <w:sz w:val="16"/>
              </w:rPr>
              <w:t>1.34×</w:t>
            </w:r>
          </w:p>
        </w:tc>
        <w:tc>
          <w:tcPr>
            <w:tcW w:type="dxa" w:w="1152"/>
            <w:shd w:val="clear" w:color="auto" w:fill="F6F1E6"/>
          </w:tcPr>
          <w:p>
            <w:pPr>
              <w:spacing w:after="20"/>
              <w:jc w:val="right"/>
            </w:pPr>
            <w:r>
              <w:rPr>
                <w:b/>
                <w:color w:val="1C3A36"/>
                <w:sz w:val="16"/>
              </w:rPr>
              <w:t>1.42×</w:t>
            </w:r>
          </w:p>
        </w:tc>
        <w:tc>
          <w:tcPr>
            <w:tcW w:type="dxa" w:w="1152"/>
            <w:shd w:val="clear" w:color="auto" w:fill="F6F1E6"/>
          </w:tcPr>
          <w:p>
            <w:pPr>
              <w:spacing w:after="20"/>
              <w:jc w:val="right"/>
            </w:pPr>
            <w:r>
              <w:rPr>
                <w:b/>
                <w:color w:val="1C3A36"/>
                <w:sz w:val="16"/>
              </w:rPr>
              <w:t>1.56×</w:t>
            </w:r>
          </w:p>
        </w:tc>
        <w:tc>
          <w:tcPr>
            <w:tcW w:type="dxa" w:w="1152"/>
            <w:shd w:val="clear" w:color="auto" w:fill="F6F1E6"/>
          </w:tcPr>
          <w:p>
            <w:pPr>
              <w:spacing w:after="20"/>
              <w:jc w:val="right"/>
            </w:pPr>
            <w:r>
              <w:rPr>
                <w:b/>
                <w:color w:val="1C3A36"/>
                <w:sz w:val="16"/>
              </w:rPr>
              <w:t>1.68×</w:t>
            </w:r>
          </w:p>
        </w:tc>
      </w:tr>
    </w:tbl>
    <w:p>
      <w:pPr>
        <w:spacing w:after="40"/>
      </w:pPr>
    </w:p>
    <w:p>
      <w:pPr>
        <w:spacing w:after="120" w:before="0"/>
      </w:pPr>
      <w:r>
        <w:rPr>
          <w:b w:val="0"/>
          <w:i w:val="0"/>
          <w:color w:val="1C3A36"/>
          <w:sz w:val="21"/>
        </w:rPr>
        <w:t>In the shock year coverage is 1.01×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10.1×</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1,584</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15,998</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1.444</w:t>
            </w:r>
          </w:p>
        </w:tc>
      </w:tr>
      <w:tr>
        <w:tc>
          <w:tcPr>
            <w:tcW w:type="dxa" w:w="6552"/>
          </w:tcPr>
          <w:p>
            <w:pPr>
              <w:spacing w:after="20"/>
            </w:pPr>
            <w:r>
              <w:rPr>
                <w:color w:val="1C3A36"/>
                <w:sz w:val="16"/>
              </w:rPr>
              <w:t>Tabreed price/earnings 15.0× on 2026E attributable profit (1,025 AED mn) — per share (AED)</w:t>
            </w:r>
          </w:p>
        </w:tc>
        <w:tc>
          <w:tcPr>
            <w:tcW w:type="dxa" w:w="3528"/>
          </w:tcPr>
          <w:p>
            <w:pPr>
              <w:spacing w:after="20"/>
              <w:jc w:val="right"/>
            </w:pPr>
            <w:r>
              <w:rPr>
                <w:color w:val="1C3A36"/>
                <w:sz w:val="16"/>
              </w:rPr>
              <w:t>1.537</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1.944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1.57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1.54</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"78% of your enterprise value is terminal, earning a 27%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1.57 and the control print of 2.16.</w:t>
      </w:r>
    </w:p>
    <w:p>
      <w:pPr>
        <w:spacing w:after="120" w:before="0"/>
      </w:pPr>
      <w:r>
        <w:rPr>
          <w:b w:val="0"/>
          <w:i w:val="0"/>
          <w:color w:val="1C3A36"/>
          <w:sz w:val="21"/>
        </w:rPr>
        <w:t>The panel spans AED 1.43 to 2.23 — and the disagreement is orderly, not noisy. Expert 1 discounts the contract stack and lands highest (1.92–2.23); Expert 2 capitalises the committed dividend and lands in the middle (1.43–1.72); Expert 3 anchors on what the war-discounted market actually pays and lands lowest (1.57–2.16, central 1.54). Notice what the room agrees on: every range sits at or above the market price, every method finds the capacity charge rather than the meter carrying the value, and every falsifier is observable within two reporting periods. The study's own weighted centrals (recovery 1.84 / 1.72, continuation 1.81 / 1.69 by tax framing) sit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0.155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(78%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0.562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0.058 per share even in the continuation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0.191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This edition was revised on 17 August 2026 after an external audit of the 9 August study. Every one of the 77 findings raised — accepted, rejected or arbitrated — is catalogued with its disposition and its price in the accompanying critique-response note, which ships alongside this document and the bibliography; the material changes are also summarised in the READ FIRST box at the front. Corrections found by this study's own re-check are disclosed there on the same terms as the external findings.</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and no rating, and it expresses no single-number price target: the central estimates are printed to two decimals as summaries of ranges, the published field is labelled scenario risk, and the cost-of-capital construction range (2.04–2.48 on the primary lens, with the beta interval mapping to roughly 1.71–2.68) is stated beside it — construction risk is additional to scenario risk.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