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0"/>
      </w:pPr>
      <w:r>
        <w:rPr>
          <w:b/>
          <w:i w:val="0"/>
          <w:color w:val="1C3A36"/>
          <w:sz w:val="40"/>
        </w:rPr>
        <w:t>Modon Holding PSC — bibliography and input register</w:t>
      </w:r>
    </w:p>
    <w:p>
      <w:pPr>
        <w:spacing w:after="200" w:before="0"/>
      </w:pPr>
      <w:r>
        <w:rPr>
          <w:b w:val="0"/>
          <w:i w:val="0"/>
          <w:color w:val="6E7B77"/>
          <w:sz w:val="21"/>
        </w:rPr>
        <w:t>Companion to the 9 August 2026 valuation study · ADX: MODON</w:t>
      </w:r>
    </w:p>
    <w:p>
      <w:pPr>
        <w:spacing w:after="120" w:before="280"/>
      </w:pPr>
      <w:r>
        <w:rPr>
          <w:b/>
          <w:i w:val="0"/>
          <w:color w:val="1C3A36"/>
          <w:sz w:val="30"/>
        </w:rPr>
        <w:t>1 · Primary documents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1512"/>
        <w:gridCol w:w="2304"/>
        <w:gridCol w:w="2016"/>
      </w:tblGrid>
      <w:tr>
        <w:tc>
          <w:tcPr>
            <w:tcW w:type="dxa" w:w="4176"/>
            <w:shd w:val="clear" w:color="auto" w:fill="EAF0EE"/>
          </w:tcPr>
          <w:p>
            <w:pPr>
              <w:spacing w:after="20"/>
            </w:pPr>
            <w:r>
              <w:rPr>
                <w:b/>
                <w:color w:val="1C3A36"/>
                <w:sz w:val="16"/>
              </w:rPr>
              <w:t>Document</w:t>
            </w:r>
          </w:p>
        </w:tc>
        <w:tc>
          <w:tcPr>
            <w:tcW w:type="dxa" w:w="1512"/>
            <w:shd w:val="clear" w:color="auto" w:fill="EAF0EE"/>
          </w:tcPr>
          <w:p>
            <w:pPr>
              <w:spacing w:after="20"/>
            </w:pPr>
            <w:r>
              <w:rPr>
                <w:b/>
                <w:color w:val="1C3A36"/>
                <w:sz w:val="16"/>
              </w:rPr>
              <w:t>Period</w:t>
            </w:r>
          </w:p>
        </w:tc>
        <w:tc>
          <w:tcPr>
            <w:tcW w:type="dxa" w:w="2304"/>
            <w:shd w:val="clear" w:color="auto" w:fill="EAF0EE"/>
          </w:tcPr>
          <w:p>
            <w:pPr>
              <w:spacing w:after="20"/>
            </w:pPr>
            <w:r>
              <w:rPr>
                <w:b/>
                <w:color w:val="1C3A36"/>
                <w:sz w:val="16"/>
              </w:rPr>
              <w:t>Retrieved from</w:t>
            </w:r>
          </w:p>
        </w:tc>
        <w:tc>
          <w:tcPr>
            <w:tcW w:type="dxa" w:w="2016"/>
            <w:shd w:val="clear" w:color="auto" w:fill="EAF0EE"/>
          </w:tcPr>
          <w:p>
            <w:pPr>
              <w:spacing w:after="20"/>
            </w:pPr>
            <w:r>
              <w:rPr>
                <w:b/>
                <w:color w:val="1C3A36"/>
                <w:sz w:val="16"/>
              </w:rPr>
              <w:t>Used for</w:t>
            </w:r>
          </w:p>
        </w:tc>
      </w:tr>
      <w:tr>
        <w:tc>
          <w:tcPr>
            <w:tcW w:type="dxa" w:w="4176"/>
          </w:tcPr>
          <w:p>
            <w:pPr>
              <w:spacing w:after="20"/>
            </w:pPr>
            <w:r>
              <w:rPr>
                <w:color w:val="1C3A36"/>
                <w:sz w:val="16"/>
              </w:rPr>
              <w:t>Audited consolidated financial statements, Modon Holding PSC (signed 18 Feb 2026)</w:t>
            </w:r>
          </w:p>
        </w:tc>
        <w:tc>
          <w:tcPr>
            <w:tcW w:type="dxa" w:w="1512"/>
          </w:tcPr>
          <w:p>
            <w:pPr>
              <w:spacing w:after="20"/>
              <w:jc w:val="right"/>
            </w:pPr>
            <w:r>
              <w:rPr>
                <w:color w:val="1C3A36"/>
                <w:sz w:val="16"/>
              </w:rPr>
              <w:t>FY2025 + FY2024 comparatives</w:t>
            </w:r>
          </w:p>
        </w:tc>
        <w:tc>
          <w:tcPr>
            <w:tcW w:type="dxa" w:w="2304"/>
          </w:tcPr>
          <w:p>
            <w:pPr>
              <w:spacing w:after="20"/>
              <w:jc w:val="right"/>
            </w:pPr>
            <w:r>
              <w:rPr>
                <w:color w:val="1C3A36"/>
                <w:sz w:val="16"/>
              </w:rPr>
              <w:t>modon.com investor relations (fy-2025-adx.pdf)</w:t>
            </w:r>
          </w:p>
        </w:tc>
        <w:tc>
          <w:tcPr>
            <w:tcW w:type="dxa" w:w="2016"/>
          </w:tcPr>
          <w:p>
            <w:pPr>
              <w:spacing w:after="20"/>
              <w:jc w:val="right"/>
            </w:pPr>
            <w:r>
              <w:rPr>
                <w:color w:val="1C3A36"/>
                <w:sz w:val="16"/>
              </w:rPr>
              <w:t>all FY2025/FY2024 statement lines, notes 1–36</w:t>
            </w:r>
          </w:p>
        </w:tc>
      </w:tr>
      <w:tr>
        <w:tc>
          <w:tcPr>
            <w:tcW w:type="dxa" w:w="4176"/>
          </w:tcPr>
          <w:p>
            <w:pPr>
              <w:spacing w:after="20"/>
            </w:pPr>
            <w:r>
              <w:rPr>
                <w:color w:val="1C3A36"/>
                <w:sz w:val="16"/>
              </w:rPr>
              <w:t>Audited consolidated financial statements, Modon Holding PSC (scanned original)</w:t>
            </w:r>
          </w:p>
        </w:tc>
        <w:tc>
          <w:tcPr>
            <w:tcW w:type="dxa" w:w="1512"/>
          </w:tcPr>
          <w:p>
            <w:pPr>
              <w:spacing w:after="20"/>
              <w:jc w:val="right"/>
            </w:pPr>
            <w:r>
              <w:rPr>
                <w:color w:val="1C3A36"/>
                <w:sz w:val="16"/>
              </w:rPr>
              <w:t>FY2024</w:t>
            </w:r>
          </w:p>
        </w:tc>
        <w:tc>
          <w:tcPr>
            <w:tcW w:type="dxa" w:w="2304"/>
          </w:tcPr>
          <w:p>
            <w:pPr>
              <w:spacing w:after="20"/>
              <w:jc w:val="right"/>
            </w:pPr>
            <w:r>
              <w:rPr>
                <w:color w:val="1C3A36"/>
                <w:sz w:val="16"/>
              </w:rPr>
              <w:t>modon.com investor relations</w:t>
            </w:r>
          </w:p>
        </w:tc>
        <w:tc>
          <w:tcPr>
            <w:tcW w:type="dxa" w:w="2016"/>
          </w:tcPr>
          <w:p>
            <w:pPr>
              <w:spacing w:after="20"/>
              <w:jc w:val="right"/>
            </w:pPr>
            <w:r>
              <w:rPr>
                <w:color w:val="1C3A36"/>
                <w:sz w:val="16"/>
              </w:rPr>
              <w:t>cross-check only (no text layer; figures from the FY2025 comparatives)</w:t>
            </w:r>
          </w:p>
        </w:tc>
      </w:tr>
      <w:tr>
        <w:tc>
          <w:tcPr>
            <w:tcW w:type="dxa" w:w="4176"/>
          </w:tcPr>
          <w:p>
            <w:pPr>
              <w:spacing w:after="20"/>
            </w:pPr>
            <w:r>
              <w:rPr>
                <w:color w:val="1C3A36"/>
                <w:sz w:val="16"/>
              </w:rPr>
              <w:t>Audited consolidated financial statements, Q Holding PSC</w:t>
            </w:r>
          </w:p>
        </w:tc>
        <w:tc>
          <w:tcPr>
            <w:tcW w:type="dxa" w:w="1512"/>
          </w:tcPr>
          <w:p>
            <w:pPr>
              <w:spacing w:after="20"/>
              <w:jc w:val="right"/>
            </w:pPr>
            <w:r>
              <w:rPr>
                <w:color w:val="1C3A36"/>
                <w:sz w:val="16"/>
              </w:rPr>
              <w:t>FY2023 + FY2022 comparatives</w:t>
            </w:r>
          </w:p>
        </w:tc>
        <w:tc>
          <w:tcPr>
            <w:tcW w:type="dxa" w:w="2304"/>
          </w:tcPr>
          <w:p>
            <w:pPr>
              <w:spacing w:after="20"/>
              <w:jc w:val="right"/>
            </w:pPr>
            <w:r>
              <w:rPr>
                <w:color w:val="1C3A36"/>
                <w:sz w:val="16"/>
              </w:rPr>
              <w:t>modon.com investor relations</w:t>
            </w:r>
          </w:p>
        </w:tc>
        <w:tc>
          <w:tcPr>
            <w:tcW w:type="dxa" w:w="2016"/>
          </w:tcPr>
          <w:p>
            <w:pPr>
              <w:spacing w:after="20"/>
              <w:jc w:val="right"/>
            </w:pPr>
            <w:r>
              <w:rPr>
                <w:color w:val="1C3A36"/>
                <w:sz w:val="16"/>
              </w:rPr>
              <w:t>FY2023/FY2022 statement lines (predecessor perimeter)</w:t>
            </w:r>
          </w:p>
        </w:tc>
      </w:tr>
      <w:tr>
        <w:tc>
          <w:tcPr>
            <w:tcW w:type="dxa" w:w="4176"/>
          </w:tcPr>
          <w:p>
            <w:pPr>
              <w:spacing w:after="20"/>
            </w:pPr>
            <w:r>
              <w:rPr>
                <w:color w:val="1C3A36"/>
                <w:sz w:val="16"/>
              </w:rPr>
              <w:t>Interim condensed consolidated financial statements (reviewed)</w:t>
            </w:r>
          </w:p>
        </w:tc>
        <w:tc>
          <w:tcPr>
            <w:tcW w:type="dxa" w:w="1512"/>
          </w:tcPr>
          <w:p>
            <w:pPr>
              <w:spacing w:after="20"/>
              <w:jc w:val="right"/>
            </w:pPr>
            <w:r>
              <w:rPr>
                <w:color w:val="1C3A36"/>
                <w:sz w:val="16"/>
              </w:rPr>
              <w:t>H1-2026</w:t>
            </w:r>
          </w:p>
        </w:tc>
        <w:tc>
          <w:tcPr>
            <w:tcW w:type="dxa" w:w="2304"/>
          </w:tcPr>
          <w:p>
            <w:pPr>
              <w:spacing w:after="20"/>
              <w:jc w:val="right"/>
            </w:pPr>
            <w:r>
              <w:rPr>
                <w:color w:val="1C3A36"/>
                <w:sz w:val="16"/>
              </w:rPr>
              <w:t>modon.com investor relations</w:t>
            </w:r>
          </w:p>
        </w:tc>
        <w:tc>
          <w:tcPr>
            <w:tcW w:type="dxa" w:w="2016"/>
          </w:tcPr>
          <w:p>
            <w:pPr>
              <w:spacing w:after="20"/>
              <w:jc w:val="right"/>
            </w:pPr>
            <w:r>
              <w:rPr>
                <w:color w:val="1C3A36"/>
                <w:sz w:val="16"/>
              </w:rPr>
              <w:t>study-year actuals; 31-Dec-2025 comparative cross-checks</w:t>
            </w:r>
          </w:p>
        </w:tc>
      </w:tr>
      <w:tr>
        <w:tc>
          <w:tcPr>
            <w:tcW w:type="dxa" w:w="4176"/>
          </w:tcPr>
          <w:p>
            <w:pPr>
              <w:spacing w:after="20"/>
            </w:pPr>
            <w:r>
              <w:rPr>
                <w:color w:val="1C3A36"/>
                <w:sz w:val="16"/>
              </w:rPr>
              <w:t>Annual Report 2025</w:t>
            </w:r>
          </w:p>
        </w:tc>
        <w:tc>
          <w:tcPr>
            <w:tcW w:type="dxa" w:w="1512"/>
          </w:tcPr>
          <w:p>
            <w:pPr>
              <w:spacing w:after="20"/>
              <w:jc w:val="right"/>
            </w:pPr>
            <w:r>
              <w:rPr>
                <w:color w:val="1C3A36"/>
                <w:sz w:val="16"/>
              </w:rPr>
              <w:t>FY2025</w:t>
            </w:r>
          </w:p>
        </w:tc>
        <w:tc>
          <w:tcPr>
            <w:tcW w:type="dxa" w:w="2304"/>
          </w:tcPr>
          <w:p>
            <w:pPr>
              <w:spacing w:after="20"/>
              <w:jc w:val="right"/>
            </w:pPr>
            <w:r>
              <w:rPr>
                <w:color w:val="1C3A36"/>
                <w:sz w:val="16"/>
              </w:rPr>
              <w:t>modon.com investor relations</w:t>
            </w:r>
          </w:p>
        </w:tc>
        <w:tc>
          <w:tcPr>
            <w:tcW w:type="dxa" w:w="2016"/>
          </w:tcPr>
          <w:p>
            <w:pPr>
              <w:spacing w:after="20"/>
              <w:jc w:val="right"/>
            </w:pPr>
            <w:r>
              <w:rPr>
                <w:color w:val="1C3A36"/>
                <w:sz w:val="16"/>
              </w:rPr>
              <w:t>segment KPIs, masterplan disclosures, sales/units, backlog composition</w:t>
            </w:r>
          </w:p>
        </w:tc>
      </w:tr>
      <w:tr>
        <w:tc>
          <w:tcPr>
            <w:tcW w:type="dxa" w:w="4176"/>
          </w:tcPr>
          <w:p>
            <w:pPr>
              <w:spacing w:after="20"/>
            </w:pPr>
            <w:r>
              <w:rPr>
                <w:color w:val="1C3A36"/>
                <w:sz w:val="16"/>
              </w:rPr>
              <w:t>FY2025 results announcement (18 Feb 2026)</w:t>
            </w:r>
          </w:p>
        </w:tc>
        <w:tc>
          <w:tcPr>
            <w:tcW w:type="dxa" w:w="1512"/>
          </w:tcPr>
          <w:p>
            <w:pPr>
              <w:spacing w:after="20"/>
              <w:jc w:val="right"/>
            </w:pPr>
            <w:r>
              <w:rPr>
                <w:color w:val="1C3A36"/>
                <w:sz w:val="16"/>
              </w:rPr>
              <w:t>FY2025</w:t>
            </w:r>
          </w:p>
        </w:tc>
        <w:tc>
          <w:tcPr>
            <w:tcW w:type="dxa" w:w="2304"/>
          </w:tcPr>
          <w:p>
            <w:pPr>
              <w:spacing w:after="20"/>
              <w:jc w:val="right"/>
            </w:pPr>
            <w:r>
              <w:rPr>
                <w:color w:val="1C3A36"/>
                <w:sz w:val="16"/>
              </w:rPr>
              <w:t>modon.com media centre</w:t>
            </w:r>
          </w:p>
        </w:tc>
        <w:tc>
          <w:tcPr>
            <w:tcW w:type="dxa" w:w="2016"/>
          </w:tcPr>
          <w:p>
            <w:pPr>
              <w:spacing w:after="20"/>
              <w:jc w:val="right"/>
            </w:pPr>
            <w:r>
              <w:rPr>
                <w:color w:val="1C3A36"/>
                <w:sz w:val="16"/>
              </w:rPr>
              <w:t>backlog AED 46.0bn, adjusted EBITDA, net-cash definition</w:t>
            </w:r>
          </w:p>
        </w:tc>
      </w:tr>
      <w:tr>
        <w:tc>
          <w:tcPr>
            <w:tcW w:type="dxa" w:w="4176"/>
          </w:tcPr>
          <w:p>
            <w:pPr>
              <w:spacing w:after="20"/>
            </w:pPr>
            <w:r>
              <w:rPr>
                <w:color w:val="1C3A36"/>
                <w:sz w:val="16"/>
              </w:rPr>
              <w:t>ADX disclosure portal copies of the above</w:t>
            </w:r>
          </w:p>
        </w:tc>
        <w:tc>
          <w:tcPr>
            <w:tcW w:type="dxa" w:w="1512"/>
          </w:tcPr>
          <w:p>
            <w:pPr>
              <w:spacing w:after="20"/>
              <w:jc w:val="right"/>
            </w:pPr>
            <w:r>
              <w:rPr>
                <w:color w:val="1C3A36"/>
                <w:sz w:val="16"/>
              </w:rPr>
              <w:t>various</w:t>
            </w:r>
          </w:p>
        </w:tc>
        <w:tc>
          <w:tcPr>
            <w:tcW w:type="dxa" w:w="2304"/>
          </w:tcPr>
          <w:p>
            <w:pPr>
              <w:spacing w:after="20"/>
              <w:jc w:val="right"/>
            </w:pPr>
            <w:r>
              <w:rPr>
                <w:color w:val="1C3A36"/>
                <w:sz w:val="16"/>
              </w:rPr>
              <w:t>apigateway.adx.ae</w:t>
            </w:r>
          </w:p>
        </w:tc>
        <w:tc>
          <w:tcPr>
            <w:tcW w:type="dxa" w:w="2016"/>
          </w:tcPr>
          <w:p>
            <w:pPr>
              <w:spacing w:after="20"/>
              <w:jc w:val="right"/>
            </w:pPr>
            <w:r>
              <w:rPr>
                <w:color w:val="1C3A36"/>
                <w:sz w:val="16"/>
              </w:rPr>
              <w:t>availability confirmed; not needed as the company site served everything</w:t>
            </w:r>
          </w:p>
        </w:tc>
      </w:tr>
      <w:tr>
        <w:tc>
          <w:tcPr>
            <w:tcW w:type="dxa" w:w="4176"/>
          </w:tcPr>
          <w:p>
            <w:pPr>
              <w:spacing w:after="20"/>
            </w:pPr>
            <w:r>
              <w:rPr>
                <w:color w:val="1C3A36"/>
                <w:sz w:val="16"/>
              </w:rPr>
              <w:t>UAE MoF/CBUAE dirham treasury auction results (July 2026)</w:t>
            </w:r>
          </w:p>
        </w:tc>
        <w:tc>
          <w:tcPr>
            <w:tcW w:type="dxa" w:w="1512"/>
          </w:tcPr>
          <w:p>
            <w:pPr>
              <w:spacing w:after="20"/>
              <w:jc w:val="right"/>
            </w:pPr>
            <w:r>
              <w:rPr>
                <w:color w:val="1C3A36"/>
                <w:sz w:val="16"/>
              </w:rPr>
              <w:t>Jul-2026</w:t>
            </w:r>
          </w:p>
        </w:tc>
        <w:tc>
          <w:tcPr>
            <w:tcW w:type="dxa" w:w="2304"/>
          </w:tcPr>
          <w:p>
            <w:pPr>
              <w:spacing w:after="20"/>
              <w:jc w:val="right"/>
            </w:pPr>
            <w:r>
              <w:rPr>
                <w:color w:val="1C3A36"/>
                <w:sz w:val="16"/>
              </w:rPr>
              <w:t>wam.ae (state news agency reporting the official auction)</w:t>
            </w:r>
          </w:p>
        </w:tc>
        <w:tc>
          <w:tcPr>
            <w:tcW w:type="dxa" w:w="2016"/>
          </w:tcPr>
          <w:p>
            <w:pPr>
              <w:spacing w:after="20"/>
              <w:jc w:val="right"/>
            </w:pPr>
            <w:r>
              <w:rPr>
                <w:color w:val="1C3A36"/>
                <w:sz w:val="16"/>
              </w:rPr>
              <w:t>AED sovereign yield 4.48% (Jan-2031 tranche)</w:t>
            </w:r>
          </w:p>
        </w:tc>
      </w:tr>
      <w:tr>
        <w:tc>
          <w:tcPr>
            <w:tcW w:type="dxa" w:w="4176"/>
          </w:tcPr>
          <w:p>
            <w:pPr>
              <w:spacing w:after="20"/>
            </w:pPr>
            <w:r>
              <w:rPr>
                <w:color w:val="1C3A36"/>
                <w:sz w:val="16"/>
              </w:rPr>
              <w:t>Damodaran country risk dataset (ctryprem), January 2026 update</w:t>
            </w:r>
          </w:p>
        </w:tc>
        <w:tc>
          <w:tcPr>
            <w:tcW w:type="dxa" w:w="1512"/>
          </w:tcPr>
          <w:p>
            <w:pPr>
              <w:spacing w:after="20"/>
              <w:jc w:val="right"/>
            </w:pPr>
            <w:r>
              <w:rPr>
                <w:color w:val="1C3A36"/>
                <w:sz w:val="16"/>
              </w:rPr>
              <w:t>Jan-2026</w:t>
            </w:r>
          </w:p>
        </w:tc>
        <w:tc>
          <w:tcPr>
            <w:tcW w:type="dxa" w:w="2304"/>
          </w:tcPr>
          <w:p>
            <w:pPr>
              <w:spacing w:after="20"/>
              <w:jc w:val="right"/>
            </w:pPr>
            <w:r>
              <w:rPr>
                <w:color w:val="1C3A36"/>
                <w:sz w:val="16"/>
              </w:rPr>
              <w:t>pages.stern.nyu.edu</w:t>
            </w:r>
          </w:p>
        </w:tc>
        <w:tc>
          <w:tcPr>
            <w:tcW w:type="dxa" w:w="2016"/>
          </w:tcPr>
          <w:p>
            <w:pPr>
              <w:spacing w:after="20"/>
              <w:jc w:val="right"/>
            </w:pPr>
            <w:r>
              <w:rPr>
                <w:color w:val="1C3A36"/>
                <w:sz w:val="16"/>
              </w:rPr>
              <w:t>UAE Aa2 row: default spread 0.42%, ERP 4.87%; Egypt row for the stress case</w:t>
            </w:r>
          </w:p>
        </w:tc>
      </w:tr>
      <w:tr>
        <w:tc>
          <w:tcPr>
            <w:tcW w:type="dxa" w:w="4176"/>
          </w:tcPr>
          <w:p>
            <w:pPr>
              <w:spacing w:after="20"/>
            </w:pPr>
            <w:r>
              <w:rPr>
                <w:color w:val="1C3A36"/>
                <w:sz w:val="16"/>
              </w:rPr>
              <w:t>ADREC Abu Dhabi Real Estate Market Report 2025</w:t>
            </w:r>
          </w:p>
        </w:tc>
        <w:tc>
          <w:tcPr>
            <w:tcW w:type="dxa" w:w="1512"/>
          </w:tcPr>
          <w:p>
            <w:pPr>
              <w:spacing w:after="20"/>
              <w:jc w:val="right"/>
            </w:pPr>
            <w:r>
              <w:rPr>
                <w:color w:val="1C3A36"/>
                <w:sz w:val="16"/>
              </w:rPr>
              <w:t>2025</w:t>
            </w:r>
          </w:p>
        </w:tc>
        <w:tc>
          <w:tcPr>
            <w:tcW w:type="dxa" w:w="2304"/>
          </w:tcPr>
          <w:p>
            <w:pPr>
              <w:spacing w:after="20"/>
              <w:jc w:val="right"/>
            </w:pPr>
            <w:r>
              <w:rPr>
                <w:color w:val="1C3A36"/>
                <w:sz w:val="16"/>
              </w:rPr>
              <w:t>adrec.gov.ae / mediaoffice.abudhabi</w:t>
            </w:r>
          </w:p>
        </w:tc>
        <w:tc>
          <w:tcPr>
            <w:tcW w:type="dxa" w:w="2016"/>
          </w:tcPr>
          <w:p>
            <w:pPr>
              <w:spacing w:after="20"/>
              <w:jc w:val="right"/>
            </w:pPr>
            <w:r>
              <w:rPr>
                <w:color w:val="1C3A36"/>
                <w:sz w:val="16"/>
              </w:rPr>
              <w:t>market size, growth, off-plan share, foreign-buyer share</w:t>
            </w:r>
          </w:p>
        </w:tc>
      </w:tr>
      <w:tr>
        <w:tc>
          <w:tcPr>
            <w:tcW w:type="dxa" w:w="4176"/>
          </w:tcPr>
          <w:p>
            <w:pPr>
              <w:spacing w:after="20"/>
            </w:pPr>
            <w:r>
              <w:rPr>
                <w:color w:val="1C3A36"/>
                <w:sz w:val="16"/>
              </w:rPr>
              <w:t>Aldar Q4-FY25 results release · Emaar FY2025 release · Emaar Development FY2025 release</w:t>
            </w:r>
          </w:p>
        </w:tc>
        <w:tc>
          <w:tcPr>
            <w:tcW w:type="dxa" w:w="1512"/>
          </w:tcPr>
          <w:p>
            <w:pPr>
              <w:spacing w:after="20"/>
              <w:jc w:val="right"/>
            </w:pPr>
            <w:r>
              <w:rPr>
                <w:color w:val="1C3A36"/>
                <w:sz w:val="16"/>
              </w:rPr>
              <w:t>FY2025</w:t>
            </w:r>
          </w:p>
        </w:tc>
        <w:tc>
          <w:tcPr>
            <w:tcW w:type="dxa" w:w="2304"/>
          </w:tcPr>
          <w:p>
            <w:pPr>
              <w:spacing w:after="20"/>
              <w:jc w:val="right"/>
            </w:pPr>
            <w:r>
              <w:rPr>
                <w:color w:val="1C3A36"/>
                <w:sz w:val="16"/>
              </w:rPr>
              <w:t>aldar.com / emaar.com</w:t>
            </w:r>
          </w:p>
        </w:tc>
        <w:tc>
          <w:tcPr>
            <w:tcW w:type="dxa" w:w="2016"/>
          </w:tcPr>
          <w:p>
            <w:pPr>
              <w:spacing w:after="20"/>
              <w:jc w:val="right"/>
            </w:pPr>
            <w:r>
              <w:rPr>
                <w:color w:val="1C3A36"/>
                <w:sz w:val="16"/>
              </w:rPr>
              <w:t>peer fundamentals (cross-check only)</w:t>
            </w:r>
          </w:p>
        </w:tc>
      </w:tr>
      <w:tr>
        <w:tc>
          <w:tcPr>
            <w:tcW w:type="dxa" w:w="4176"/>
          </w:tcPr>
          <w:p>
            <w:pPr>
              <w:spacing w:after="20"/>
            </w:pPr>
            <w:r>
              <w:rPr>
                <w:color w:val="1C3A36"/>
                <w:sz w:val="16"/>
              </w:rPr>
              <w:t>Turner &amp; Townsend UAE Market Intelligence 2025; MEED/Currie &amp; Brown 2026 outlooks</w:t>
            </w:r>
          </w:p>
        </w:tc>
        <w:tc>
          <w:tcPr>
            <w:tcW w:type="dxa" w:w="1512"/>
          </w:tcPr>
          <w:p>
            <w:pPr>
              <w:spacing w:after="20"/>
              <w:jc w:val="right"/>
            </w:pPr>
            <w:r>
              <w:rPr>
                <w:color w:val="1C3A36"/>
                <w:sz w:val="16"/>
              </w:rPr>
              <w:t>2025-26</w:t>
            </w:r>
          </w:p>
        </w:tc>
        <w:tc>
          <w:tcPr>
            <w:tcW w:type="dxa" w:w="2304"/>
          </w:tcPr>
          <w:p>
            <w:pPr>
              <w:spacing w:after="20"/>
              <w:jc w:val="right"/>
            </w:pPr>
            <w:r>
              <w:rPr>
                <w:color w:val="1C3A36"/>
                <w:sz w:val="16"/>
              </w:rPr>
              <w:t>public summaries</w:t>
            </w:r>
          </w:p>
        </w:tc>
        <w:tc>
          <w:tcPr>
            <w:tcW w:type="dxa" w:w="2016"/>
          </w:tcPr>
          <w:p>
            <w:pPr>
              <w:spacing w:after="20"/>
              <w:jc w:val="right"/>
            </w:pPr>
            <w:r>
              <w:rPr>
                <w:color w:val="1C3A36"/>
                <w:sz w:val="16"/>
              </w:rPr>
              <w:t>construction-cost escalator (~3-4.5%/yr)</w:t>
            </w:r>
          </w:p>
        </w:tc>
      </w:tr>
      <w:tr>
        <w:tc>
          <w:tcPr>
            <w:tcW w:type="dxa" w:w="4176"/>
          </w:tcPr>
          <w:p>
            <w:pPr>
              <w:spacing w:after="20"/>
            </w:pPr>
            <w:r>
              <w:rPr>
                <w:color w:val="1C3A36"/>
                <w:sz w:val="16"/>
              </w:rPr>
              <w:t>CBUAE EIBOR fixings (31 Mar 2026 set)</w:t>
            </w:r>
          </w:p>
        </w:tc>
        <w:tc>
          <w:tcPr>
            <w:tcW w:type="dxa" w:w="1512"/>
          </w:tcPr>
          <w:p>
            <w:pPr>
              <w:spacing w:after="20"/>
              <w:jc w:val="right"/>
            </w:pPr>
            <w:r>
              <w:rPr>
                <w:color w:val="1C3A36"/>
                <w:sz w:val="16"/>
              </w:rPr>
              <w:t>Mar-2026</w:t>
            </w:r>
          </w:p>
        </w:tc>
        <w:tc>
          <w:tcPr>
            <w:tcW w:type="dxa" w:w="2304"/>
          </w:tcPr>
          <w:p>
            <w:pPr>
              <w:spacing w:after="20"/>
              <w:jc w:val="right"/>
            </w:pPr>
            <w:r>
              <w:rPr>
                <w:color w:val="1C3A36"/>
                <w:sz w:val="16"/>
              </w:rPr>
              <w:t>secondary mirrors (CBUAE page returned HTTP 403 at this session's network; logged)</w:t>
            </w:r>
          </w:p>
        </w:tc>
        <w:tc>
          <w:tcPr>
            <w:tcW w:type="dxa" w:w="2016"/>
          </w:tcPr>
          <w:p>
            <w:pPr>
              <w:spacing w:after="20"/>
              <w:jc w:val="right"/>
            </w:pPr>
            <w:r>
              <w:rPr>
                <w:color w:val="1C3A36"/>
                <w:sz w:val="16"/>
              </w:rPr>
              <w:t>6M EIBOR 3.71%</w:t>
            </w:r>
          </w:p>
        </w:tc>
      </w:tr>
      <w:tr>
        <w:tc>
          <w:tcPr>
            <w:tcW w:type="dxa" w:w="4176"/>
          </w:tcPr>
          <w:p>
            <w:pPr>
              <w:spacing w:after="20"/>
            </w:pPr>
            <w:r>
              <w:rPr>
                <w:color w:val="1C3A36"/>
                <w:sz w:val="16"/>
              </w:rPr>
              <w:t>H1-2026 results announcement (29 Jul 2026)</w:t>
            </w:r>
          </w:p>
        </w:tc>
        <w:tc>
          <w:tcPr>
            <w:tcW w:type="dxa" w:w="1512"/>
          </w:tcPr>
          <w:p>
            <w:pPr>
              <w:spacing w:after="20"/>
              <w:jc w:val="right"/>
            </w:pPr>
            <w:r>
              <w:rPr>
                <w:color w:val="1C3A36"/>
                <w:sz w:val="16"/>
              </w:rPr>
              <w:t>H1-2026</w:t>
            </w:r>
          </w:p>
        </w:tc>
        <w:tc>
          <w:tcPr>
            <w:tcW w:type="dxa" w:w="2304"/>
          </w:tcPr>
          <w:p>
            <w:pPr>
              <w:spacing w:after="20"/>
              <w:jc w:val="right"/>
            </w:pPr>
            <w:r>
              <w:rPr>
                <w:color w:val="1C3A36"/>
                <w:sz w:val="16"/>
              </w:rPr>
              <w:t>modon.com media centre (verified via official-release syndication)</w:t>
            </w:r>
          </w:p>
        </w:tc>
        <w:tc>
          <w:tcPr>
            <w:tcW w:type="dxa" w:w="2016"/>
          </w:tcPr>
          <w:p>
            <w:pPr>
              <w:spacing w:after="20"/>
              <w:jc w:val="right"/>
            </w:pPr>
            <w:r>
              <w:rPr>
                <w:color w:val="1C3A36"/>
                <w:sz w:val="16"/>
              </w:rPr>
              <w:t>backlog 65.4bn/95% dev; H1 sales 26bn; net debt 912; unrestricted cash 8.6bn; adj. EBITDA 3.0bn; 3,613 keys/16 hotels — the revision-2 restrike anchors</w:t>
            </w:r>
          </w:p>
        </w:tc>
      </w:tr>
      <w:tr>
        <w:tc>
          <w:tcPr>
            <w:tcW w:type="dxa" w:w="4176"/>
          </w:tcPr>
          <w:p>
            <w:pPr>
              <w:spacing w:after="20"/>
            </w:pPr>
            <w:r>
              <w:rPr>
                <w:color w:val="1C3A36"/>
                <w:sz w:val="16"/>
              </w:rPr>
              <w:t>Damodaran emerging-markets industry betas (betaemerg.xls, saved 07-Jan-2026)</w:t>
            </w:r>
          </w:p>
        </w:tc>
        <w:tc>
          <w:tcPr>
            <w:tcW w:type="dxa" w:w="1512"/>
          </w:tcPr>
          <w:p>
            <w:pPr>
              <w:spacing w:after="20"/>
              <w:jc w:val="right"/>
            </w:pPr>
            <w:r>
              <w:rPr>
                <w:color w:val="1C3A36"/>
                <w:sz w:val="16"/>
              </w:rPr>
              <w:t>Jan-2026</w:t>
            </w:r>
          </w:p>
        </w:tc>
        <w:tc>
          <w:tcPr>
            <w:tcW w:type="dxa" w:w="2304"/>
          </w:tcPr>
          <w:p>
            <w:pPr>
              <w:spacing w:after="20"/>
              <w:jc w:val="right"/>
            </w:pPr>
            <w:r>
              <w:rPr>
                <w:color w:val="1C3A36"/>
                <w:sz w:val="16"/>
              </w:rPr>
              <w:t>pages.stern.nyu.edu</w:t>
            </w:r>
          </w:p>
        </w:tc>
        <w:tc>
          <w:tcPr>
            <w:tcW w:type="dxa" w:w="2016"/>
          </w:tcPr>
          <w:p>
            <w:pPr>
              <w:spacing w:after="20"/>
              <w:jc w:val="right"/>
            </w:pPr>
            <w:r>
              <w:rPr>
                <w:color w:val="1C3A36"/>
                <w:sz w:val="16"/>
              </w:rPr>
              <w:t>industry-beta cross-check (RE Development unlevered 0.45; rejected as primary, receipt in the study)</w:t>
            </w:r>
          </w:p>
        </w:tc>
      </w:tr>
      <w:tr>
        <w:tc>
          <w:tcPr>
            <w:tcW w:type="dxa" w:w="4176"/>
          </w:tcPr>
          <w:p>
            <w:pPr>
              <w:spacing w:after="20"/>
            </w:pPr>
            <w:r>
              <w:rPr>
                <w:color w:val="1C3A36"/>
                <w:sz w:val="16"/>
              </w:rPr>
              <w:t>Uploaded ADX daily price history for MODON (1,577 sessions, Dec-2017 – Aug-2026)</w:t>
            </w:r>
          </w:p>
        </w:tc>
        <w:tc>
          <w:tcPr>
            <w:tcW w:type="dxa" w:w="1512"/>
          </w:tcPr>
          <w:p>
            <w:pPr>
              <w:spacing w:after="20"/>
              <w:jc w:val="right"/>
            </w:pPr>
            <w:r>
              <w:rPr>
                <w:color w:val="1C3A36"/>
                <w:sz w:val="16"/>
              </w:rPr>
              <w:t>to 7 Aug 2026</w:t>
            </w:r>
          </w:p>
        </w:tc>
        <w:tc>
          <w:tcPr>
            <w:tcW w:type="dxa" w:w="2304"/>
          </w:tcPr>
          <w:p>
            <w:pPr>
              <w:spacing w:after="20"/>
              <w:jc w:val="right"/>
            </w:pPr>
            <w:r>
              <w:rPr>
                <w:color w:val="1C3A36"/>
                <w:sz w:val="16"/>
              </w:rPr>
              <w:t>user-supplied export</w:t>
            </w:r>
          </w:p>
        </w:tc>
        <w:tc>
          <w:tcPr>
            <w:tcW w:type="dxa" w:w="2016"/>
          </w:tcPr>
          <w:p>
            <w:pPr>
              <w:spacing w:after="20"/>
              <w:jc w:val="right"/>
            </w:pPr>
            <w:r>
              <w:rPr>
                <w:color w:val="1C3A36"/>
                <w:sz w:val="16"/>
              </w:rPr>
              <w:t>price anchor, volatility model, technical read, beta regression (against the official index below)</w:t>
            </w:r>
          </w:p>
        </w:tc>
      </w:tr>
      <w:tr>
        <w:tc>
          <w:tcPr>
            <w:tcW w:type="dxa" w:w="4176"/>
          </w:tcPr>
          <w:p>
            <w:pPr>
              <w:spacing w:after="20"/>
            </w:pPr>
            <w:r>
              <w:rPr>
                <w:color w:val="1C3A36"/>
                <w:sz w:val="16"/>
              </w:rPr>
              <w:t>FTSE ADX General Index daily history (3,884 sessions, Jan-2011 – Jul-2026)</w:t>
            </w:r>
          </w:p>
        </w:tc>
        <w:tc>
          <w:tcPr>
            <w:tcW w:type="dxa" w:w="1512"/>
          </w:tcPr>
          <w:p>
            <w:pPr>
              <w:spacing w:after="20"/>
              <w:jc w:val="right"/>
            </w:pPr>
            <w:r>
              <w:rPr>
                <w:color w:val="1C3A36"/>
                <w:sz w:val="16"/>
              </w:rPr>
              <w:t>to 24 Jul 2026</w:t>
            </w:r>
          </w:p>
        </w:tc>
        <w:tc>
          <w:tcPr>
            <w:tcW w:type="dxa" w:w="2304"/>
          </w:tcPr>
          <w:p>
            <w:pPr>
              <w:spacing w:after="20"/>
              <w:jc w:val="right"/>
            </w:pPr>
            <w:r>
              <w:rPr>
                <w:color w:val="1C3A36"/>
                <w:sz w:val="16"/>
              </w:rPr>
              <w:t>user-supplied export</w:t>
            </w:r>
          </w:p>
        </w:tc>
        <w:tc>
          <w:tcPr>
            <w:tcW w:type="dxa" w:w="2016"/>
          </w:tcPr>
          <w:p>
            <w:pPr>
              <w:spacing w:after="20"/>
              <w:jc w:val="right"/>
            </w:pPr>
            <w:r>
              <w:rPr>
                <w:color w:val="1C3A36"/>
                <w:sz w:val="16"/>
              </w:rPr>
              <w:t>beta regressor — the stock's own local index; screened for data quality (249.7 sessions a year on ADX's calendar, no impossible moves, no repairs needed)</w:t>
            </w:r>
          </w:p>
        </w:tc>
      </w:tr>
    </w:tbl>
    <w:p>
      <w:pPr>
        <w:spacing w:after="40"/>
      </w:pPr>
    </w:p>
    <w:p>
      <w:pPr>
        <w:spacing w:after="120" w:before="280"/>
      </w:pPr>
      <w:r>
        <w:rPr>
          <w:b/>
          <w:i w:val="0"/>
          <w:color w:val="1C3A36"/>
          <w:sz w:val="30"/>
        </w:rPr>
        <w:t>2 · Negative results — searched, not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3888"/>
      </w:tblGrid>
      <w:tr>
        <w:tc>
          <w:tcPr>
            <w:tcW w:type="dxa" w:w="2736"/>
            <w:shd w:val="clear" w:color="auto" w:fill="EAF0EE"/>
          </w:tcPr>
          <w:p>
            <w:pPr>
              <w:spacing w:after="20"/>
            </w:pPr>
            <w:r>
              <w:rPr>
                <w:b/>
                <w:color w:val="1C3A36"/>
                <w:sz w:val="16"/>
              </w:rPr>
              <w:t>What was sought</w:t>
            </w:r>
          </w:p>
        </w:tc>
        <w:tc>
          <w:tcPr>
            <w:tcW w:type="dxa" w:w="3384"/>
            <w:shd w:val="clear" w:color="auto" w:fill="EAF0EE"/>
          </w:tcPr>
          <w:p>
            <w:pPr>
              <w:spacing w:after="20"/>
            </w:pPr>
            <w:r>
              <w:rPr>
                <w:b/>
                <w:color w:val="1C3A36"/>
                <w:sz w:val="16"/>
              </w:rPr>
              <w:t>Where</w:t>
            </w:r>
          </w:p>
        </w:tc>
        <w:tc>
          <w:tcPr>
            <w:tcW w:type="dxa" w:w="3888"/>
            <w:shd w:val="clear" w:color="auto" w:fill="EAF0EE"/>
          </w:tcPr>
          <w:p>
            <w:pPr>
              <w:spacing w:after="20"/>
            </w:pPr>
            <w:r>
              <w:rPr>
                <w:b/>
                <w:color w:val="1C3A36"/>
                <w:sz w:val="16"/>
              </w:rPr>
              <w:t>Outcome</w:t>
            </w:r>
          </w:p>
        </w:tc>
      </w:tr>
      <w:tr>
        <w:tc>
          <w:tcPr>
            <w:tcW w:type="dxa" w:w="2736"/>
          </w:tcPr>
          <w:p>
            <w:pPr>
              <w:spacing w:after="20"/>
            </w:pPr>
            <w:r>
              <w:rPr>
                <w:color w:val="1C3A36"/>
                <w:sz w:val="16"/>
              </w:rPr>
              <w:t>FTSE ADX General Index daily history (beta regressor)</w:t>
            </w:r>
          </w:p>
        </w:tc>
        <w:tc>
          <w:tcPr>
            <w:tcW w:type="dxa" w:w="3384"/>
          </w:tcPr>
          <w:p>
            <w:pPr>
              <w:spacing w:after="20"/>
              <w:jc w:val="right"/>
            </w:pPr>
            <w:r>
              <w:rPr>
                <w:color w:val="1C3A36"/>
                <w:sz w:val="16"/>
              </w:rPr>
              <w:t>stooq (^adx, ^adi, adsmi — JS challenge); Yahoo Finance FADGI.FGI / FADX15.FGI / ^ADI / ^ADSMI (v8 and v2, rate-limited); investing.com page + API; TradingEconomics chart API; WSJ/MarketWatch charting API; FMP; adx.ae + apigateway.adx.ae</w:t>
            </w:r>
          </w:p>
        </w:tc>
        <w:tc>
          <w:tcPr>
            <w:tcW w:type="dxa" w:w="3888"/>
          </w:tcPr>
          <w:p>
            <w:pPr>
              <w:spacing w:after="20"/>
              <w:jc w:val="right"/>
            </w:pPr>
            <w:r>
              <w:rPr>
                <w:color w:val="1C3A36"/>
                <w:sz w:val="16"/>
              </w:rPr>
              <w:t>CLOSED at revision 3 — ten sources failed over two sessions and the series was supplied directly by the requester on 10-Aug-2026 (3,884 sessions, 02-Jan-2011 to 24-Jul-2026). Beta is now the tier-1 own-stock regression against the official index; the proxy composite is retired. The failure was not cosmetic: the proxy under-read beta at every window (5y 1.118 vs 1.278 official), because the official index is 1.30x less volatile than the composite at a similar correlation. Logged here because a negative result that is later closed is evidence about how much the substitute cost.</w:t>
            </w:r>
          </w:p>
        </w:tc>
      </w:tr>
      <w:tr>
        <w:tc>
          <w:tcPr>
            <w:tcW w:type="dxa" w:w="2736"/>
          </w:tcPr>
          <w:p>
            <w:pPr>
              <w:spacing w:after="20"/>
            </w:pPr>
            <w:r>
              <w:rPr>
                <w:color w:val="1C3A36"/>
                <w:sz w:val="16"/>
              </w:rPr>
              <w:t>UAE sovereign CDS spread (for a CDS-basis equity premium)</w:t>
            </w:r>
          </w:p>
        </w:tc>
        <w:tc>
          <w:tcPr>
            <w:tcW w:type="dxa" w:w="3384"/>
          </w:tcPr>
          <w:p>
            <w:pPr>
              <w:spacing w:after="20"/>
              <w:jc w:val="right"/>
            </w:pPr>
            <w:r>
              <w:rPr>
                <w:color w:val="1C3A36"/>
                <w:sz w:val="16"/>
              </w:rPr>
              <w:t>Damodaran ctryprem, January 2026</w:t>
            </w:r>
          </w:p>
        </w:tc>
        <w:tc>
          <w:tcPr>
            <w:tcW w:type="dxa" w:w="3888"/>
          </w:tcPr>
          <w:p>
            <w:pPr>
              <w:spacing w:after="20"/>
              <w:jc w:val="right"/>
            </w:pPr>
            <w:r>
              <w:rPr>
                <w:color w:val="1C3A36"/>
                <w:sz w:val="16"/>
              </w:rPr>
              <w:t>Published as NA for the UAE — no CDS-basis cost of capital can be built; the rating basis stands alone.</w:t>
            </w:r>
          </w:p>
        </w:tc>
      </w:tr>
      <w:tr>
        <w:tc>
          <w:tcPr>
            <w:tcW w:type="dxa" w:w="2736"/>
          </w:tcPr>
          <w:p>
            <w:pPr>
              <w:spacing w:after="20"/>
            </w:pPr>
            <w:r>
              <w:rPr>
                <w:color w:val="1C3A36"/>
                <w:sz w:val="16"/>
              </w:rPr>
              <w:t>Quantified remaining-performance-obligation (backlog) table inside the audited statements</w:t>
            </w:r>
          </w:p>
        </w:tc>
        <w:tc>
          <w:tcPr>
            <w:tcW w:type="dxa" w:w="3384"/>
          </w:tcPr>
          <w:p>
            <w:pPr>
              <w:spacing w:after="20"/>
              <w:jc w:val="right"/>
            </w:pPr>
            <w:r>
              <w:rPr>
                <w:color w:val="1C3A36"/>
                <w:sz w:val="16"/>
              </w:rPr>
              <w:t>FY2025 financial statements</w:t>
            </w:r>
          </w:p>
        </w:tc>
        <w:tc>
          <w:tcPr>
            <w:tcW w:type="dxa" w:w="3888"/>
          </w:tcPr>
          <w:p>
            <w:pPr>
              <w:spacing w:after="20"/>
              <w:jc w:val="right"/>
            </w:pPr>
            <w:r>
              <w:rPr>
                <w:color w:val="1C3A36"/>
                <w:sz w:val="16"/>
              </w:rPr>
              <w:t>Not disclosed at that level in the notes; the AED 46.0bn backlog and its 93% development share come from the results announcement and annual report.</w:t>
            </w:r>
          </w:p>
        </w:tc>
      </w:tr>
      <w:tr>
        <w:tc>
          <w:tcPr>
            <w:tcW w:type="dxa" w:w="2736"/>
          </w:tcPr>
          <w:p>
            <w:pPr>
              <w:spacing w:after="20"/>
            </w:pPr>
            <w:r>
              <w:rPr>
                <w:color w:val="1C3A36"/>
                <w:sz w:val="16"/>
              </w:rPr>
              <w:t>Per-project volumes and prices</w:t>
            </w:r>
          </w:p>
        </w:tc>
        <w:tc>
          <w:tcPr>
            <w:tcW w:type="dxa" w:w="3384"/>
          </w:tcPr>
          <w:p>
            <w:pPr>
              <w:spacing w:after="20"/>
              <w:jc w:val="right"/>
            </w:pPr>
            <w:r>
              <w:rPr>
                <w:color w:val="1C3A36"/>
                <w:sz w:val="16"/>
              </w:rPr>
              <w:t>annual report, results releases</w:t>
            </w:r>
          </w:p>
        </w:tc>
        <w:tc>
          <w:tcPr>
            <w:tcW w:type="dxa" w:w="3888"/>
          </w:tcPr>
          <w:p>
            <w:pPr>
              <w:spacing w:after="20"/>
              <w:jc w:val="right"/>
            </w:pPr>
            <w:r>
              <w:rPr>
                <w:color w:val="1C3A36"/>
                <w:sz w:val="16"/>
              </w:rPr>
              <w:t>Disclosed only as totals (units and value by geography); the revenue build therefore stops at segment level with unit-level anchors, and says so.</w:t>
            </w:r>
          </w:p>
        </w:tc>
      </w:tr>
      <w:tr>
        <w:tc>
          <w:tcPr>
            <w:tcW w:type="dxa" w:w="2736"/>
          </w:tcPr>
          <w:p>
            <w:pPr>
              <w:spacing w:after="20"/>
            </w:pPr>
            <w:r>
              <w:rPr>
                <w:color w:val="1C3A36"/>
                <w:sz w:val="16"/>
              </w:rPr>
              <w:t>A dividend policy</w:t>
            </w:r>
          </w:p>
        </w:tc>
        <w:tc>
          <w:tcPr>
            <w:tcW w:type="dxa" w:w="3384"/>
          </w:tcPr>
          <w:p>
            <w:pPr>
              <w:spacing w:after="20"/>
              <w:jc w:val="right"/>
            </w:pPr>
            <w:r>
              <w:rPr>
                <w:color w:val="1C3A36"/>
                <w:sz w:val="16"/>
              </w:rPr>
              <w:t>FY2025 results release, annual report, statements</w:t>
            </w:r>
          </w:p>
        </w:tc>
        <w:tc>
          <w:tcPr>
            <w:tcW w:type="dxa" w:w="3888"/>
          </w:tcPr>
          <w:p>
            <w:pPr>
              <w:spacing w:after="20"/>
              <w:jc w:val="right"/>
            </w:pPr>
            <w:r>
              <w:rPr>
                <w:color w:val="1C3A36"/>
                <w:sz w:val="16"/>
              </w:rPr>
              <w:t>None paid to owners in FY2024–25, none proposed — the zero in the model is sourced.</w:t>
            </w:r>
          </w:p>
        </w:tc>
      </w:tr>
      <w:tr>
        <w:tc>
          <w:tcPr>
            <w:tcW w:type="dxa" w:w="2736"/>
          </w:tcPr>
          <w:p>
            <w:pPr>
              <w:spacing w:after="20"/>
            </w:pPr>
            <w:r>
              <w:rPr>
                <w:color w:val="1C3A36"/>
                <w:sz w:val="16"/>
              </w:rPr>
              <w:t>Real-estate/events technology substitution risk</w:t>
            </w:r>
          </w:p>
        </w:tc>
        <w:tc>
          <w:tcPr>
            <w:tcW w:type="dxa" w:w="3384"/>
          </w:tcPr>
          <w:p>
            <w:pPr>
              <w:spacing w:after="20"/>
              <w:jc w:val="right"/>
            </w:pPr>
            <w:r>
              <w:rPr>
                <w:color w:val="1C3A36"/>
                <w:sz w:val="16"/>
              </w:rPr>
              <w:t>sector press 2025-26</w:t>
            </w:r>
          </w:p>
        </w:tc>
        <w:tc>
          <w:tcPr>
            <w:tcW w:type="dxa" w:w="3888"/>
          </w:tcPr>
          <w:p>
            <w:pPr>
              <w:spacing w:after="20"/>
              <w:jc w:val="right"/>
            </w:pPr>
            <w:r>
              <w:rPr>
                <w:color w:val="1C3A36"/>
                <w:sz w:val="16"/>
              </w:rPr>
              <w:t>Nothing material found.</w:t>
            </w:r>
          </w:p>
        </w:tc>
      </w:tr>
      <w:tr>
        <w:tc>
          <w:tcPr>
            <w:tcW w:type="dxa" w:w="2736"/>
          </w:tcPr>
          <w:p>
            <w:pPr>
              <w:spacing w:after="20"/>
            </w:pPr>
            <w:r>
              <w:rPr>
                <w:color w:val="1C3A36"/>
                <w:sz w:val="16"/>
              </w:rPr>
              <w:t>Sanctions or supply-chain exposure relevant to the model</w:t>
            </w:r>
          </w:p>
        </w:tc>
        <w:tc>
          <w:tcPr>
            <w:tcW w:type="dxa" w:w="3384"/>
          </w:tcPr>
          <w:p>
            <w:pPr>
              <w:spacing w:after="20"/>
              <w:jc w:val="right"/>
            </w:pPr>
            <w:r>
              <w:rPr>
                <w:color w:val="1C3A36"/>
                <w:sz w:val="16"/>
              </w:rPr>
              <w:t>sector press 2025-26</w:t>
            </w:r>
          </w:p>
        </w:tc>
        <w:tc>
          <w:tcPr>
            <w:tcW w:type="dxa" w:w="3888"/>
          </w:tcPr>
          <w:p>
            <w:pPr>
              <w:spacing w:after="20"/>
              <w:jc w:val="right"/>
            </w:pPr>
            <w:r>
              <w:rPr>
                <w:color w:val="1C3A36"/>
                <w:sz w:val="16"/>
              </w:rPr>
              <w:t>Nothing material found.</w:t>
            </w:r>
          </w:p>
        </w:tc>
      </w:tr>
    </w:tbl>
    <w:p>
      <w:pPr>
        <w:spacing w:after="40"/>
      </w:pPr>
    </w:p>
    <w:p>
      <w:pPr>
        <w:spacing w:after="120" w:before="280"/>
      </w:pPr>
      <w:r>
        <w:rPr>
          <w:b/>
          <w:i w:val="0"/>
          <w:color w:val="1C3A36"/>
          <w:sz w:val="30"/>
        </w:rPr>
        <w:t>3 · Judgements — and what would overturn each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3528"/>
        <w:gridCol w:w="3600"/>
      </w:tblGrid>
      <w:tr>
        <w:tc>
          <w:tcPr>
            <w:tcW w:type="dxa" w:w="2880"/>
            <w:shd w:val="clear" w:color="auto" w:fill="EAF0EE"/>
          </w:tcPr>
          <w:p>
            <w:pPr>
              <w:spacing w:after="20"/>
            </w:pPr>
            <w:r>
              <w:rPr>
                <w:b/>
                <w:color w:val="1C3A36"/>
                <w:sz w:val="16"/>
              </w:rPr>
              <w:t>Judgement</w:t>
            </w:r>
          </w:p>
        </w:tc>
        <w:tc>
          <w:tcPr>
            <w:tcW w:type="dxa" w:w="3528"/>
            <w:shd w:val="clear" w:color="auto" w:fill="EAF0EE"/>
          </w:tcPr>
          <w:p>
            <w:pPr>
              <w:spacing w:after="20"/>
            </w:pPr>
            <w:r>
              <w:rPr>
                <w:b/>
                <w:color w:val="1C3A36"/>
                <w:sz w:val="16"/>
              </w:rPr>
              <w:t>Basis</w:t>
            </w:r>
          </w:p>
        </w:tc>
        <w:tc>
          <w:tcPr>
            <w:tcW w:type="dxa" w:w="3600"/>
            <w:shd w:val="clear" w:color="auto" w:fill="EAF0EE"/>
          </w:tcPr>
          <w:p>
            <w:pPr>
              <w:spacing w:after="20"/>
            </w:pPr>
            <w:r>
              <w:rPr>
                <w:b/>
                <w:color w:val="1C3A36"/>
                <w:sz w:val="16"/>
              </w:rPr>
              <w:t>What would overturn it</w:t>
            </w:r>
          </w:p>
        </w:tc>
      </w:tr>
      <w:tr>
        <w:tc>
          <w:tcPr>
            <w:tcW w:type="dxa" w:w="2880"/>
          </w:tcPr>
          <w:p>
            <w:pPr>
              <w:spacing w:after="20"/>
            </w:pPr>
            <w:r>
              <w:rPr>
                <w:color w:val="1C3A36"/>
                <w:sz w:val="16"/>
              </w:rPr>
              <w:t>Base sales path: post-H1 new sales AED 12bn (H2-26), then 30bn fading to 21bn/yr — every year below the 52bn annualised H1 pace</w:t>
            </w:r>
          </w:p>
        </w:tc>
        <w:tc>
          <w:tcPr>
            <w:tcW w:type="dxa" w:w="3528"/>
          </w:tcPr>
          <w:p>
            <w:pPr>
              <w:spacing w:after="20"/>
              <w:jc w:val="right"/>
            </w:pPr>
            <w:r>
              <w:rPr>
                <w:color w:val="1C3A36"/>
                <w:sz w:val="16"/>
              </w:rPr>
              <w:t>H1-2026 ACTUAL sales of 26bn; ADREC structural demand; Modon share of Abu Dhabi residential</w:t>
            </w:r>
          </w:p>
        </w:tc>
        <w:tc>
          <w:tcPr>
            <w:tcW w:type="dxa" w:w="3600"/>
          </w:tcPr>
          <w:p>
            <w:pPr>
              <w:spacing w:after="20"/>
              <w:jc w:val="right"/>
            </w:pPr>
            <w:r>
              <w:rPr>
                <w:color w:val="1C3A36"/>
                <w:sz w:val="16"/>
              </w:rPr>
              <w:t>two consecutive halves of new sales below AED 8bn, or an Abu Dhabi residential downturn</w:t>
            </w:r>
          </w:p>
        </w:tc>
      </w:tr>
      <w:tr>
        <w:tc>
          <w:tcPr>
            <w:tcW w:type="dxa" w:w="2880"/>
          </w:tcPr>
          <w:p>
            <w:pPr>
              <w:spacing w:after="20"/>
            </w:pPr>
            <w:r>
              <w:rPr>
                <w:color w:val="1C3A36"/>
                <w:sz w:val="16"/>
              </w:rPr>
              <w:t>Development margin glide 41% → 38%</w:t>
            </w:r>
          </w:p>
        </w:tc>
        <w:tc>
          <w:tcPr>
            <w:tcW w:type="dxa" w:w="3528"/>
          </w:tcPr>
          <w:p>
            <w:pPr>
              <w:spacing w:after="20"/>
              <w:jc w:val="right"/>
            </w:pPr>
            <w:r>
              <w:rPr>
                <w:color w:val="1C3A36"/>
                <w:sz w:val="16"/>
              </w:rPr>
              <w:t>FY2025 43.7% and H1-2026 41.3% actuals; construction escalator vs price escalation</w:t>
            </w:r>
          </w:p>
        </w:tc>
        <w:tc>
          <w:tcPr>
            <w:tcW w:type="dxa" w:w="3600"/>
          </w:tcPr>
          <w:p>
            <w:pPr>
              <w:spacing w:after="20"/>
              <w:jc w:val="right"/>
            </w:pPr>
            <w:r>
              <w:rPr>
                <w:color w:val="1C3A36"/>
                <w:sz w:val="16"/>
              </w:rPr>
              <w:t>arms-length land sales clearing below 20% gross margin; tender inflation &gt;6%/yr sustained</w:t>
            </w:r>
          </w:p>
        </w:tc>
      </w:tr>
      <w:tr>
        <w:tc>
          <w:tcPr>
            <w:tcW w:type="dxa" w:w="2880"/>
          </w:tcPr>
          <w:p>
            <w:pPr>
              <w:spacing w:after="20"/>
            </w:pPr>
            <w:r>
              <w:rPr>
                <w:color w:val="1C3A36"/>
                <w:sz w:val="16"/>
              </w:rPr>
              <w:t>Working capital: component build absorbs through FY2028, releases only late</w:t>
            </w:r>
          </w:p>
        </w:tc>
        <w:tc>
          <w:tcPr>
            <w:tcW w:type="dxa" w:w="3528"/>
          </w:tcPr>
          <w:p>
            <w:pPr>
              <w:spacing w:after="20"/>
              <w:jc w:val="right"/>
            </w:pPr>
            <w:r>
              <w:rPr>
                <w:color w:val="1C3A36"/>
                <w:sz w:val="16"/>
              </w:rPr>
              <w:t>receivable days 440 at both audited anchors; advances cover 1.86x and declining; land-bank draw vs new-WIP add — calibrated at 31-Dec-25 and 30-Jun-26</w:t>
            </w:r>
          </w:p>
        </w:tc>
        <w:tc>
          <w:tcPr>
            <w:tcW w:type="dxa" w:w="3600"/>
          </w:tcPr>
          <w:p>
            <w:pPr>
              <w:spacing w:after="20"/>
              <w:jc w:val="right"/>
            </w:pPr>
            <w:r>
              <w:rPr>
                <w:color w:val="1C3A36"/>
                <w:sz w:val="16"/>
              </w:rPr>
              <w:t>FY2026 statements showing receivable days rising above ~470, or advances cover falling faster than assumed</w:t>
            </w:r>
          </w:p>
        </w:tc>
      </w:tr>
      <w:tr>
        <w:tc>
          <w:tcPr>
            <w:tcW w:type="dxa" w:w="2880"/>
          </w:tcPr>
          <w:p>
            <w:pPr>
              <w:spacing w:after="20"/>
            </w:pPr>
            <w:r>
              <w:rPr>
                <w:color w:val="1C3A36"/>
                <w:sz w:val="16"/>
              </w:rPr>
              <w:t>Tax at 15.5% (DMTT floor + foreign uplift)</w:t>
            </w:r>
          </w:p>
        </w:tc>
        <w:tc>
          <w:tcPr>
            <w:tcW w:type="dxa" w:w="3528"/>
          </w:tcPr>
          <w:p>
            <w:pPr>
              <w:spacing w:after="20"/>
              <w:jc w:val="right"/>
            </w:pPr>
            <w:r>
              <w:rPr>
                <w:color w:val="1C3A36"/>
                <w:sz w:val="16"/>
              </w:rPr>
              <w:t>note 11 (DMTT charged from 2025); H1-2026 effective 15.4%</w:t>
            </w:r>
          </w:p>
        </w:tc>
        <w:tc>
          <w:tcPr>
            <w:tcW w:type="dxa" w:w="3600"/>
          </w:tcPr>
          <w:p>
            <w:pPr>
              <w:spacing w:after="20"/>
              <w:jc w:val="right"/>
            </w:pPr>
            <w:r>
              <w:rPr>
                <w:color w:val="1C3A36"/>
                <w:sz w:val="16"/>
              </w:rPr>
              <w:t>a DMTT carve-out, or foreign profits growing beyond ~1/4 of the mix</w:t>
            </w:r>
          </w:p>
        </w:tc>
      </w:tr>
      <w:tr>
        <w:tc>
          <w:tcPr>
            <w:tcW w:type="dxa" w:w="2880"/>
          </w:tcPr>
          <w:p>
            <w:pPr>
              <w:spacing w:after="20"/>
            </w:pPr>
            <w:r>
              <w:rPr>
                <w:color w:val="1C3A36"/>
                <w:sz w:val="16"/>
              </w:rPr>
              <w:t>Beta 1.746 — own-stock weekly regression vs the exchange's published index (FTSE ADX General), thin-trading corrected</w:t>
            </w:r>
          </w:p>
        </w:tc>
        <w:tc>
          <w:tcPr>
            <w:tcW w:type="dxa" w:w="3528"/>
          </w:tcPr>
          <w:p>
            <w:pPr>
              <w:spacing w:after="20"/>
              <w:jc w:val="right"/>
            </w:pPr>
            <w:r>
              <w:rPr>
                <w:color w:val="1C3A36"/>
                <w:sz w:val="16"/>
              </w:rPr>
              <w:t>253 weekly observations over 4.9 years to 17-Jul-2026: SE 0.397, R² 0.128, 90% range 1.09-2.40, usability gate PASS. The thin-trading correction is worth +0.35 of beta (uncorrected 1.394 on the same weeks) and is warranted by a float with 84.75% in one holder. Long-run-adjusted cross-check 1.497; industry route rejected as primary</w:t>
            </w:r>
          </w:p>
        </w:tc>
        <w:tc>
          <w:tcPr>
            <w:tcW w:type="dxa" w:w="3600"/>
          </w:tcPr>
          <w:p>
            <w:pPr>
              <w:spacing w:after="20"/>
              <w:jc w:val="right"/>
            </w:pPr>
            <w:r>
              <w:rPr>
                <w:color w:val="1C3A36"/>
                <w:sz w:val="16"/>
              </w:rPr>
              <w:t>the wide interval resolving low — at the bottom of the 90% range the cash-flow lens is worth materially more; equally, a longer index history or a less thinly traded float could move it either way. This is the study's largest single exposure to one input</w:t>
            </w:r>
          </w:p>
        </w:tc>
      </w:tr>
      <w:tr>
        <w:tc>
          <w:tcPr>
            <w:tcW w:type="dxa" w:w="2880"/>
          </w:tcPr>
          <w:p>
            <w:pPr>
              <w:spacing w:after="20"/>
            </w:pPr>
            <w:r>
              <w:rPr>
                <w:color w:val="1C3A36"/>
                <w:sz w:val="16"/>
              </w:rPr>
              <w:t>Terminal ROIC 8.5% — between the FY2025 clean 6.1% and the model's own forward path (~15%)</w:t>
            </w:r>
          </w:p>
        </w:tc>
        <w:tc>
          <w:tcPr>
            <w:tcW w:type="dxa" w:w="3528"/>
          </w:tcPr>
          <w:p>
            <w:pPr>
              <w:spacing w:after="20"/>
              <w:jc w:val="right"/>
            </w:pPr>
            <w:r>
              <w:rPr>
                <w:color w:val="1C3A36"/>
                <w:sz w:val="16"/>
              </w:rPr>
              <w:t>at-cost land bank converting to recognised profit; deliberate mean-reversion below the path</w:t>
            </w:r>
          </w:p>
        </w:tc>
        <w:tc>
          <w:tcPr>
            <w:tcW w:type="dxa" w:w="3600"/>
          </w:tcPr>
          <w:p>
            <w:pPr>
              <w:spacing w:after="20"/>
              <w:jc w:val="right"/>
            </w:pPr>
            <w:r>
              <w:rPr>
                <w:color w:val="1C3A36"/>
                <w:sz w:val="16"/>
              </w:rPr>
              <w:t>land monetisation stalling: at the clean achieved return the terminal value falls ~16% and the DCF ~11% (computed, not estimated)</w:t>
            </w:r>
          </w:p>
        </w:tc>
      </w:tr>
      <w:tr>
        <w:tc>
          <w:tcPr>
            <w:tcW w:type="dxa" w:w="2880"/>
          </w:tcPr>
          <w:p>
            <w:pPr>
              <w:spacing w:after="20"/>
            </w:pPr>
            <w:r>
              <w:rPr>
                <w:color w:val="1C3A36"/>
                <w:sz w:val="16"/>
              </w:rPr>
              <w:t>No conflict premium in the cost of equity (mid-2026 regional practice was +1pt)</w:t>
            </w:r>
          </w:p>
        </w:tc>
        <w:tc>
          <w:tcPr>
            <w:tcW w:type="dxa" w:w="3528"/>
          </w:tcPr>
          <w:p>
            <w:pPr>
              <w:spacing w:after="20"/>
              <w:jc w:val="right"/>
            </w:pPr>
            <w:r>
              <w:rPr>
                <w:color w:val="1C3A36"/>
                <w:sz w:val="16"/>
              </w:rPr>
              <w:t>July-2026 AED sovereign auction at ~4bp over US Treasuries</w:t>
            </w:r>
          </w:p>
        </w:tc>
        <w:tc>
          <w:tcPr>
            <w:tcW w:type="dxa" w:w="3600"/>
          </w:tcPr>
          <w:p>
            <w:pPr>
              <w:spacing w:after="20"/>
              <w:jc w:val="right"/>
            </w:pPr>
            <w:r>
              <w:rPr>
                <w:color w:val="1C3A36"/>
                <w:sz w:val="16"/>
              </w:rPr>
              <w:t>regional escalation reflected in the sovereign curve — re-add the point (strip shown)</w:t>
            </w:r>
          </w:p>
        </w:tc>
      </w:tr>
      <w:tr>
        <w:tc>
          <w:tcPr>
            <w:tcW w:type="dxa" w:w="2880"/>
          </w:tcPr>
          <w:p>
            <w:pPr>
              <w:spacing w:after="20"/>
            </w:pPr>
            <w:r>
              <w:rPr>
                <w:color w:val="1C3A36"/>
                <w:sz w:val="16"/>
              </w:rPr>
              <w:t>Lens weights 40/20/20/20</w:t>
            </w:r>
          </w:p>
        </w:tc>
        <w:tc>
          <w:tcPr>
            <w:tcW w:type="dxa" w:w="3528"/>
          </w:tcPr>
          <w:p>
            <w:pPr>
              <w:spacing w:after="20"/>
              <w:jc w:val="right"/>
            </w:pPr>
            <w:r>
              <w:rPr>
                <w:color w:val="1C3A36"/>
                <w:sz w:val="16"/>
              </w:rPr>
              <w:t>contracted backlog justifies a DCF anchor; tight float keeps market lenses honest</w:t>
            </w:r>
          </w:p>
        </w:tc>
        <w:tc>
          <w:tcPr>
            <w:tcW w:type="dxa" w:w="3600"/>
          </w:tcPr>
          <w:p>
            <w:pPr>
              <w:spacing w:after="20"/>
              <w:jc w:val="right"/>
            </w:pPr>
            <w:r>
              <w:rPr>
                <w:color w:val="1C3A36"/>
                <w:sz w:val="16"/>
              </w:rPr>
              <w:t>a float event or dividend policy would raise the market lenses' weight</w:t>
            </w:r>
          </w:p>
        </w:tc>
      </w:tr>
    </w:tbl>
    <w:p>
      <w:pPr>
        <w:spacing w:after="40"/>
      </w:pPr>
    </w:p>
    <w:p>
      <w:pPr>
        <w:spacing w:after="120" w:before="280"/>
      </w:pPr>
      <w:r>
        <w:rPr>
          <w:b/>
          <w:i w:val="0"/>
          <w:color w:val="1C3A36"/>
          <w:sz w:val="30"/>
        </w:rPr>
        <w:t>3b · Corrections adopted at revisions 2 and 3 (external audits, re-audit, official index)</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520"/>
        <w:gridCol w:w="2808"/>
        <w:gridCol w:w="2880"/>
      </w:tblGrid>
      <w:tr>
        <w:tc>
          <w:tcPr>
            <w:tcW w:type="dxa" w:w="1944"/>
            <w:shd w:val="clear" w:color="auto" w:fill="EAF0EE"/>
          </w:tcPr>
          <w:p>
            <w:pPr>
              <w:spacing w:after="20"/>
            </w:pPr>
            <w:r>
              <w:rPr>
                <w:b/>
                <w:color w:val="1C3A36"/>
                <w:sz w:val="15"/>
              </w:rPr>
              <w:t>Item</w:t>
            </w:r>
          </w:p>
        </w:tc>
        <w:tc>
          <w:tcPr>
            <w:tcW w:type="dxa" w:w="2520"/>
            <w:shd w:val="clear" w:color="auto" w:fill="EAF0EE"/>
          </w:tcPr>
          <w:p>
            <w:pPr>
              <w:spacing w:after="20"/>
            </w:pPr>
            <w:r>
              <w:rPr>
                <w:b/>
                <w:color w:val="1C3A36"/>
                <w:sz w:val="15"/>
              </w:rPr>
              <w:t>First edition</w:t>
            </w:r>
          </w:p>
        </w:tc>
        <w:tc>
          <w:tcPr>
            <w:tcW w:type="dxa" w:w="2808"/>
            <w:shd w:val="clear" w:color="auto" w:fill="EAF0EE"/>
          </w:tcPr>
          <w:p>
            <w:pPr>
              <w:spacing w:after="20"/>
            </w:pPr>
            <w:r>
              <w:rPr>
                <w:b/>
                <w:color w:val="1C3A36"/>
                <w:sz w:val="15"/>
              </w:rPr>
              <w:t>Revision 2</w:t>
            </w:r>
          </w:p>
        </w:tc>
        <w:tc>
          <w:tcPr>
            <w:tcW w:type="dxa" w:w="2880"/>
            <w:shd w:val="clear" w:color="auto" w:fill="EAF0EE"/>
          </w:tcPr>
          <w:p>
            <w:pPr>
              <w:spacing w:after="20"/>
            </w:pPr>
            <w:r>
              <w:rPr>
                <w:b/>
                <w:color w:val="1C3A36"/>
                <w:sz w:val="15"/>
              </w:rPr>
              <w:t>Why</w:t>
            </w:r>
          </w:p>
        </w:tc>
      </w:tr>
      <w:tr>
        <w:tc>
          <w:tcPr>
            <w:tcW w:type="dxa" w:w="1944"/>
          </w:tcPr>
          <w:p>
            <w:pPr>
              <w:spacing w:after="20"/>
            </w:pPr>
            <w:r>
              <w:rPr>
                <w:color w:val="1C3A36"/>
                <w:sz w:val="15"/>
              </w:rPr>
              <w:t>Development backlog driver</w:t>
            </w:r>
          </w:p>
        </w:tc>
        <w:tc>
          <w:tcPr>
            <w:tcW w:type="dxa" w:w="2520"/>
          </w:tcPr>
          <w:p>
            <w:pPr>
              <w:spacing w:after="20"/>
              <w:jc w:val="right"/>
            </w:pPr>
            <w:r>
              <w:rPr>
                <w:color w:val="1C3A36"/>
                <w:sz w:val="15"/>
              </w:rPr>
              <w:t>42,600 (31-Dec-25)</w:t>
            </w:r>
          </w:p>
        </w:tc>
        <w:tc>
          <w:tcPr>
            <w:tcW w:type="dxa" w:w="2808"/>
          </w:tcPr>
          <w:p>
            <w:pPr>
              <w:spacing w:after="20"/>
              <w:jc w:val="right"/>
            </w:pPr>
            <w:r>
              <w:rPr>
                <w:color w:val="1C3A36"/>
                <w:sz w:val="15"/>
              </w:rPr>
              <w:t>62,130 (30-Jun-26, 65.4bn × 95%)</w:t>
            </w:r>
          </w:p>
        </w:tc>
        <w:tc>
          <w:tcPr>
            <w:tcW w:type="dxa" w:w="2880"/>
          </w:tcPr>
          <w:p>
            <w:pPr>
              <w:spacing w:after="20"/>
              <w:jc w:val="right"/>
            </w:pPr>
            <w:r>
              <w:rPr>
                <w:color w:val="1C3A36"/>
                <w:sz w:val="15"/>
              </w:rPr>
              <w:t>H1-2026 release superseded the anchor 11 days before publication</w:t>
            </w:r>
          </w:p>
        </w:tc>
      </w:tr>
      <w:tr>
        <w:tc>
          <w:tcPr>
            <w:tcW w:type="dxa" w:w="1944"/>
          </w:tcPr>
          <w:p>
            <w:pPr>
              <w:spacing w:after="20"/>
            </w:pPr>
            <w:r>
              <w:rPr>
                <w:color w:val="1C3A36"/>
                <w:sz w:val="15"/>
              </w:rPr>
              <w:t>FY2026 new development sales</w:t>
            </w:r>
          </w:p>
        </w:tc>
        <w:tc>
          <w:tcPr>
            <w:tcW w:type="dxa" w:w="2520"/>
          </w:tcPr>
          <w:p>
            <w:pPr>
              <w:spacing w:after="20"/>
              <w:jc w:val="right"/>
            </w:pPr>
            <w:r>
              <w:rPr>
                <w:color w:val="1C3A36"/>
                <w:sz w:val="15"/>
              </w:rPr>
              <w:t>26,000 assumed for the full year</w:t>
            </w:r>
          </w:p>
        </w:tc>
        <w:tc>
          <w:tcPr>
            <w:tcW w:type="dxa" w:w="2808"/>
          </w:tcPr>
          <w:p>
            <w:pPr>
              <w:spacing w:after="20"/>
              <w:jc w:val="right"/>
            </w:pPr>
            <w:r>
              <w:rPr>
                <w:color w:val="1C3A36"/>
                <w:sz w:val="15"/>
              </w:rPr>
              <w:t>AED 26bn H1 ACTUAL + 12bn H2 assumption</w:t>
            </w:r>
          </w:p>
        </w:tc>
        <w:tc>
          <w:tcPr>
            <w:tcW w:type="dxa" w:w="2880"/>
          </w:tcPr>
          <w:p>
            <w:pPr>
              <w:spacing w:after="20"/>
              <w:jc w:val="right"/>
            </w:pPr>
            <w:r>
              <w:rPr>
                <w:color w:val="1C3A36"/>
                <w:sz w:val="15"/>
              </w:rPr>
              <w:t>the assumption was already achieved in six months</w:t>
            </w:r>
          </w:p>
        </w:tc>
      </w:tr>
      <w:tr>
        <w:tc>
          <w:tcPr>
            <w:tcW w:type="dxa" w:w="1944"/>
          </w:tcPr>
          <w:p>
            <w:pPr>
              <w:spacing w:after="20"/>
            </w:pPr>
            <w:r>
              <w:rPr>
                <w:color w:val="1C3A36"/>
                <w:sz w:val="15"/>
              </w:rPr>
              <w:t>Bridge cash</w:t>
            </w:r>
          </w:p>
        </w:tc>
        <w:tc>
          <w:tcPr>
            <w:tcW w:type="dxa" w:w="2520"/>
          </w:tcPr>
          <w:p>
            <w:pPr>
              <w:spacing w:after="20"/>
              <w:jc w:val="right"/>
            </w:pPr>
            <w:r>
              <w:rPr>
                <w:color w:val="1C3A36"/>
                <w:sz w:val="15"/>
              </w:rPr>
              <w:t>gross 12,642 incl. ~4.0bn escrow</w:t>
            </w:r>
          </w:p>
        </w:tc>
        <w:tc>
          <w:tcPr>
            <w:tcW w:type="dxa" w:w="2808"/>
          </w:tcPr>
          <w:p>
            <w:pPr>
              <w:spacing w:after="20"/>
              <w:jc w:val="right"/>
            </w:pPr>
            <w:r>
              <w:rPr>
                <w:color w:val="1C3A36"/>
                <w:sz w:val="15"/>
              </w:rPr>
              <w:t>available 8,600 (disclosed)</w:t>
            </w:r>
          </w:p>
        </w:tc>
        <w:tc>
          <w:tcPr>
            <w:tcW w:type="dxa" w:w="2880"/>
          </w:tcPr>
          <w:p>
            <w:pPr>
              <w:spacing w:after="20"/>
              <w:jc w:val="right"/>
            </w:pPr>
            <w:r>
              <w:rPr>
                <w:color w:val="1C3A36"/>
                <w:sz w:val="15"/>
              </w:rPr>
              <w:t>escrow funds completion of the backlog being valued — double-count</w:t>
            </w:r>
          </w:p>
        </w:tc>
      </w:tr>
      <w:tr>
        <w:tc>
          <w:tcPr>
            <w:tcW w:type="dxa" w:w="1944"/>
          </w:tcPr>
          <w:p>
            <w:pPr>
              <w:spacing w:after="20"/>
            </w:pPr>
            <w:r>
              <w:rPr>
                <w:color w:val="1C3A36"/>
                <w:sz w:val="15"/>
              </w:rPr>
              <w:t>Bridge date</w:t>
            </w:r>
          </w:p>
        </w:tc>
        <w:tc>
          <w:tcPr>
            <w:tcW w:type="dxa" w:w="2520"/>
          </w:tcPr>
          <w:p>
            <w:pPr>
              <w:spacing w:after="20"/>
              <w:jc w:val="right"/>
            </w:pPr>
            <w:r>
              <w:rPr>
                <w:color w:val="1C3A36"/>
                <w:sz w:val="15"/>
              </w:rPr>
              <w:t>31-Dec-2025 rolled 219 days</w:t>
            </w:r>
          </w:p>
        </w:tc>
        <w:tc>
          <w:tcPr>
            <w:tcW w:type="dxa" w:w="2808"/>
          </w:tcPr>
          <w:p>
            <w:pPr>
              <w:spacing w:after="20"/>
              <w:jc w:val="right"/>
            </w:pPr>
            <w:r>
              <w:rPr>
                <w:color w:val="1C3A36"/>
                <w:sz w:val="15"/>
              </w:rPr>
              <w:t>30-Jun-2026 rolled 38 days</w:t>
            </w:r>
          </w:p>
        </w:tc>
        <w:tc>
          <w:tcPr>
            <w:tcW w:type="dxa" w:w="2880"/>
          </w:tcPr>
          <w:p>
            <w:pPr>
              <w:spacing w:after="20"/>
              <w:jc w:val="right"/>
            </w:pPr>
            <w:r>
              <w:rPr>
                <w:color w:val="1C3A36"/>
                <w:sz w:val="15"/>
              </w:rPr>
              <w:t>the balance sheet moved against the roll across that window</w:t>
            </w:r>
          </w:p>
        </w:tc>
      </w:tr>
      <w:tr>
        <w:tc>
          <w:tcPr>
            <w:tcW w:type="dxa" w:w="1944"/>
          </w:tcPr>
          <w:p>
            <w:pPr>
              <w:spacing w:after="20"/>
            </w:pPr>
            <w:r>
              <w:rPr>
                <w:color w:val="1C3A36"/>
                <w:sz w:val="15"/>
              </w:rPr>
              <w:t>Terminal debt weight</w:t>
            </w:r>
          </w:p>
        </w:tc>
        <w:tc>
          <w:tcPr>
            <w:tcW w:type="dxa" w:w="2520"/>
          </w:tcPr>
          <w:p>
            <w:pPr>
              <w:spacing w:after="20"/>
              <w:jc w:val="right"/>
            </w:pPr>
            <w:r>
              <w:rPr>
                <w:color w:val="1C3A36"/>
                <w:sz w:val="15"/>
              </w:rPr>
              <w:t>assumed 15%</w:t>
            </w:r>
          </w:p>
        </w:tc>
        <w:tc>
          <w:tcPr>
            <w:tcW w:type="dxa" w:w="2808"/>
          </w:tcPr>
          <w:p>
            <w:pPr>
              <w:spacing w:after="20"/>
              <w:jc w:val="right"/>
            </w:pPr>
            <w:r>
              <w:rPr>
                <w:color w:val="1C3A36"/>
                <w:sz w:val="15"/>
              </w:rPr>
              <w:t>derived from the model's own FY2030E (~8%)</w:t>
            </w:r>
          </w:p>
        </w:tc>
        <w:tc>
          <w:tcPr>
            <w:tcW w:type="dxa" w:w="2880"/>
          </w:tcPr>
          <w:p>
            <w:pPr>
              <w:spacing w:after="20"/>
              <w:jc w:val="right"/>
            </w:pPr>
            <w:r>
              <w:rPr>
                <w:color w:val="1C3A36"/>
                <w:sz w:val="15"/>
              </w:rPr>
              <w:t>internal coherence</w:t>
            </w:r>
          </w:p>
        </w:tc>
      </w:tr>
      <w:tr>
        <w:tc>
          <w:tcPr>
            <w:tcW w:type="dxa" w:w="1944"/>
          </w:tcPr>
          <w:p>
            <w:pPr>
              <w:spacing w:after="20"/>
            </w:pPr>
            <w:r>
              <w:rPr>
                <w:color w:val="1C3A36"/>
                <w:sz w:val="15"/>
              </w:rPr>
              <w:t>Working capital</w:t>
            </w:r>
          </w:p>
        </w:tc>
        <w:tc>
          <w:tcPr>
            <w:tcW w:type="dxa" w:w="2520"/>
          </w:tcPr>
          <w:p>
            <w:pPr>
              <w:spacing w:after="20"/>
              <w:jc w:val="right"/>
            </w:pPr>
            <w:r>
              <w:rPr>
                <w:color w:val="1C3A36"/>
                <w:sz w:val="15"/>
              </w:rPr>
              <w:t>assumed release schedule</w:t>
            </w:r>
          </w:p>
        </w:tc>
        <w:tc>
          <w:tcPr>
            <w:tcW w:type="dxa" w:w="2808"/>
          </w:tcPr>
          <w:p>
            <w:pPr>
              <w:spacing w:after="20"/>
              <w:jc w:val="right"/>
            </w:pPr>
            <w:r>
              <w:rPr>
                <w:color w:val="1C3A36"/>
                <w:sz w:val="15"/>
              </w:rPr>
              <w:t>component build (days/cover/land-bank), absorbing through FY2028</w:t>
            </w:r>
          </w:p>
        </w:tc>
        <w:tc>
          <w:tcPr>
            <w:tcW w:type="dxa" w:w="2880"/>
          </w:tcPr>
          <w:p>
            <w:pPr>
              <w:spacing w:after="20"/>
              <w:jc w:val="right"/>
            </w:pPr>
            <w:r>
              <w:rPr>
                <w:color w:val="1C3A36"/>
                <w:sz w:val="15"/>
              </w:rPr>
              <w:t>H1 actuals show absorption while growth runs</w:t>
            </w:r>
          </w:p>
        </w:tc>
      </w:tr>
      <w:tr>
        <w:tc>
          <w:tcPr>
            <w:tcW w:type="dxa" w:w="1944"/>
          </w:tcPr>
          <w:p>
            <w:pPr>
              <w:spacing w:after="20"/>
            </w:pPr>
            <w:r>
              <w:rPr>
                <w:color w:val="1C3A36"/>
                <w:sz w:val="15"/>
              </w:rPr>
              <w:t>D&amp;A driver</w:t>
            </w:r>
          </w:p>
        </w:tc>
        <w:tc>
          <w:tcPr>
            <w:tcW w:type="dxa" w:w="2520"/>
          </w:tcPr>
          <w:p>
            <w:pPr>
              <w:spacing w:after="20"/>
              <w:jc w:val="right"/>
            </w:pPr>
            <w:r>
              <w:rPr>
                <w:color w:val="1C3A36"/>
                <w:sz w:val="15"/>
              </w:rPr>
              <w:t>4.2% of revenue</w:t>
            </w:r>
          </w:p>
        </w:tc>
        <w:tc>
          <w:tcPr>
            <w:tcW w:type="dxa" w:w="2808"/>
          </w:tcPr>
          <w:p>
            <w:pPr>
              <w:spacing w:after="20"/>
              <w:jc w:val="right"/>
            </w:pPr>
            <w:r>
              <w:rPr>
                <w:color w:val="1C3A36"/>
                <w:sz w:val="15"/>
              </w:rPr>
              <w:t>3.4% on the average asset base</w:t>
            </w:r>
          </w:p>
        </w:tc>
        <w:tc>
          <w:tcPr>
            <w:tcW w:type="dxa" w:w="2880"/>
          </w:tcPr>
          <w:p>
            <w:pPr>
              <w:spacing w:after="20"/>
              <w:jc w:val="right"/>
            </w:pPr>
            <w:r>
              <w:rPr>
                <w:color w:val="1C3A36"/>
                <w:sz w:val="15"/>
              </w:rPr>
              <w:t>asset-base charge</w:t>
            </w:r>
          </w:p>
        </w:tc>
      </w:tr>
      <w:tr>
        <w:tc>
          <w:tcPr>
            <w:tcW w:type="dxa" w:w="1944"/>
          </w:tcPr>
          <w:p>
            <w:pPr>
              <w:spacing w:after="20"/>
            </w:pPr>
            <w:r>
              <w:rPr>
                <w:color w:val="1C3A36"/>
                <w:sz w:val="15"/>
              </w:rPr>
              <w:t>Beta</w:t>
            </w:r>
          </w:p>
        </w:tc>
        <w:tc>
          <w:tcPr>
            <w:tcW w:type="dxa" w:w="2520"/>
          </w:tcPr>
          <w:p>
            <w:pPr>
              <w:spacing w:after="20"/>
              <w:jc w:val="right"/>
            </w:pPr>
            <w:r>
              <w:rPr>
                <w:color w:val="1C3A36"/>
                <w:sz w:val="15"/>
              </w:rPr>
              <w:t>1.0 assumed (tier-3)</w:t>
            </w:r>
          </w:p>
        </w:tc>
        <w:tc>
          <w:tcPr>
            <w:tcW w:type="dxa" w:w="2808"/>
          </w:tcPr>
          <w:p>
            <w:pPr>
              <w:spacing w:after="20"/>
              <w:jc w:val="right"/>
            </w:pPr>
            <w:r>
              <w:rPr>
                <w:color w:val="1C3A36"/>
                <w:sz w:val="15"/>
              </w:rPr>
              <w:t>1.03 regressed vs panel proxy</w:t>
            </w:r>
          </w:p>
        </w:tc>
        <w:tc>
          <w:tcPr>
            <w:tcW w:type="dxa" w:w="2880"/>
          </w:tcPr>
          <w:p>
            <w:pPr>
              <w:spacing w:after="20"/>
              <w:jc w:val="right"/>
            </w:pPr>
            <w:r>
              <w:rPr>
                <w:color w:val="1C3A36"/>
                <w:sz w:val="15"/>
              </w:rPr>
              <w:t>evidence obtained</w:t>
            </w:r>
          </w:p>
        </w:tc>
      </w:tr>
      <w:tr>
        <w:tc>
          <w:tcPr>
            <w:tcW w:type="dxa" w:w="1944"/>
          </w:tcPr>
          <w:p>
            <w:pPr>
              <w:spacing w:after="20"/>
            </w:pPr>
            <w:r>
              <w:rPr>
                <w:color w:val="1C3A36"/>
                <w:sz w:val="15"/>
              </w:rPr>
              <w:t>Beta (revision 3)</w:t>
            </w:r>
          </w:p>
        </w:tc>
        <w:tc>
          <w:tcPr>
            <w:tcW w:type="dxa" w:w="2520"/>
          </w:tcPr>
          <w:p>
            <w:pPr>
              <w:spacing w:after="20"/>
              <w:jc w:val="right"/>
            </w:pPr>
            <w:r>
              <w:rPr>
                <w:color w:val="1C3A36"/>
                <w:sz w:val="15"/>
              </w:rPr>
              <w:t>1.03 vs a self-built composite of covered names</w:t>
            </w:r>
          </w:p>
        </w:tc>
        <w:tc>
          <w:tcPr>
            <w:tcW w:type="dxa" w:w="2808"/>
          </w:tcPr>
          <w:p>
            <w:pPr>
              <w:spacing w:after="20"/>
              <w:jc w:val="right"/>
            </w:pPr>
            <w:r>
              <w:rPr>
                <w:color w:val="1C3A36"/>
                <w:sz w:val="15"/>
              </w:rPr>
              <w:t>1.746 vs the exchange's published index, thin-trading corrected</w:t>
            </w:r>
          </w:p>
        </w:tc>
        <w:tc>
          <w:tcPr>
            <w:tcW w:type="dxa" w:w="2880"/>
          </w:tcPr>
          <w:p>
            <w:pPr>
              <w:spacing w:after="20"/>
              <w:jc w:val="right"/>
            </w:pPr>
            <w:r>
              <w:rPr>
                <w:color w:val="1C3A36"/>
                <w:sz w:val="15"/>
              </w:rPr>
              <w:t>the official index was obtained; a composite of covered names is a coverage artefact, not a market. Two separate corrections, both upward: the benchmark swap (+0.36, the index is less volatile than the composite) and the thin-trading correction (+0.35, 84.75% of the float is held by one entity)</w:t>
            </w:r>
          </w:p>
        </w:tc>
      </w:tr>
      <w:tr>
        <w:tc>
          <w:tcPr>
            <w:tcW w:type="dxa" w:w="1944"/>
          </w:tcPr>
          <w:p>
            <w:pPr>
              <w:spacing w:after="20"/>
            </w:pPr>
            <w:r>
              <w:rPr>
                <w:color w:val="1C3A36"/>
                <w:sz w:val="15"/>
              </w:rPr>
              <w:t>Peer table</w:t>
            </w:r>
          </w:p>
        </w:tc>
        <w:tc>
          <w:tcPr>
            <w:tcW w:type="dxa" w:w="2520"/>
          </w:tcPr>
          <w:p>
            <w:pPr>
              <w:spacing w:after="20"/>
              <w:jc w:val="right"/>
            </w:pPr>
            <w:r>
              <w:rPr>
                <w:color w:val="1C3A36"/>
                <w:sz w:val="15"/>
              </w:rPr>
              <w:t>mixed bases/vintages; multiples irreconcilable</w:t>
            </w:r>
          </w:p>
        </w:tc>
        <w:tc>
          <w:tcPr>
            <w:tcW w:type="dxa" w:w="2808"/>
          </w:tcPr>
          <w:p>
            <w:pPr>
              <w:spacing w:after="20"/>
              <w:jc w:val="right"/>
            </w:pPr>
            <w:r>
              <w:rPr>
                <w:color w:val="1C3A36"/>
                <w:sz w:val="15"/>
              </w:rPr>
              <w:t>one attributable basis, every multiple = printed numerator/denominator</w:t>
            </w:r>
          </w:p>
        </w:tc>
        <w:tc>
          <w:tcPr>
            <w:tcW w:type="dxa" w:w="2880"/>
          </w:tcPr>
          <w:p>
            <w:pPr>
              <w:spacing w:after="20"/>
              <w:jc w:val="right"/>
            </w:pPr>
            <w:r>
              <w:rPr>
                <w:color w:val="1C3A36"/>
                <w:sz w:val="15"/>
              </w:rPr>
              <w:t>Aldar backlog was the 9M-2025 vintage; Emaar Dev backlog was the parent's figure; Emaar NP was disclosed, not n/d</w:t>
            </w:r>
          </w:p>
        </w:tc>
      </w:tr>
      <w:tr>
        <w:tc>
          <w:tcPr>
            <w:tcW w:type="dxa" w:w="1944"/>
          </w:tcPr>
          <w:p>
            <w:pPr>
              <w:spacing w:after="20"/>
            </w:pPr>
            <w:r>
              <w:rPr>
                <w:color w:val="1C3A36"/>
                <w:sz w:val="15"/>
              </w:rPr>
              <w:t>Relative lens</w:t>
            </w:r>
          </w:p>
        </w:tc>
        <w:tc>
          <w:tcPr>
            <w:tcW w:type="dxa" w:w="2520"/>
          </w:tcPr>
          <w:p>
            <w:pPr>
              <w:spacing w:after="20"/>
              <w:jc w:val="right"/>
            </w:pPr>
            <w:r>
              <w:rPr>
                <w:color w:val="1C3A36"/>
                <w:sz w:val="15"/>
              </w:rPr>
              <w:t>silent average of two legs 43% apart</w:t>
            </w:r>
          </w:p>
        </w:tc>
        <w:tc>
          <w:tcPr>
            <w:tcW w:type="dxa" w:w="2808"/>
          </w:tcPr>
          <w:p>
            <w:pPr>
              <w:spacing w:after="20"/>
              <w:jc w:val="right"/>
            </w:pPr>
            <w:r>
              <w:rPr>
                <w:color w:val="1C3A36"/>
                <w:sz w:val="15"/>
              </w:rPr>
              <w:t>P/E leg only; EV/EBITDA a labelled unanchored cross-check</w:t>
            </w:r>
          </w:p>
        </w:tc>
        <w:tc>
          <w:tcPr>
            <w:tcW w:type="dxa" w:w="2880"/>
          </w:tcPr>
          <w:p>
            <w:pPr>
              <w:spacing w:after="20"/>
              <w:jc w:val="right"/>
            </w:pPr>
            <w:r>
              <w:rPr>
                <w:color w:val="1C3A36"/>
                <w:sz w:val="15"/>
              </w:rPr>
              <w:t>method disagreement was hidden</w:t>
            </w:r>
          </w:p>
        </w:tc>
      </w:tr>
      <w:tr>
        <w:tc>
          <w:tcPr>
            <w:tcW w:type="dxa" w:w="1944"/>
          </w:tcPr>
          <w:p>
            <w:pPr>
              <w:spacing w:after="20"/>
            </w:pPr>
            <w:r>
              <w:rPr>
                <w:color w:val="1C3A36"/>
                <w:sz w:val="15"/>
              </w:rPr>
              <w:t>NCI in the bridge</w:t>
            </w:r>
          </w:p>
        </w:tc>
        <w:tc>
          <w:tcPr>
            <w:tcW w:type="dxa" w:w="2520"/>
          </w:tcPr>
          <w:p>
            <w:pPr>
              <w:spacing w:after="20"/>
              <w:jc w:val="right"/>
            </w:pPr>
            <w:r>
              <w:rPr>
                <w:color w:val="1C3A36"/>
                <w:sz w:val="15"/>
              </w:rPr>
              <w:t>book 847</w:t>
            </w:r>
          </w:p>
        </w:tc>
        <w:tc>
          <w:tcPr>
            <w:tcW w:type="dxa" w:w="2808"/>
          </w:tcPr>
          <w:p>
            <w:pPr>
              <w:spacing w:after="20"/>
              <w:jc w:val="right"/>
            </w:pPr>
            <w:r>
              <w:rPr>
                <w:color w:val="1C3A36"/>
                <w:sz w:val="15"/>
              </w:rPr>
              <w:t>capitalised max(book, 2% of equity value)</w:t>
            </w:r>
          </w:p>
        </w:tc>
        <w:tc>
          <w:tcPr>
            <w:tcW w:type="dxa" w:w="2880"/>
          </w:tcPr>
          <w:p>
            <w:pPr>
              <w:spacing w:after="20"/>
              <w:jc w:val="right"/>
            </w:pPr>
            <w:r>
              <w:rPr>
                <w:color w:val="1C3A36"/>
                <w:sz w:val="15"/>
              </w:rPr>
              <w:t>consolidated premium implies NCI premium</w:t>
            </w:r>
          </w:p>
        </w:tc>
      </w:tr>
      <w:tr>
        <w:tc>
          <w:tcPr>
            <w:tcW w:type="dxa" w:w="1944"/>
          </w:tcPr>
          <w:p>
            <w:pPr>
              <w:spacing w:after="20"/>
            </w:pPr>
            <w:r>
              <w:rPr>
                <w:color w:val="1C3A36"/>
                <w:sz w:val="15"/>
              </w:rPr>
              <w:t>Expert 3 multiple</w:t>
            </w:r>
          </w:p>
        </w:tc>
        <w:tc>
          <w:tcPr>
            <w:tcW w:type="dxa" w:w="2520"/>
          </w:tcPr>
          <w:p>
            <w:pPr>
              <w:spacing w:after="20"/>
              <w:jc w:val="right"/>
            </w:pPr>
            <w:r>
              <w:rPr>
                <w:color w:val="1C3A36"/>
                <w:sz w:val="15"/>
              </w:rPr>
              <w:t>6.5x called the "centre"</w:t>
            </w:r>
          </w:p>
        </w:tc>
        <w:tc>
          <w:tcPr>
            <w:tcW w:type="dxa" w:w="2808"/>
          </w:tcPr>
          <w:p>
            <w:pPr>
              <w:spacing w:after="20"/>
              <w:jc w:val="right"/>
            </w:pPr>
            <w:r>
              <w:rPr>
                <w:color w:val="1C3A36"/>
                <w:sz w:val="15"/>
              </w:rPr>
              <w:t>6.2x = the stated mean</w:t>
            </w:r>
          </w:p>
        </w:tc>
        <w:tc>
          <w:tcPr>
            <w:tcW w:type="dxa" w:w="2880"/>
          </w:tcPr>
          <w:p>
            <w:pPr>
              <w:spacing w:after="20"/>
              <w:jc w:val="right"/>
            </w:pPr>
            <w:r>
              <w:rPr>
                <w:color w:val="1C3A36"/>
                <w:sz w:val="15"/>
              </w:rPr>
              <w:t>the statistic now matches its label</w:t>
            </w:r>
          </w:p>
        </w:tc>
      </w:tr>
      <w:tr>
        <w:tc>
          <w:tcPr>
            <w:tcW w:type="dxa" w:w="1944"/>
          </w:tcPr>
          <w:p>
            <w:pPr>
              <w:spacing w:after="20"/>
            </w:pPr>
            <w:r>
              <w:rPr>
                <w:color w:val="1C3A36"/>
                <w:sz w:val="15"/>
              </w:rPr>
              <w:t>Expert 1 land mark-up</w:t>
            </w:r>
          </w:p>
        </w:tc>
        <w:tc>
          <w:tcPr>
            <w:tcW w:type="dxa" w:w="2520"/>
          </w:tcPr>
          <w:p>
            <w:pPr>
              <w:spacing w:after="20"/>
              <w:jc w:val="right"/>
            </w:pPr>
            <w:r>
              <w:rPr>
                <w:color w:val="1C3A36"/>
                <w:sz w:val="15"/>
              </w:rPr>
              <w:t>35% called "half of 67%"</w:t>
            </w:r>
          </w:p>
        </w:tc>
        <w:tc>
          <w:tcPr>
            <w:tcW w:type="dxa" w:w="2808"/>
          </w:tcPr>
          <w:p>
            <w:pPr>
              <w:spacing w:after="20"/>
              <w:jc w:val="right"/>
            </w:pPr>
            <w:r>
              <w:rPr>
                <w:color w:val="1C3A36"/>
                <w:sz w:val="15"/>
              </w:rPr>
              <w:t>33.7% = exactly half</w:t>
            </w:r>
          </w:p>
        </w:tc>
        <w:tc>
          <w:tcPr>
            <w:tcW w:type="dxa" w:w="2880"/>
          </w:tcPr>
          <w:p>
            <w:pPr>
              <w:spacing w:after="20"/>
              <w:jc w:val="right"/>
            </w:pPr>
            <w:r>
              <w:rPr>
                <w:color w:val="1C3A36"/>
                <w:sz w:val="15"/>
              </w:rPr>
              <w:t>wording-number mismatch (self-found)</w:t>
            </w:r>
          </w:p>
        </w:tc>
      </w:tr>
      <w:tr>
        <w:tc>
          <w:tcPr>
            <w:tcW w:type="dxa" w:w="1944"/>
          </w:tcPr>
          <w:p>
            <w:pPr>
              <w:spacing w:after="20"/>
            </w:pPr>
            <w:r>
              <w:rPr>
                <w:color w:val="1C3A36"/>
                <w:sz w:val="15"/>
              </w:rPr>
              <w:t>Sensitivity grid</w:t>
            </w:r>
          </w:p>
        </w:tc>
        <w:tc>
          <w:tcPr>
            <w:tcW w:type="dxa" w:w="2520"/>
          </w:tcPr>
          <w:p>
            <w:pPr>
              <w:spacing w:after="20"/>
              <w:jc w:val="right"/>
            </w:pPr>
            <w:r>
              <w:rPr>
                <w:color w:val="1C3A36"/>
                <w:sz w:val="15"/>
              </w:rPr>
              <w:t>centre cell ≠ base case</w:t>
            </w:r>
          </w:p>
        </w:tc>
        <w:tc>
          <w:tcPr>
            <w:tcW w:type="dxa" w:w="2808"/>
          </w:tcPr>
          <w:p>
            <w:pPr>
              <w:spacing w:after="20"/>
              <w:jc w:val="right"/>
            </w:pPr>
            <w:r>
              <w:rPr>
                <w:color w:val="1C3A36"/>
                <w:sz w:val="15"/>
              </w:rPr>
              <w:t>rebuilt; centre = base</w:t>
            </w:r>
          </w:p>
        </w:tc>
        <w:tc>
          <w:tcPr>
            <w:tcW w:type="dxa" w:w="2880"/>
          </w:tcPr>
          <w:p>
            <w:pPr>
              <w:spacing w:after="20"/>
              <w:jc w:val="right"/>
            </w:pPr>
            <w:r>
              <w:rPr>
                <w:color w:val="1C3A36"/>
                <w:sz w:val="15"/>
              </w:rPr>
              <w:t>convention mismatch between grid and base</w:t>
            </w:r>
          </w:p>
        </w:tc>
      </w:tr>
      <w:tr>
        <w:tc>
          <w:tcPr>
            <w:tcW w:type="dxa" w:w="1944"/>
          </w:tcPr>
          <w:p>
            <w:pPr>
              <w:spacing w:after="20"/>
            </w:pPr>
            <w:r>
              <w:rPr>
                <w:color w:val="1C3A36"/>
                <w:sz w:val="15"/>
              </w:rPr>
              <w:t>Prose corrections</w:t>
            </w:r>
          </w:p>
        </w:tc>
        <w:tc>
          <w:tcPr>
            <w:tcW w:type="dxa" w:w="2520"/>
          </w:tcPr>
          <w:p>
            <w:pPr>
              <w:spacing w:after="20"/>
              <w:jc w:val="right"/>
            </w:pPr>
            <w:r>
              <w:rPr>
                <w:color w:val="1C3A36"/>
                <w:sz w:val="15"/>
              </w:rPr>
              <w:t>"worth about AED 1/sh" (WC); "roughly halves" (terminal); "just below the resistance"; MACD at 2dp; conversion-direction caption</w:t>
            </w:r>
          </w:p>
        </w:tc>
        <w:tc>
          <w:tcPr>
            <w:tcW w:type="dxa" w:w="2808"/>
          </w:tcPr>
          <w:p>
            <w:pPr>
              <w:spacing w:after="20"/>
              <w:jc w:val="right"/>
            </w:pPr>
            <w:r>
              <w:rPr>
                <w:color w:val="1C3A36"/>
                <w:sz w:val="15"/>
              </w:rPr>
              <w:t>each restated with the computed number</w:t>
            </w:r>
          </w:p>
        </w:tc>
        <w:tc>
          <w:tcPr>
            <w:tcW w:type="dxa" w:w="2880"/>
          </w:tcPr>
          <w:p>
            <w:pPr>
              <w:spacing w:after="20"/>
              <w:jc w:val="right"/>
            </w:pPr>
            <w:r>
              <w:rPr>
                <w:color w:val="1C3A36"/>
                <w:sz w:val="15"/>
              </w:rPr>
              <w:t>audit findings, all verified</w:t>
            </w:r>
          </w:p>
        </w:tc>
      </w:tr>
    </w:tbl>
    <w:p>
      <w:pPr>
        <w:spacing w:after="40"/>
      </w:pPr>
    </w:p>
    <w:p>
      <w:pPr>
        <w:spacing w:after="120" w:before="280"/>
      </w:pPr>
      <w:r>
        <w:rPr>
          <w:b/>
          <w:i w:val="0"/>
          <w:color w:val="1C3A36"/>
          <w:sz w:val="30"/>
        </w:rPr>
        <w:t>4 · Aggregator-discrepancy notes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096"/>
        <w:gridCol w:w="2808"/>
        <w:gridCol w:w="2232"/>
      </w:tblGrid>
      <w:tr>
        <w:tc>
          <w:tcPr>
            <w:tcW w:type="dxa" w:w="1872"/>
            <w:shd w:val="clear" w:color="auto" w:fill="EAF0EE"/>
          </w:tcPr>
          <w:p>
            <w:pPr>
              <w:spacing w:after="20"/>
            </w:pPr>
            <w:r>
              <w:rPr>
                <w:b/>
                <w:color w:val="1C3A36"/>
                <w:sz w:val="16"/>
              </w:rPr>
              <w:t>Item</w:t>
            </w:r>
          </w:p>
        </w:tc>
        <w:tc>
          <w:tcPr>
            <w:tcW w:type="dxa" w:w="3096"/>
            <w:shd w:val="clear" w:color="auto" w:fill="EAF0EE"/>
          </w:tcPr>
          <w:p>
            <w:pPr>
              <w:spacing w:after="20"/>
            </w:pPr>
            <w:r>
              <w:rPr>
                <w:b/>
                <w:color w:val="1C3A36"/>
                <w:sz w:val="16"/>
              </w:rPr>
              <w:t>Primary figure</w:t>
            </w:r>
          </w:p>
        </w:tc>
        <w:tc>
          <w:tcPr>
            <w:tcW w:type="dxa" w:w="2808"/>
            <w:shd w:val="clear" w:color="auto" w:fill="EAF0EE"/>
          </w:tcPr>
          <w:p>
            <w:pPr>
              <w:spacing w:after="20"/>
            </w:pPr>
            <w:r>
              <w:rPr>
                <w:b/>
                <w:color w:val="1C3A36"/>
                <w:sz w:val="16"/>
              </w:rPr>
              <w:t>Aggregator figure</w:t>
            </w:r>
          </w:p>
        </w:tc>
        <w:tc>
          <w:tcPr>
            <w:tcW w:type="dxa" w:w="2232"/>
            <w:shd w:val="clear" w:color="auto" w:fill="EAF0EE"/>
          </w:tcPr>
          <w:p>
            <w:pPr>
              <w:spacing w:after="20"/>
            </w:pPr>
            <w:r>
              <w:rPr>
                <w:b/>
                <w:color w:val="1C3A36"/>
                <w:sz w:val="16"/>
              </w:rPr>
              <w:t>Resolution</w:t>
            </w:r>
          </w:p>
        </w:tc>
      </w:tr>
      <w:tr>
        <w:tc>
          <w:tcPr>
            <w:tcW w:type="dxa" w:w="1872"/>
          </w:tcPr>
          <w:p>
            <w:pPr>
              <w:spacing w:after="20"/>
            </w:pPr>
            <w:r>
              <w:rPr>
                <w:color w:val="1C3A36"/>
                <w:sz w:val="16"/>
              </w:rPr>
              <w:t>MODON trailing P/E</w:t>
            </w:r>
          </w:p>
        </w:tc>
        <w:tc>
          <w:tcPr>
            <w:tcW w:type="dxa" w:w="3096"/>
          </w:tcPr>
          <w:p>
            <w:pPr>
              <w:spacing w:after="20"/>
              <w:jc w:val="right"/>
            </w:pPr>
            <w:r>
              <w:rPr>
                <w:color w:val="1C3A36"/>
                <w:sz w:val="16"/>
              </w:rPr>
              <w:t>computed 11.78x (46,262/3,926, group profit basis)</w:t>
            </w:r>
          </w:p>
        </w:tc>
        <w:tc>
          <w:tcPr>
            <w:tcW w:type="dxa" w:w="2808"/>
          </w:tcPr>
          <w:p>
            <w:pPr>
              <w:spacing w:after="20"/>
              <w:jc w:val="right"/>
            </w:pPr>
            <w:r>
              <w:rPr>
                <w:color w:val="1C3A36"/>
                <w:sz w:val="16"/>
              </w:rPr>
              <w:t>stockanalysis.com shows 11.33x (attributable basis)</w:t>
            </w:r>
          </w:p>
        </w:tc>
        <w:tc>
          <w:tcPr>
            <w:tcW w:type="dxa" w:w="2232"/>
          </w:tcPr>
          <w:p>
            <w:pPr>
              <w:spacing w:after="20"/>
              <w:jc w:val="right"/>
            </w:pPr>
            <w:r>
              <w:rPr>
                <w:color w:val="1C3A36"/>
                <w:sz w:val="16"/>
              </w:rPr>
              <w:t>both stated; the study quotes its own computed basis and labels it</w:t>
            </w:r>
          </w:p>
        </w:tc>
      </w:tr>
      <w:tr>
        <w:tc>
          <w:tcPr>
            <w:tcW w:type="dxa" w:w="1872"/>
          </w:tcPr>
          <w:p>
            <w:pPr>
              <w:spacing w:after="20"/>
            </w:pPr>
            <w:r>
              <w:rPr>
                <w:color w:val="1C3A36"/>
                <w:sz w:val="16"/>
              </w:rPr>
              <w:t>FY2024 net profit</w:t>
            </w:r>
          </w:p>
        </w:tc>
        <w:tc>
          <w:tcPr>
            <w:tcW w:type="dxa" w:w="3096"/>
          </w:tcPr>
          <w:p>
            <w:pPr>
              <w:spacing w:after="20"/>
              <w:jc w:val="right"/>
            </w:pPr>
            <w:r>
              <w:rPr>
                <w:color w:val="1C3A36"/>
                <w:sz w:val="16"/>
              </w:rPr>
              <w:t>AED 9,389mn as reported (incl. AED 9,192mn bargain gain)</w:t>
            </w:r>
          </w:p>
        </w:tc>
        <w:tc>
          <w:tcPr>
            <w:tcW w:type="dxa" w:w="2808"/>
          </w:tcPr>
          <w:p>
            <w:pPr>
              <w:spacing w:after="20"/>
              <w:jc w:val="right"/>
            </w:pPr>
            <w:r>
              <w:rPr>
                <w:color w:val="1C3A36"/>
                <w:sz w:val="16"/>
              </w:rPr>
              <w:t>some feeds show ~AED 197mn ("adjusted")</w:t>
            </w:r>
          </w:p>
        </w:tc>
        <w:tc>
          <w:tcPr>
            <w:tcW w:type="dxa" w:w="2232"/>
          </w:tcPr>
          <w:p>
            <w:pPr>
              <w:spacing w:after="20"/>
              <w:jc w:val="right"/>
            </w:pPr>
            <w:r>
              <w:rPr>
                <w:color w:val="1C3A36"/>
                <w:sz w:val="16"/>
              </w:rPr>
              <w:t>both framings carried throughout (dual-framed)</w:t>
            </w:r>
          </w:p>
        </w:tc>
      </w:tr>
      <w:tr>
        <w:tc>
          <w:tcPr>
            <w:tcW w:type="dxa" w:w="1872"/>
          </w:tcPr>
          <w:p>
            <w:pPr>
              <w:spacing w:after="20"/>
            </w:pPr>
            <w:r>
              <w:rPr>
                <w:color w:val="1C3A36"/>
                <w:sz w:val="16"/>
              </w:rPr>
              <w:t>Shares outstanding</w:t>
            </w:r>
          </w:p>
        </w:tc>
        <w:tc>
          <w:tcPr>
            <w:tcW w:type="dxa" w:w="3096"/>
          </w:tcPr>
          <w:p>
            <w:pPr>
              <w:spacing w:after="20"/>
              <w:jc w:val="right"/>
            </w:pPr>
            <w:r>
              <w:rPr>
                <w:color w:val="1C3A36"/>
                <w:sz w:val="16"/>
              </w:rPr>
              <w:t>16,347,080 thousand (note 23)</w:t>
            </w:r>
          </w:p>
        </w:tc>
        <w:tc>
          <w:tcPr>
            <w:tcW w:type="dxa" w:w="2808"/>
          </w:tcPr>
          <w:p>
            <w:pPr>
              <w:spacing w:after="20"/>
              <w:jc w:val="right"/>
            </w:pPr>
            <w:r>
              <w:rPr>
                <w:color w:val="1C3A36"/>
                <w:sz w:val="16"/>
              </w:rPr>
              <w:t>16.35bn (rounded)</w:t>
            </w:r>
          </w:p>
        </w:tc>
        <w:tc>
          <w:tcPr>
            <w:tcW w:type="dxa" w:w="2232"/>
          </w:tcPr>
          <w:p>
            <w:pPr>
              <w:spacing w:after="20"/>
              <w:jc w:val="right"/>
            </w:pPr>
            <w:r>
              <w:rPr>
                <w:color w:val="1C3A36"/>
                <w:sz w:val="16"/>
              </w:rPr>
              <w:t>note 23 figure used everywhere</w:t>
            </w:r>
          </w:p>
        </w:tc>
      </w:tr>
      <w:tr>
        <w:tc>
          <w:tcPr>
            <w:tcW w:type="dxa" w:w="1872"/>
          </w:tcPr>
          <w:p>
            <w:pPr>
              <w:spacing w:after="20"/>
            </w:pPr>
            <w:r>
              <w:rPr>
                <w:color w:val="1C3A36"/>
                <w:sz w:val="16"/>
              </w:rPr>
              <w:t>EIBOR</w:t>
            </w:r>
          </w:p>
        </w:tc>
        <w:tc>
          <w:tcPr>
            <w:tcW w:type="dxa" w:w="3096"/>
          </w:tcPr>
          <w:p>
            <w:pPr>
              <w:spacing w:after="20"/>
              <w:jc w:val="right"/>
            </w:pPr>
            <w:r>
              <w:rPr>
                <w:color w:val="1C3A36"/>
                <w:sz w:val="16"/>
              </w:rPr>
              <w:t>CBUAE official page unreachable (403) this session</w:t>
            </w:r>
          </w:p>
        </w:tc>
        <w:tc>
          <w:tcPr>
            <w:tcW w:type="dxa" w:w="2808"/>
          </w:tcPr>
          <w:p>
            <w:pPr>
              <w:spacing w:after="20"/>
              <w:jc w:val="right"/>
            </w:pPr>
            <w:r>
              <w:rPr>
                <w:color w:val="1C3A36"/>
                <w:sz w:val="16"/>
              </w:rPr>
              <w:t>mirrors quote 3M 3.66% / 6M 3.71% (31-Mar-2026 set)</w:t>
            </w:r>
          </w:p>
        </w:tc>
        <w:tc>
          <w:tcPr>
            <w:tcW w:type="dxa" w:w="2232"/>
          </w:tcPr>
          <w:p>
            <w:pPr>
              <w:spacing w:after="20"/>
              <w:jc w:val="right"/>
            </w:pPr>
            <w:r>
              <w:rPr>
                <w:color w:val="1C3A36"/>
                <w:sz w:val="16"/>
              </w:rPr>
              <w:t>mirror figures used, dated, and flagged as secondary</w:t>
            </w:r>
          </w:p>
        </w:tc>
      </w:tr>
    </w:tbl>
    <w:p>
      <w:pPr>
        <w:spacing w:after="40"/>
      </w:pPr>
    </w:p>
    <w:p>
      <w:pPr>
        <w:spacing w:after="120" w:before="280"/>
      </w:pPr>
      <w:r>
        <w:rPr>
          <w:b/>
          <w:i w:val="0"/>
          <w:color w:val="1C3A36"/>
          <w:sz w:val="30"/>
        </w:rPr>
        <w:t>5 · The full input register</w:t>
      </w:r>
    </w:p>
    <w:p>
      <w:pPr>
        <w:spacing w:after="120" w:before="0"/>
      </w:pPr>
      <w:r>
        <w:rPr>
          <w:b w:val="0"/>
          <w:i w:val="0"/>
          <w:color w:val="1C3A36"/>
          <w:sz w:val="19"/>
        </w:rPr>
        <w:t>Every input the model consumes — 215 entries — with value, source and date, grouped by research layer. Values are AED million unless the label says otherwise.</w:t>
      </w:r>
    </w:p>
    <w:p>
      <w:pPr>
        <w:spacing w:after="80" w:before="200"/>
      </w:pPr>
      <w:r>
        <w:rPr>
          <w:b/>
          <w:i w:val="0"/>
          <w:color w:val="1C3A36"/>
          <w:sz w:val="24"/>
        </w:rPr>
        <w:t>Market layer — 1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1656"/>
        <w:gridCol w:w="5616"/>
        <w:gridCol w:w="1080"/>
      </w:tblGrid>
      <w:tr>
        <w:tc>
          <w:tcPr>
            <w:tcW w:type="dxa" w:w="1800"/>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616"/>
            <w:shd w:val="clear" w:color="auto" w:fill="EAF0EE"/>
          </w:tcPr>
          <w:p>
            <w:pPr>
              <w:spacing w:after="20"/>
            </w:pPr>
            <w:r>
              <w:rPr>
                <w:b/>
                <w:color w:val="1C3A36"/>
                <w:sz w:val="14"/>
              </w:rPr>
              <w:t>Source</w:t>
            </w:r>
          </w:p>
        </w:tc>
        <w:tc>
          <w:tcPr>
            <w:tcW w:type="dxa" w:w="1080"/>
            <w:shd w:val="clear" w:color="auto" w:fill="EAF0EE"/>
          </w:tcPr>
          <w:p>
            <w:pPr>
              <w:spacing w:after="20"/>
            </w:pPr>
            <w:r>
              <w:rPr>
                <w:b/>
                <w:color w:val="1C3A36"/>
                <w:sz w:val="14"/>
              </w:rPr>
              <w:t>Date</w:t>
            </w:r>
          </w:p>
        </w:tc>
      </w:tr>
      <w:tr>
        <w:tc>
          <w:tcPr>
            <w:tcW w:type="dxa" w:w="1800"/>
          </w:tcPr>
          <w:p>
            <w:pPr>
              <w:spacing w:after="20"/>
            </w:pPr>
            <w:r>
              <w:rPr>
                <w:color w:val="1C3A36"/>
                <w:sz w:val="14"/>
              </w:rPr>
              <w:t>spot</w:t>
            </w:r>
          </w:p>
        </w:tc>
        <w:tc>
          <w:tcPr>
            <w:tcW w:type="dxa" w:w="1656"/>
          </w:tcPr>
          <w:p>
            <w:pPr>
              <w:spacing w:after="20"/>
              <w:jc w:val="right"/>
            </w:pPr>
            <w:r>
              <w:rPr>
                <w:color w:val="1C3A36"/>
                <w:sz w:val="14"/>
              </w:rPr>
              <w:t>2.83</w:t>
            </w:r>
          </w:p>
        </w:tc>
        <w:tc>
          <w:tcPr>
            <w:tcW w:type="dxa" w:w="5616"/>
          </w:tcPr>
          <w:p>
            <w:pPr>
              <w:spacing w:after="20"/>
              <w:jc w:val="right"/>
            </w:pPr>
            <w:r>
              <w:rPr>
                <w:color w:val="1C3A36"/>
                <w:sz w:val="14"/>
              </w:rPr>
              <w:t>Uploaded ADX daily price history, last close</w:t>
            </w:r>
          </w:p>
        </w:tc>
        <w:tc>
          <w:tcPr>
            <w:tcW w:type="dxa" w:w="1080"/>
          </w:tcPr>
          <w:p>
            <w:pPr>
              <w:spacing w:after="20"/>
              <w:jc w:val="right"/>
            </w:pPr>
            <w:r>
              <w:rPr>
                <w:color w:val="1C3A36"/>
                <w:sz w:val="14"/>
              </w:rPr>
              <w:t>2026-08-07</w:t>
            </w:r>
          </w:p>
        </w:tc>
      </w:tr>
    </w:tbl>
    <w:p>
      <w:pPr>
        <w:spacing w:after="40"/>
      </w:pPr>
    </w:p>
    <w:p>
      <w:pPr>
        <w:spacing w:after="80" w:before="200"/>
      </w:pPr>
      <w:r>
        <w:rPr>
          <w:b/>
          <w:i w:val="0"/>
          <w:color w:val="1C3A36"/>
          <w:sz w:val="24"/>
        </w:rPr>
        <w:t>Company layer — 153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1656"/>
        <w:gridCol w:w="5616"/>
        <w:gridCol w:w="1080"/>
      </w:tblGrid>
      <w:tr>
        <w:tc>
          <w:tcPr>
            <w:tcW w:type="dxa" w:w="1800"/>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616"/>
            <w:shd w:val="clear" w:color="auto" w:fill="EAF0EE"/>
          </w:tcPr>
          <w:p>
            <w:pPr>
              <w:spacing w:after="20"/>
            </w:pPr>
            <w:r>
              <w:rPr>
                <w:b/>
                <w:color w:val="1C3A36"/>
                <w:sz w:val="14"/>
              </w:rPr>
              <w:t>Source</w:t>
            </w:r>
          </w:p>
        </w:tc>
        <w:tc>
          <w:tcPr>
            <w:tcW w:type="dxa" w:w="1080"/>
            <w:shd w:val="clear" w:color="auto" w:fill="EAF0EE"/>
          </w:tcPr>
          <w:p>
            <w:pPr>
              <w:spacing w:after="20"/>
            </w:pPr>
            <w:r>
              <w:rPr>
                <w:b/>
                <w:color w:val="1C3A36"/>
                <w:sz w:val="14"/>
              </w:rPr>
              <w:t>Date</w:t>
            </w:r>
          </w:p>
        </w:tc>
      </w:tr>
      <w:tr>
        <w:tc>
          <w:tcPr>
            <w:tcW w:type="dxa" w:w="1800"/>
          </w:tcPr>
          <w:p>
            <w:pPr>
              <w:spacing w:after="20"/>
            </w:pPr>
            <w:r>
              <w:rPr>
                <w:color w:val="1C3A36"/>
                <w:sz w:val="14"/>
              </w:rPr>
              <w:t>shares_mn</w:t>
            </w:r>
          </w:p>
        </w:tc>
        <w:tc>
          <w:tcPr>
            <w:tcW w:type="dxa" w:w="1656"/>
          </w:tcPr>
          <w:p>
            <w:pPr>
              <w:spacing w:after="20"/>
              <w:jc w:val="right"/>
            </w:pPr>
            <w:r>
              <w:rPr>
                <w:color w:val="1C3A36"/>
                <w:sz w:val="14"/>
              </w:rPr>
              <w:t>16,347.08</w:t>
            </w:r>
          </w:p>
        </w:tc>
        <w:tc>
          <w:tcPr>
            <w:tcW w:type="dxa" w:w="5616"/>
          </w:tcPr>
          <w:p>
            <w:pPr>
              <w:spacing w:after="20"/>
              <w:jc w:val="right"/>
            </w:pPr>
            <w:r>
              <w:rPr>
                <w:color w:val="1C3A36"/>
                <w:sz w:val="14"/>
              </w:rPr>
              <w:t>Share capital note 23: 16,347,080 thousand shares of AED 1 each,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limad_stake</w:t>
            </w:r>
          </w:p>
        </w:tc>
        <w:tc>
          <w:tcPr>
            <w:tcW w:type="dxa" w:w="1656"/>
          </w:tcPr>
          <w:p>
            <w:pPr>
              <w:spacing w:after="20"/>
              <w:jc w:val="right"/>
            </w:pPr>
            <w:r>
              <w:rPr>
                <w:color w:val="1C3A36"/>
                <w:sz w:val="14"/>
              </w:rPr>
              <w:t>0.8475</w:t>
            </w:r>
          </w:p>
        </w:tc>
        <w:tc>
          <w:tcPr>
            <w:tcW w:type="dxa" w:w="5616"/>
          </w:tcPr>
          <w:p>
            <w:pPr>
              <w:spacing w:after="20"/>
              <w:jc w:val="right"/>
            </w:pPr>
            <w:r>
              <w:rPr>
                <w:color w:val="1C3A36"/>
                <w:sz w:val="14"/>
              </w:rPr>
              <w:t>L'imad Holding Company PJSC's holding, computed from the disclosed share count; the FY2025 results release rounds the same holding to 84.76% and both readings are published rather than one chosen.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limad_stake_rounded</w:t>
            </w:r>
          </w:p>
        </w:tc>
        <w:tc>
          <w:tcPr>
            <w:tcW w:type="dxa" w:w="1656"/>
          </w:tcPr>
          <w:p>
            <w:pPr>
              <w:spacing w:after="20"/>
              <w:jc w:val="right"/>
            </w:pPr>
            <w:r>
              <w:rPr>
                <w:color w:val="1C3A36"/>
                <w:sz w:val="14"/>
              </w:rPr>
              <w:t>0.8476</w:t>
            </w:r>
          </w:p>
        </w:tc>
        <w:tc>
          <w:tcPr>
            <w:tcW w:type="dxa" w:w="5616"/>
          </w:tcPr>
          <w:p>
            <w:pPr>
              <w:spacing w:after="20"/>
              <w:jc w:val="right"/>
            </w:pPr>
            <w:r>
              <w:rPr>
                <w:color w:val="1C3A36"/>
                <w:sz w:val="14"/>
              </w:rPr>
              <w:t>the same holding as the company announcement rounds it, published beside the computed figure rather than instead of it.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rev_fy23</w:t>
            </w:r>
          </w:p>
        </w:tc>
        <w:tc>
          <w:tcPr>
            <w:tcW w:type="dxa" w:w="1656"/>
          </w:tcPr>
          <w:p>
            <w:pPr>
              <w:spacing w:after="20"/>
              <w:jc w:val="right"/>
            </w:pPr>
            <w:r>
              <w:rPr>
                <w:color w:val="1C3A36"/>
                <w:sz w:val="14"/>
              </w:rPr>
              <w:t>994.293</w:t>
            </w:r>
          </w:p>
        </w:tc>
        <w:tc>
          <w:tcPr>
            <w:tcW w:type="dxa" w:w="5616"/>
          </w:tcPr>
          <w:p>
            <w:pPr>
              <w:spacing w:after="20"/>
              <w:jc w:val="right"/>
            </w:pPr>
            <w:r>
              <w:rPr>
                <w:color w:val="1C3A36"/>
                <w:sz w:val="14"/>
              </w:rPr>
              <w:t>Consolidated statement of profit or loss (revenue from contracts 473.338 + rental 409.058 + dividends 111.897), Audited consolidated financial statements FY2023, Q Holding PSC, modon.com investor relations</w:t>
            </w:r>
          </w:p>
        </w:tc>
        <w:tc>
          <w:tcPr>
            <w:tcW w:type="dxa" w:w="1080"/>
          </w:tcPr>
          <w:p>
            <w:pPr>
              <w:spacing w:after="20"/>
              <w:jc w:val="right"/>
            </w:pPr>
            <w:r>
              <w:rPr>
                <w:color w:val="1C3A36"/>
                <w:sz w:val="14"/>
              </w:rPr>
              <w:t>2024-02-15</w:t>
            </w:r>
          </w:p>
        </w:tc>
      </w:tr>
      <w:tr>
        <w:tc>
          <w:tcPr>
            <w:tcW w:type="dxa" w:w="1800"/>
          </w:tcPr>
          <w:p>
            <w:pPr>
              <w:spacing w:after="20"/>
            </w:pPr>
            <w:r>
              <w:rPr>
                <w:color w:val="1C3A36"/>
                <w:sz w:val="14"/>
              </w:rPr>
              <w:t>rev_fy24</w:t>
            </w:r>
          </w:p>
        </w:tc>
        <w:tc>
          <w:tcPr>
            <w:tcW w:type="dxa" w:w="1656"/>
          </w:tcPr>
          <w:p>
            <w:pPr>
              <w:spacing w:after="20"/>
              <w:jc w:val="right"/>
            </w:pPr>
            <w:r>
              <w:rPr>
                <w:color w:val="1C3A36"/>
                <w:sz w:val="14"/>
              </w:rPr>
              <w:t>6,511.182</w:t>
            </w:r>
          </w:p>
        </w:tc>
        <w:tc>
          <w:tcPr>
            <w:tcW w:type="dxa" w:w="5616"/>
          </w:tcPr>
          <w:p>
            <w:pPr>
              <w:spacing w:after="20"/>
              <w:jc w:val="right"/>
            </w:pPr>
            <w:r>
              <w:rPr>
                <w:color w:val="1C3A36"/>
                <w:sz w:val="14"/>
              </w:rPr>
              <w:t>Consolidated statement of profit or loss,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rev_fy25</w:t>
            </w:r>
          </w:p>
        </w:tc>
        <w:tc>
          <w:tcPr>
            <w:tcW w:type="dxa" w:w="1656"/>
          </w:tcPr>
          <w:p>
            <w:pPr>
              <w:spacing w:after="20"/>
              <w:jc w:val="right"/>
            </w:pPr>
            <w:r>
              <w:rPr>
                <w:color w:val="1C3A36"/>
                <w:sz w:val="14"/>
              </w:rPr>
              <w:t>13,828.869</w:t>
            </w:r>
          </w:p>
        </w:tc>
        <w:tc>
          <w:tcPr>
            <w:tcW w:type="dxa" w:w="5616"/>
          </w:tcPr>
          <w:p>
            <w:pPr>
              <w:spacing w:after="20"/>
              <w:jc w:val="right"/>
            </w:pPr>
            <w:r>
              <w:rPr>
                <w:color w:val="1C3A36"/>
                <w:sz w:val="14"/>
              </w:rPr>
              <w:t>Consolidated statement of profit or loss,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gp_fy24</w:t>
            </w:r>
          </w:p>
        </w:tc>
        <w:tc>
          <w:tcPr>
            <w:tcW w:type="dxa" w:w="1656"/>
          </w:tcPr>
          <w:p>
            <w:pPr>
              <w:spacing w:after="20"/>
              <w:jc w:val="right"/>
            </w:pPr>
            <w:r>
              <w:rPr>
                <w:color w:val="1C3A36"/>
                <w:sz w:val="14"/>
              </w:rPr>
              <w:t>2,316.507</w:t>
            </w:r>
          </w:p>
        </w:tc>
        <w:tc>
          <w:tcPr>
            <w:tcW w:type="dxa" w:w="5616"/>
          </w:tcPr>
          <w:p>
            <w:pPr>
              <w:spacing w:after="20"/>
              <w:jc w:val="right"/>
            </w:pPr>
            <w:r>
              <w:rPr>
                <w:color w:val="1C3A36"/>
                <w:sz w:val="14"/>
              </w:rPr>
              <w:t>Gross profit,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gp_fy25</w:t>
            </w:r>
          </w:p>
        </w:tc>
        <w:tc>
          <w:tcPr>
            <w:tcW w:type="dxa" w:w="1656"/>
          </w:tcPr>
          <w:p>
            <w:pPr>
              <w:spacing w:after="20"/>
              <w:jc w:val="right"/>
            </w:pPr>
            <w:r>
              <w:rPr>
                <w:color w:val="1C3A36"/>
                <w:sz w:val="14"/>
              </w:rPr>
              <w:t>5,025.259</w:t>
            </w:r>
          </w:p>
        </w:tc>
        <w:tc>
          <w:tcPr>
            <w:tcW w:type="dxa" w:w="5616"/>
          </w:tcPr>
          <w:p>
            <w:pPr>
              <w:spacing w:after="20"/>
              <w:jc w:val="right"/>
            </w:pPr>
            <w:r>
              <w:rPr>
                <w:color w:val="1C3A36"/>
                <w:sz w:val="14"/>
              </w:rPr>
              <w:t>Gross profit,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fin_inc_fy25</w:t>
            </w:r>
          </w:p>
        </w:tc>
        <w:tc>
          <w:tcPr>
            <w:tcW w:type="dxa" w:w="1656"/>
          </w:tcPr>
          <w:p>
            <w:pPr>
              <w:spacing w:after="20"/>
              <w:jc w:val="right"/>
            </w:pPr>
            <w:r>
              <w:rPr>
                <w:color w:val="1C3A36"/>
                <w:sz w:val="14"/>
              </w:rPr>
              <w:t>262.923</w:t>
            </w:r>
          </w:p>
        </w:tc>
        <w:tc>
          <w:tcPr>
            <w:tcW w:type="dxa" w:w="5616"/>
          </w:tcPr>
          <w:p>
            <w:pPr>
              <w:spacing w:after="20"/>
              <w:jc w:val="right"/>
            </w:pPr>
            <w:r>
              <w:rPr>
                <w:color w:val="1C3A36"/>
                <w:sz w:val="14"/>
              </w:rPr>
              <w:t>Finance income note 9,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fin_cost_fy25</w:t>
            </w:r>
          </w:p>
        </w:tc>
        <w:tc>
          <w:tcPr>
            <w:tcW w:type="dxa" w:w="1656"/>
          </w:tcPr>
          <w:p>
            <w:pPr>
              <w:spacing w:after="20"/>
              <w:jc w:val="right"/>
            </w:pPr>
            <w:r>
              <w:rPr>
                <w:color w:val="1C3A36"/>
                <w:sz w:val="14"/>
              </w:rPr>
              <w:t>390.389</w:t>
            </w:r>
          </w:p>
        </w:tc>
        <w:tc>
          <w:tcPr>
            <w:tcW w:type="dxa" w:w="5616"/>
          </w:tcPr>
          <w:p>
            <w:pPr>
              <w:spacing w:after="20"/>
              <w:jc w:val="right"/>
            </w:pPr>
            <w:r>
              <w:rPr>
                <w:color w:val="1C3A36"/>
                <w:sz w:val="14"/>
              </w:rPr>
              <w:t>Finance costs note 10,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fin_inc_fy24</w:t>
            </w:r>
          </w:p>
        </w:tc>
        <w:tc>
          <w:tcPr>
            <w:tcW w:type="dxa" w:w="1656"/>
          </w:tcPr>
          <w:p>
            <w:pPr>
              <w:spacing w:after="20"/>
              <w:jc w:val="right"/>
            </w:pPr>
            <w:r>
              <w:rPr>
                <w:color w:val="1C3A36"/>
                <w:sz w:val="14"/>
              </w:rPr>
              <w:t>126.776</w:t>
            </w:r>
          </w:p>
        </w:tc>
        <w:tc>
          <w:tcPr>
            <w:tcW w:type="dxa" w:w="5616"/>
          </w:tcPr>
          <w:p>
            <w:pPr>
              <w:spacing w:after="20"/>
              <w:jc w:val="right"/>
            </w:pPr>
            <w:r>
              <w:rPr>
                <w:color w:val="1C3A36"/>
                <w:sz w:val="14"/>
              </w:rPr>
              <w:t>Finance income,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fin_cost_fy24</w:t>
            </w:r>
          </w:p>
        </w:tc>
        <w:tc>
          <w:tcPr>
            <w:tcW w:type="dxa" w:w="1656"/>
          </w:tcPr>
          <w:p>
            <w:pPr>
              <w:spacing w:after="20"/>
              <w:jc w:val="right"/>
            </w:pPr>
            <w:r>
              <w:rPr>
                <w:color w:val="1C3A36"/>
                <w:sz w:val="14"/>
              </w:rPr>
              <w:t>283.443</w:t>
            </w:r>
          </w:p>
        </w:tc>
        <w:tc>
          <w:tcPr>
            <w:tcW w:type="dxa" w:w="5616"/>
          </w:tcPr>
          <w:p>
            <w:pPr>
              <w:spacing w:after="20"/>
              <w:jc w:val="right"/>
            </w:pPr>
            <w:r>
              <w:rPr>
                <w:color w:val="1C3A36"/>
                <w:sz w:val="14"/>
              </w:rPr>
              <w:t>Finance costs,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assoc_fy25</w:t>
            </w:r>
          </w:p>
        </w:tc>
        <w:tc>
          <w:tcPr>
            <w:tcW w:type="dxa" w:w="1656"/>
          </w:tcPr>
          <w:p>
            <w:pPr>
              <w:spacing w:after="20"/>
              <w:jc w:val="right"/>
            </w:pPr>
            <w:r>
              <w:rPr>
                <w:color w:val="1C3A36"/>
                <w:sz w:val="14"/>
              </w:rPr>
              <w:t>263.592</w:t>
            </w:r>
          </w:p>
        </w:tc>
        <w:tc>
          <w:tcPr>
            <w:tcW w:type="dxa" w:w="5616"/>
          </w:tcPr>
          <w:p>
            <w:pPr>
              <w:spacing w:after="20"/>
              <w:jc w:val="right"/>
            </w:pPr>
            <w:r>
              <w:rPr>
                <w:color w:val="1C3A36"/>
                <w:sz w:val="14"/>
              </w:rPr>
              <w:t>Share of profit from associates and joint ventures note 17,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assoc_fy24</w:t>
            </w:r>
          </w:p>
        </w:tc>
        <w:tc>
          <w:tcPr>
            <w:tcW w:type="dxa" w:w="1656"/>
          </w:tcPr>
          <w:p>
            <w:pPr>
              <w:spacing w:after="20"/>
              <w:jc w:val="right"/>
            </w:pPr>
            <w:r>
              <w:rPr>
                <w:color w:val="1C3A36"/>
                <w:sz w:val="14"/>
              </w:rPr>
              <w:t>115.114</w:t>
            </w:r>
          </w:p>
        </w:tc>
        <w:tc>
          <w:tcPr>
            <w:tcW w:type="dxa" w:w="5616"/>
          </w:tcPr>
          <w:p>
            <w:pPr>
              <w:spacing w:after="20"/>
              <w:jc w:val="right"/>
            </w:pPr>
            <w:r>
              <w:rPr>
                <w:color w:val="1C3A36"/>
                <w:sz w:val="14"/>
              </w:rPr>
              <w:t>Share of profit from associates and JVs,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ebt_fy25</w:t>
            </w:r>
          </w:p>
        </w:tc>
        <w:tc>
          <w:tcPr>
            <w:tcW w:type="dxa" w:w="1656"/>
          </w:tcPr>
          <w:p>
            <w:pPr>
              <w:spacing w:after="20"/>
              <w:jc w:val="right"/>
            </w:pPr>
            <w:r>
              <w:rPr>
                <w:color w:val="1C3A36"/>
                <w:sz w:val="14"/>
              </w:rPr>
              <w:t>4,421.195</w:t>
            </w:r>
          </w:p>
        </w:tc>
        <w:tc>
          <w:tcPr>
            <w:tcW w:type="dxa" w:w="5616"/>
          </w:tcPr>
          <w:p>
            <w:pPr>
              <w:spacing w:after="20"/>
              <w:jc w:val="right"/>
            </w:pPr>
            <w:r>
              <w:rPr>
                <w:color w:val="1C3A36"/>
                <w:sz w:val="14"/>
              </w:rPr>
              <w:t>Profit before tax incl. discontinued 0.182,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ebt_fy24</w:t>
            </w:r>
          </w:p>
        </w:tc>
        <w:tc>
          <w:tcPr>
            <w:tcW w:type="dxa" w:w="1656"/>
          </w:tcPr>
          <w:p>
            <w:pPr>
              <w:spacing w:after="20"/>
              <w:jc w:val="right"/>
            </w:pPr>
            <w:r>
              <w:rPr>
                <w:color w:val="1C3A36"/>
                <w:sz w:val="14"/>
              </w:rPr>
              <w:t>9,488.267</w:t>
            </w:r>
          </w:p>
        </w:tc>
        <w:tc>
          <w:tcPr>
            <w:tcW w:type="dxa" w:w="5616"/>
          </w:tcPr>
          <w:p>
            <w:pPr>
              <w:spacing w:after="20"/>
              <w:jc w:val="right"/>
            </w:pPr>
            <w:r>
              <w:rPr>
                <w:color w:val="1C3A36"/>
                <w:sz w:val="14"/>
              </w:rPr>
              <w:t>Profit before tax incl. discontinued,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ebt_fy23</w:t>
            </w:r>
          </w:p>
        </w:tc>
        <w:tc>
          <w:tcPr>
            <w:tcW w:type="dxa" w:w="1656"/>
          </w:tcPr>
          <w:p>
            <w:pPr>
              <w:spacing w:after="20"/>
              <w:jc w:val="right"/>
            </w:pPr>
            <w:r>
              <w:rPr>
                <w:color w:val="1C3A36"/>
                <w:sz w:val="14"/>
              </w:rPr>
              <w:t>653.455</w:t>
            </w:r>
          </w:p>
        </w:tc>
        <w:tc>
          <w:tcPr>
            <w:tcW w:type="dxa" w:w="5616"/>
          </w:tcPr>
          <w:p>
            <w:pPr>
              <w:spacing w:after="20"/>
              <w:jc w:val="right"/>
            </w:pPr>
            <w:r>
              <w:rPr>
                <w:color w:val="1C3A36"/>
                <w:sz w:val="14"/>
              </w:rPr>
              <w:t>Profit before tax incl. discontinued 4.051, Audited consolidated financial statements FY2023, Q Holding PSC, modon.com investor relations</w:t>
            </w:r>
          </w:p>
        </w:tc>
        <w:tc>
          <w:tcPr>
            <w:tcW w:type="dxa" w:w="1080"/>
          </w:tcPr>
          <w:p>
            <w:pPr>
              <w:spacing w:after="20"/>
              <w:jc w:val="right"/>
            </w:pPr>
            <w:r>
              <w:rPr>
                <w:color w:val="1C3A36"/>
                <w:sz w:val="14"/>
              </w:rPr>
              <w:t>2024-02-15</w:t>
            </w:r>
          </w:p>
        </w:tc>
      </w:tr>
      <w:tr>
        <w:tc>
          <w:tcPr>
            <w:tcW w:type="dxa" w:w="1800"/>
          </w:tcPr>
          <w:p>
            <w:pPr>
              <w:spacing w:after="20"/>
            </w:pPr>
            <w:r>
              <w:rPr>
                <w:color w:val="1C3A36"/>
                <w:sz w:val="14"/>
              </w:rPr>
              <w:t>tax_fy25</w:t>
            </w:r>
          </w:p>
        </w:tc>
        <w:tc>
          <w:tcPr>
            <w:tcW w:type="dxa" w:w="1656"/>
          </w:tcPr>
          <w:p>
            <w:pPr>
              <w:spacing w:after="20"/>
              <w:jc w:val="right"/>
            </w:pPr>
            <w:r>
              <w:rPr>
                <w:color w:val="1C3A36"/>
                <w:sz w:val="14"/>
              </w:rPr>
              <w:t>495.49</w:t>
            </w:r>
          </w:p>
        </w:tc>
        <w:tc>
          <w:tcPr>
            <w:tcW w:type="dxa" w:w="5616"/>
          </w:tcPr>
          <w:p>
            <w:pPr>
              <w:spacing w:after="20"/>
              <w:jc w:val="right"/>
            </w:pPr>
            <w:r>
              <w:rPr>
                <w:color w:val="1C3A36"/>
                <w:sz w:val="14"/>
              </w:rPr>
              <w:t>Income tax expense note 11 (incl. DMTT 350.356),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tax_fy24</w:t>
            </w:r>
          </w:p>
        </w:tc>
        <w:tc>
          <w:tcPr>
            <w:tcW w:type="dxa" w:w="1656"/>
          </w:tcPr>
          <w:p>
            <w:pPr>
              <w:spacing w:after="20"/>
              <w:jc w:val="right"/>
            </w:pPr>
            <w:r>
              <w:rPr>
                <w:color w:val="1C3A36"/>
                <w:sz w:val="14"/>
              </w:rPr>
              <w:t>98.815</w:t>
            </w:r>
          </w:p>
        </w:tc>
        <w:tc>
          <w:tcPr>
            <w:tcW w:type="dxa" w:w="5616"/>
          </w:tcPr>
          <w:p>
            <w:pPr>
              <w:spacing w:after="20"/>
              <w:jc w:val="right"/>
            </w:pPr>
            <w:r>
              <w:rPr>
                <w:color w:val="1C3A36"/>
                <w:sz w:val="14"/>
              </w:rPr>
              <w:t>Income tax expense,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tax_fy23</w:t>
            </w:r>
          </w:p>
        </w:tc>
        <w:tc>
          <w:tcPr>
            <w:tcW w:type="dxa" w:w="1656"/>
          </w:tcPr>
          <w:p>
            <w:pPr>
              <w:spacing w:after="20"/>
              <w:jc w:val="right"/>
            </w:pPr>
            <w:r>
              <w:rPr>
                <w:color w:val="1C3A36"/>
                <w:sz w:val="14"/>
              </w:rPr>
              <w:t>79.504</w:t>
            </w:r>
          </w:p>
        </w:tc>
        <w:tc>
          <w:tcPr>
            <w:tcW w:type="dxa" w:w="5616"/>
          </w:tcPr>
          <w:p>
            <w:pPr>
              <w:spacing w:after="20"/>
              <w:jc w:val="right"/>
            </w:pPr>
            <w:r>
              <w:rPr>
                <w:color w:val="1C3A36"/>
                <w:sz w:val="14"/>
              </w:rPr>
              <w:t>Income tax expense, Audited consolidated financial statements FY2023, Q Holding PSC, modon.com investor relations</w:t>
            </w:r>
          </w:p>
        </w:tc>
        <w:tc>
          <w:tcPr>
            <w:tcW w:type="dxa" w:w="1080"/>
          </w:tcPr>
          <w:p>
            <w:pPr>
              <w:spacing w:after="20"/>
              <w:jc w:val="right"/>
            </w:pPr>
            <w:r>
              <w:rPr>
                <w:color w:val="1C3A36"/>
                <w:sz w:val="14"/>
              </w:rPr>
              <w:t>2024-02-15</w:t>
            </w:r>
          </w:p>
        </w:tc>
      </w:tr>
      <w:tr>
        <w:tc>
          <w:tcPr>
            <w:tcW w:type="dxa" w:w="1800"/>
          </w:tcPr>
          <w:p>
            <w:pPr>
              <w:spacing w:after="20"/>
            </w:pPr>
            <w:r>
              <w:rPr>
                <w:color w:val="1C3A36"/>
                <w:sz w:val="14"/>
              </w:rPr>
              <w:t>pat_fy25</w:t>
            </w:r>
          </w:p>
        </w:tc>
        <w:tc>
          <w:tcPr>
            <w:tcW w:type="dxa" w:w="1656"/>
          </w:tcPr>
          <w:p>
            <w:pPr>
              <w:spacing w:after="20"/>
              <w:jc w:val="right"/>
            </w:pPr>
            <w:r>
              <w:rPr>
                <w:color w:val="1C3A36"/>
                <w:sz w:val="14"/>
              </w:rPr>
              <w:t>3,925.705</w:t>
            </w:r>
          </w:p>
        </w:tc>
        <w:tc>
          <w:tcPr>
            <w:tcW w:type="dxa" w:w="5616"/>
          </w:tcPr>
          <w:p>
            <w:pPr>
              <w:spacing w:after="20"/>
              <w:jc w:val="right"/>
            </w:pPr>
            <w:r>
              <w:rPr>
                <w:color w:val="1C3A36"/>
                <w:sz w:val="14"/>
              </w:rPr>
              <w:t>Profit for the year,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pat_fy24</w:t>
            </w:r>
          </w:p>
        </w:tc>
        <w:tc>
          <w:tcPr>
            <w:tcW w:type="dxa" w:w="1656"/>
          </w:tcPr>
          <w:p>
            <w:pPr>
              <w:spacing w:after="20"/>
              <w:jc w:val="right"/>
            </w:pPr>
            <w:r>
              <w:rPr>
                <w:color w:val="1C3A36"/>
                <w:sz w:val="14"/>
              </w:rPr>
              <w:t>9,389.452</w:t>
            </w:r>
          </w:p>
        </w:tc>
        <w:tc>
          <w:tcPr>
            <w:tcW w:type="dxa" w:w="5616"/>
          </w:tcPr>
          <w:p>
            <w:pPr>
              <w:spacing w:after="20"/>
              <w:jc w:val="right"/>
            </w:pPr>
            <w:r>
              <w:rPr>
                <w:color w:val="1C3A36"/>
                <w:sz w:val="14"/>
              </w:rPr>
              <w:t>Profit for the year,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pat_fy23</w:t>
            </w:r>
          </w:p>
        </w:tc>
        <w:tc>
          <w:tcPr>
            <w:tcW w:type="dxa" w:w="1656"/>
          </w:tcPr>
          <w:p>
            <w:pPr>
              <w:spacing w:after="20"/>
              <w:jc w:val="right"/>
            </w:pPr>
            <w:r>
              <w:rPr>
                <w:color w:val="1C3A36"/>
                <w:sz w:val="14"/>
              </w:rPr>
              <w:t>573.951</w:t>
            </w:r>
          </w:p>
        </w:tc>
        <w:tc>
          <w:tcPr>
            <w:tcW w:type="dxa" w:w="5616"/>
          </w:tcPr>
          <w:p>
            <w:pPr>
              <w:spacing w:after="20"/>
              <w:jc w:val="right"/>
            </w:pPr>
            <w:r>
              <w:rPr>
                <w:color w:val="1C3A36"/>
                <w:sz w:val="14"/>
              </w:rPr>
              <w:t>Profit for the year after tax, Audited consolidated financial statements FY2023, Q Holding PSC, modon.com investor relations</w:t>
            </w:r>
          </w:p>
        </w:tc>
        <w:tc>
          <w:tcPr>
            <w:tcW w:type="dxa" w:w="1080"/>
          </w:tcPr>
          <w:p>
            <w:pPr>
              <w:spacing w:after="20"/>
              <w:jc w:val="right"/>
            </w:pPr>
            <w:r>
              <w:rPr>
                <w:color w:val="1C3A36"/>
                <w:sz w:val="14"/>
              </w:rPr>
              <w:t>2024-02-15</w:t>
            </w:r>
          </w:p>
        </w:tc>
      </w:tr>
      <w:tr>
        <w:tc>
          <w:tcPr>
            <w:tcW w:type="dxa" w:w="1800"/>
          </w:tcPr>
          <w:p>
            <w:pPr>
              <w:spacing w:after="20"/>
            </w:pPr>
            <w:r>
              <w:rPr>
                <w:color w:val="1C3A36"/>
                <w:sz w:val="14"/>
              </w:rPr>
              <w:t>npa_fy25</w:t>
            </w:r>
          </w:p>
        </w:tc>
        <w:tc>
          <w:tcPr>
            <w:tcW w:type="dxa" w:w="1656"/>
          </w:tcPr>
          <w:p>
            <w:pPr>
              <w:spacing w:after="20"/>
              <w:jc w:val="right"/>
            </w:pPr>
            <w:r>
              <w:rPr>
                <w:color w:val="1C3A36"/>
                <w:sz w:val="14"/>
              </w:rPr>
              <w:t>4,020.102</w:t>
            </w:r>
          </w:p>
        </w:tc>
        <w:tc>
          <w:tcPr>
            <w:tcW w:type="dxa" w:w="5616"/>
          </w:tcPr>
          <w:p>
            <w:pPr>
              <w:spacing w:after="20"/>
              <w:jc w:val="right"/>
            </w:pPr>
            <w:r>
              <w:rPr>
                <w:color w:val="1C3A36"/>
                <w:sz w:val="14"/>
              </w:rPr>
              <w:t>Profit attributable to owners of the Parent,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npa_fy24</w:t>
            </w:r>
          </w:p>
        </w:tc>
        <w:tc>
          <w:tcPr>
            <w:tcW w:type="dxa" w:w="1656"/>
          </w:tcPr>
          <w:p>
            <w:pPr>
              <w:spacing w:after="20"/>
              <w:jc w:val="right"/>
            </w:pPr>
            <w:r>
              <w:rPr>
                <w:color w:val="1C3A36"/>
                <w:sz w:val="14"/>
              </w:rPr>
              <w:t>9,423.191</w:t>
            </w:r>
          </w:p>
        </w:tc>
        <w:tc>
          <w:tcPr>
            <w:tcW w:type="dxa" w:w="5616"/>
          </w:tcPr>
          <w:p>
            <w:pPr>
              <w:spacing w:after="20"/>
              <w:jc w:val="right"/>
            </w:pPr>
            <w:r>
              <w:rPr>
                <w:color w:val="1C3A36"/>
                <w:sz w:val="14"/>
              </w:rPr>
              <w:t>Profit attributable to owners,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npa_fy23</w:t>
            </w:r>
          </w:p>
        </w:tc>
        <w:tc>
          <w:tcPr>
            <w:tcW w:type="dxa" w:w="1656"/>
          </w:tcPr>
          <w:p>
            <w:pPr>
              <w:spacing w:after="20"/>
              <w:jc w:val="right"/>
            </w:pPr>
            <w:r>
              <w:rPr>
                <w:color w:val="1C3A36"/>
                <w:sz w:val="14"/>
              </w:rPr>
              <w:t>461.269</w:t>
            </w:r>
          </w:p>
        </w:tc>
        <w:tc>
          <w:tcPr>
            <w:tcW w:type="dxa" w:w="5616"/>
          </w:tcPr>
          <w:p>
            <w:pPr>
              <w:spacing w:after="20"/>
              <w:jc w:val="right"/>
            </w:pPr>
            <w:r>
              <w:rPr>
                <w:color w:val="1C3A36"/>
                <w:sz w:val="14"/>
              </w:rPr>
              <w:t>Profit attributable to owners of the Parent, Audited consolidated financial statements FY2023, Q Holding PSC, modon.com investor relations</w:t>
            </w:r>
          </w:p>
        </w:tc>
        <w:tc>
          <w:tcPr>
            <w:tcW w:type="dxa" w:w="1080"/>
          </w:tcPr>
          <w:p>
            <w:pPr>
              <w:spacing w:after="20"/>
              <w:jc w:val="right"/>
            </w:pPr>
            <w:r>
              <w:rPr>
                <w:color w:val="1C3A36"/>
                <w:sz w:val="14"/>
              </w:rPr>
              <w:t>2024-02-15</w:t>
            </w:r>
          </w:p>
        </w:tc>
      </w:tr>
      <w:tr>
        <w:tc>
          <w:tcPr>
            <w:tcW w:type="dxa" w:w="1800"/>
          </w:tcPr>
          <w:p>
            <w:pPr>
              <w:spacing w:after="20"/>
            </w:pPr>
            <w:r>
              <w:rPr>
                <w:color w:val="1C3A36"/>
                <w:sz w:val="14"/>
              </w:rPr>
              <w:t>bargain_fy24</w:t>
            </w:r>
          </w:p>
        </w:tc>
        <w:tc>
          <w:tcPr>
            <w:tcW w:type="dxa" w:w="1656"/>
          </w:tcPr>
          <w:p>
            <w:pPr>
              <w:spacing w:after="20"/>
              <w:jc w:val="right"/>
            </w:pPr>
            <w:r>
              <w:rPr>
                <w:color w:val="1C3A36"/>
                <w:sz w:val="14"/>
              </w:rPr>
              <w:t>9,192.243</w:t>
            </w:r>
          </w:p>
        </w:tc>
        <w:tc>
          <w:tcPr>
            <w:tcW w:type="dxa" w:w="5616"/>
          </w:tcPr>
          <w:p>
            <w:pPr>
              <w:spacing w:after="20"/>
              <w:jc w:val="right"/>
            </w:pPr>
            <w:r>
              <w:rPr>
                <w:color w:val="1C3A36"/>
                <w:sz w:val="14"/>
              </w:rPr>
              <w:t>Bargain purchase gain on acquisition of subsidiaries, note 4.2,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dna_fy25</w:t>
            </w:r>
          </w:p>
        </w:tc>
        <w:tc>
          <w:tcPr>
            <w:tcW w:type="dxa" w:w="1656"/>
          </w:tcPr>
          <w:p>
            <w:pPr>
              <w:spacing w:after="20"/>
              <w:jc w:val="right"/>
            </w:pPr>
            <w:r>
              <w:rPr>
                <w:color w:val="1C3A36"/>
                <w:sz w:val="14"/>
              </w:rPr>
              <w:t>610.483</w:t>
            </w:r>
          </w:p>
        </w:tc>
        <w:tc>
          <w:tcPr>
            <w:tcW w:type="dxa" w:w="5616"/>
          </w:tcPr>
          <w:p>
            <w:pPr>
              <w:spacing w:after="20"/>
              <w:jc w:val="right"/>
            </w:pPr>
            <w:r>
              <w:rPr>
                <w:color w:val="1C3A36"/>
                <w:sz w:val="14"/>
              </w:rPr>
              <w:t>Depreciation on PP&amp;E 468.264 + amortisation 76.645 + right-of-use depreciation 65.574, cash flow statement adjustments,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dna_fy24</w:t>
            </w:r>
          </w:p>
        </w:tc>
        <w:tc>
          <w:tcPr>
            <w:tcW w:type="dxa" w:w="1656"/>
          </w:tcPr>
          <w:p>
            <w:pPr>
              <w:spacing w:after="20"/>
              <w:jc w:val="right"/>
            </w:pPr>
            <w:r>
              <w:rPr>
                <w:color w:val="1C3A36"/>
                <w:sz w:val="14"/>
              </w:rPr>
              <w:t>265.122</w:t>
            </w:r>
          </w:p>
        </w:tc>
        <w:tc>
          <w:tcPr>
            <w:tcW w:type="dxa" w:w="5616"/>
          </w:tcPr>
          <w:p>
            <w:pPr>
              <w:spacing w:after="20"/>
              <w:jc w:val="right"/>
            </w:pPr>
            <w:r>
              <w:rPr>
                <w:color w:val="1C3A36"/>
                <w:sz w:val="14"/>
              </w:rPr>
              <w:t>Same three lines,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dna_fy23</w:t>
            </w:r>
          </w:p>
        </w:tc>
        <w:tc>
          <w:tcPr>
            <w:tcW w:type="dxa" w:w="1656"/>
          </w:tcPr>
          <w:p>
            <w:pPr>
              <w:spacing w:after="20"/>
              <w:jc w:val="right"/>
            </w:pPr>
            <w:r>
              <w:rPr>
                <w:color w:val="1C3A36"/>
                <w:sz w:val="14"/>
              </w:rPr>
              <w:t>27.719</w:t>
            </w:r>
          </w:p>
        </w:tc>
        <w:tc>
          <w:tcPr>
            <w:tcW w:type="dxa" w:w="5616"/>
          </w:tcPr>
          <w:p>
            <w:pPr>
              <w:spacing w:after="20"/>
              <w:jc w:val="right"/>
            </w:pPr>
            <w:r>
              <w:rPr>
                <w:color w:val="1C3A36"/>
                <w:sz w:val="14"/>
              </w:rPr>
              <w:t>Depreciation and amortisation lines, cash flow statement, Audited consolidated financial statements FY2023, Q Holding PSC, modon.com investor relations</w:t>
            </w:r>
          </w:p>
        </w:tc>
        <w:tc>
          <w:tcPr>
            <w:tcW w:type="dxa" w:w="1080"/>
          </w:tcPr>
          <w:p>
            <w:pPr>
              <w:spacing w:after="20"/>
              <w:jc w:val="right"/>
            </w:pPr>
            <w:r>
              <w:rPr>
                <w:color w:val="1C3A36"/>
                <w:sz w:val="14"/>
              </w:rPr>
              <w:t>2024-02-15</w:t>
            </w:r>
          </w:p>
        </w:tc>
      </w:tr>
      <w:tr>
        <w:tc>
          <w:tcPr>
            <w:tcW w:type="dxa" w:w="1800"/>
          </w:tcPr>
          <w:p>
            <w:pPr>
              <w:spacing w:after="20"/>
            </w:pPr>
            <w:r>
              <w:rPr>
                <w:color w:val="1C3A36"/>
                <w:sz w:val="14"/>
              </w:rPr>
              <w:t>ga_fy25</w:t>
            </w:r>
          </w:p>
        </w:tc>
        <w:tc>
          <w:tcPr>
            <w:tcW w:type="dxa" w:w="1656"/>
          </w:tcPr>
          <w:p>
            <w:pPr>
              <w:spacing w:after="20"/>
              <w:jc w:val="right"/>
            </w:pPr>
            <w:r>
              <w:rPr>
                <w:color w:val="1C3A36"/>
                <w:sz w:val="14"/>
              </w:rPr>
              <w:t>1,547.476</w:t>
            </w:r>
          </w:p>
        </w:tc>
        <w:tc>
          <w:tcPr>
            <w:tcW w:type="dxa" w:w="5616"/>
          </w:tcPr>
          <w:p>
            <w:pPr>
              <w:spacing w:after="20"/>
              <w:jc w:val="right"/>
            </w:pPr>
            <w:r>
              <w:rPr>
                <w:color w:val="1C3A36"/>
                <w:sz w:val="14"/>
              </w:rPr>
              <w:t>General and administrative expenses note 7,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sm_fy25</w:t>
            </w:r>
          </w:p>
        </w:tc>
        <w:tc>
          <w:tcPr>
            <w:tcW w:type="dxa" w:w="1656"/>
          </w:tcPr>
          <w:p>
            <w:pPr>
              <w:spacing w:after="20"/>
              <w:jc w:val="right"/>
            </w:pPr>
            <w:r>
              <w:rPr>
                <w:color w:val="1C3A36"/>
                <w:sz w:val="14"/>
              </w:rPr>
              <w:t>266.211</w:t>
            </w:r>
          </w:p>
        </w:tc>
        <w:tc>
          <w:tcPr>
            <w:tcW w:type="dxa" w:w="5616"/>
          </w:tcPr>
          <w:p>
            <w:pPr>
              <w:spacing w:after="20"/>
              <w:jc w:val="right"/>
            </w:pPr>
            <w:r>
              <w:rPr>
                <w:color w:val="1C3A36"/>
                <w:sz w:val="14"/>
              </w:rPr>
              <w:t>Selling and marketing expenses,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invinc_fy25</w:t>
            </w:r>
          </w:p>
        </w:tc>
        <w:tc>
          <w:tcPr>
            <w:tcW w:type="dxa" w:w="1656"/>
          </w:tcPr>
          <w:p>
            <w:pPr>
              <w:spacing w:after="20"/>
              <w:jc w:val="right"/>
            </w:pPr>
            <w:r>
              <w:rPr>
                <w:color w:val="1C3A36"/>
                <w:sz w:val="14"/>
              </w:rPr>
              <w:t>338.26</w:t>
            </w:r>
          </w:p>
        </w:tc>
        <w:tc>
          <w:tcPr>
            <w:tcW w:type="dxa" w:w="5616"/>
          </w:tcPr>
          <w:p>
            <w:pPr>
              <w:spacing w:after="20"/>
              <w:jc w:val="right"/>
            </w:pPr>
            <w:r>
              <w:rPr>
                <w:color w:val="1C3A36"/>
                <w:sz w:val="14"/>
              </w:rPr>
              <w:t>Investment and other income note 8,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fv_ip_fy25</w:t>
            </w:r>
          </w:p>
        </w:tc>
        <w:tc>
          <w:tcPr>
            <w:tcW w:type="dxa" w:w="1656"/>
          </w:tcPr>
          <w:p>
            <w:pPr>
              <w:spacing w:after="20"/>
              <w:jc w:val="right"/>
            </w:pPr>
            <w:r>
              <w:rPr>
                <w:color w:val="1C3A36"/>
                <w:sz w:val="14"/>
              </w:rPr>
              <w:t>343.426</w:t>
            </w:r>
          </w:p>
        </w:tc>
        <w:tc>
          <w:tcPr>
            <w:tcW w:type="dxa" w:w="5616"/>
          </w:tcPr>
          <w:p>
            <w:pPr>
              <w:spacing w:after="20"/>
              <w:jc w:val="right"/>
            </w:pPr>
            <w:r>
              <w:rPr>
                <w:color w:val="1C3A36"/>
                <w:sz w:val="14"/>
              </w:rPr>
              <w:t>Fair value gain on revaluation of investment properties note 16,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fv_fvtpl_fy25</w:t>
            </w:r>
          </w:p>
        </w:tc>
        <w:tc>
          <w:tcPr>
            <w:tcW w:type="dxa" w:w="1656"/>
          </w:tcPr>
          <w:p>
            <w:pPr>
              <w:spacing w:after="20"/>
              <w:jc w:val="right"/>
            </w:pPr>
            <w:r>
              <w:rPr>
                <w:color w:val="1C3A36"/>
                <w:sz w:val="14"/>
              </w:rPr>
              <w:t>221.952</w:t>
            </w:r>
          </w:p>
        </w:tc>
        <w:tc>
          <w:tcPr>
            <w:tcW w:type="dxa" w:w="5616"/>
          </w:tcPr>
          <w:p>
            <w:pPr>
              <w:spacing w:after="20"/>
              <w:jc w:val="right"/>
            </w:pPr>
            <w:r>
              <w:rPr>
                <w:color w:val="1C3A36"/>
                <w:sz w:val="14"/>
              </w:rPr>
              <w:t>Change in fair value of investments at FVTPL note 18,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disp_assoc_fy25</w:t>
            </w:r>
          </w:p>
        </w:tc>
        <w:tc>
          <w:tcPr>
            <w:tcW w:type="dxa" w:w="1656"/>
          </w:tcPr>
          <w:p>
            <w:pPr>
              <w:spacing w:after="20"/>
              <w:jc w:val="right"/>
            </w:pPr>
            <w:r>
              <w:rPr>
                <w:color w:val="1C3A36"/>
                <w:sz w:val="14"/>
              </w:rPr>
              <w:t>169.677</w:t>
            </w:r>
          </w:p>
        </w:tc>
        <w:tc>
          <w:tcPr>
            <w:tcW w:type="dxa" w:w="5616"/>
          </w:tcPr>
          <w:p>
            <w:pPr>
              <w:spacing w:after="20"/>
              <w:jc w:val="right"/>
            </w:pPr>
            <w:r>
              <w:rPr>
                <w:color w:val="1C3A36"/>
                <w:sz w:val="14"/>
              </w:rPr>
              <w:t>Gain on disposal of an associate note 17(ii),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fin_net_fy23</w:t>
            </w:r>
          </w:p>
        </w:tc>
        <w:tc>
          <w:tcPr>
            <w:tcW w:type="dxa" w:w="1656"/>
          </w:tcPr>
          <w:p>
            <w:pPr>
              <w:spacing w:after="20"/>
              <w:jc w:val="right"/>
            </w:pPr>
            <w:r>
              <w:rPr>
                <w:color w:val="1C3A36"/>
                <w:sz w:val="14"/>
              </w:rPr>
              <w:t>8.518</w:t>
            </w:r>
          </w:p>
        </w:tc>
        <w:tc>
          <w:tcPr>
            <w:tcW w:type="dxa" w:w="5616"/>
          </w:tcPr>
          <w:p>
            <w:pPr>
              <w:spacing w:after="20"/>
              <w:jc w:val="right"/>
            </w:pPr>
            <w:r>
              <w:rPr>
                <w:color w:val="1C3A36"/>
                <w:sz w:val="14"/>
              </w:rPr>
              <w:t>Finance income (costs), net, note 10, Audited consolidated financial statements FY2023, Q Holding PSC, modon.com investor relations</w:t>
            </w:r>
          </w:p>
        </w:tc>
        <w:tc>
          <w:tcPr>
            <w:tcW w:type="dxa" w:w="1080"/>
          </w:tcPr>
          <w:p>
            <w:pPr>
              <w:spacing w:after="20"/>
              <w:jc w:val="right"/>
            </w:pPr>
            <w:r>
              <w:rPr>
                <w:color w:val="1C3A36"/>
                <w:sz w:val="14"/>
              </w:rPr>
              <w:t>2024-02-15</w:t>
            </w:r>
          </w:p>
        </w:tc>
      </w:tr>
      <w:tr>
        <w:tc>
          <w:tcPr>
            <w:tcW w:type="dxa" w:w="1800"/>
          </w:tcPr>
          <w:p>
            <w:pPr>
              <w:spacing w:after="20"/>
            </w:pPr>
            <w:r>
              <w:rPr>
                <w:color w:val="1C3A36"/>
                <w:sz w:val="14"/>
              </w:rPr>
              <w:t>assoc_fy23</w:t>
            </w:r>
          </w:p>
        </w:tc>
        <w:tc>
          <w:tcPr>
            <w:tcW w:type="dxa" w:w="1656"/>
          </w:tcPr>
          <w:p>
            <w:pPr>
              <w:spacing w:after="20"/>
              <w:jc w:val="right"/>
            </w:pPr>
            <w:r>
              <w:rPr>
                <w:color w:val="1C3A36"/>
                <w:sz w:val="14"/>
              </w:rPr>
              <w:t>-0.697</w:t>
            </w:r>
          </w:p>
        </w:tc>
        <w:tc>
          <w:tcPr>
            <w:tcW w:type="dxa" w:w="5616"/>
          </w:tcPr>
          <w:p>
            <w:pPr>
              <w:spacing w:after="20"/>
              <w:jc w:val="right"/>
            </w:pPr>
            <w:r>
              <w:rPr>
                <w:color w:val="1C3A36"/>
                <w:sz w:val="14"/>
              </w:rPr>
              <w:t>Share of loss from associates and JVs, Audited consolidated financial statements FY2023, Q Holding PSC, modon.com investor relations</w:t>
            </w:r>
          </w:p>
        </w:tc>
        <w:tc>
          <w:tcPr>
            <w:tcW w:type="dxa" w:w="1080"/>
          </w:tcPr>
          <w:p>
            <w:pPr>
              <w:spacing w:after="20"/>
              <w:jc w:val="right"/>
            </w:pPr>
            <w:r>
              <w:rPr>
                <w:color w:val="1C3A36"/>
                <w:sz w:val="14"/>
              </w:rPr>
              <w:t>2024-02-15</w:t>
            </w:r>
          </w:p>
        </w:tc>
      </w:tr>
      <w:tr>
        <w:tc>
          <w:tcPr>
            <w:tcW w:type="dxa" w:w="1800"/>
          </w:tcPr>
          <w:p>
            <w:pPr>
              <w:spacing w:after="20"/>
            </w:pPr>
            <w:r>
              <w:rPr>
                <w:color w:val="1C3A36"/>
                <w:sz w:val="14"/>
              </w:rPr>
              <w:t>adj_ebitda_fy25_release</w:t>
            </w:r>
          </w:p>
        </w:tc>
        <w:tc>
          <w:tcPr>
            <w:tcW w:type="dxa" w:w="1656"/>
          </w:tcPr>
          <w:p>
            <w:pPr>
              <w:spacing w:after="20"/>
              <w:jc w:val="right"/>
            </w:pPr>
            <w:r>
              <w:rPr>
                <w:color w:val="1C3A36"/>
                <w:sz w:val="14"/>
              </w:rPr>
              <w:t>4,900</w:t>
            </w:r>
          </w:p>
        </w:tc>
        <w:tc>
          <w:tcPr>
            <w:tcW w:type="dxa" w:w="5616"/>
          </w:tcPr>
          <w:p>
            <w:pPr>
              <w:spacing w:after="20"/>
              <w:jc w:val="right"/>
            </w:pPr>
            <w:r>
              <w:rPr>
                <w:color w:val="1C3A36"/>
                <w:sz w:val="14"/>
              </w:rPr>
              <w:t>Group adjusted EBITDA as the FY2025 results release states it, AED 4.9bn. Modon FY2025 results announcement, modon.com media centre, 18-Feb-2026</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adj_ebitda_margin_release</w:t>
            </w:r>
          </w:p>
        </w:tc>
        <w:tc>
          <w:tcPr>
            <w:tcW w:type="dxa" w:w="1656"/>
          </w:tcPr>
          <w:p>
            <w:pPr>
              <w:spacing w:after="20"/>
              <w:jc w:val="right"/>
            </w:pPr>
            <w:r>
              <w:rPr>
                <w:color w:val="1C3A36"/>
                <w:sz w:val="14"/>
              </w:rPr>
              <w:t>0.352</w:t>
            </w:r>
          </w:p>
        </w:tc>
        <w:tc>
          <w:tcPr>
            <w:tcW w:type="dxa" w:w="5616"/>
          </w:tcPr>
          <w:p>
            <w:pPr>
              <w:spacing w:after="20"/>
              <w:jc w:val="right"/>
            </w:pPr>
            <w:r>
              <w:rPr>
                <w:color w:val="1C3A36"/>
                <w:sz w:val="14"/>
              </w:rPr>
              <w:t>the adjusted EBITDA margin as the FY2025 results release states it. NOT derivable from this study's registered revenue -- 4,900 over 13,828.869 is 35.4% -- so the company computes it on a base this study does not carry, and the release figure is recorded rather than reconstructed. Modon FY2025 results announcement, modon.com media centre, 18-Feb-2026</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impair_fy24</w:t>
            </w:r>
          </w:p>
        </w:tc>
        <w:tc>
          <w:tcPr>
            <w:tcW w:type="dxa" w:w="1656"/>
          </w:tcPr>
          <w:p>
            <w:pPr>
              <w:spacing w:after="20"/>
              <w:jc w:val="right"/>
            </w:pPr>
            <w:r>
              <w:rPr>
                <w:color w:val="1C3A36"/>
                <w:sz w:val="14"/>
              </w:rPr>
              <w:t>1,024.726</w:t>
            </w:r>
          </w:p>
        </w:tc>
        <w:tc>
          <w:tcPr>
            <w:tcW w:type="dxa" w:w="5616"/>
          </w:tcPr>
          <w:p>
            <w:pPr>
              <w:spacing w:after="20"/>
              <w:jc w:val="right"/>
            </w:pPr>
            <w:r>
              <w:rPr>
                <w:color w:val="1C3A36"/>
                <w:sz w:val="14"/>
              </w:rPr>
              <w:t>Impairment of PP&amp;E 539.922 + development WIP 406.663 + goodwill 78.141,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ppe_fy25</w:t>
            </w:r>
          </w:p>
        </w:tc>
        <w:tc>
          <w:tcPr>
            <w:tcW w:type="dxa" w:w="1656"/>
          </w:tcPr>
          <w:p>
            <w:pPr>
              <w:spacing w:after="20"/>
              <w:jc w:val="right"/>
            </w:pPr>
            <w:r>
              <w:rPr>
                <w:color w:val="1C3A36"/>
                <w:sz w:val="14"/>
              </w:rPr>
              <w:t>8,812.397</w:t>
            </w:r>
          </w:p>
        </w:tc>
        <w:tc>
          <w:tcPr>
            <w:tcW w:type="dxa" w:w="5616"/>
          </w:tcPr>
          <w:p>
            <w:pPr>
              <w:spacing w:after="20"/>
              <w:jc w:val="right"/>
            </w:pPr>
            <w:r>
              <w:rPr>
                <w:color w:val="1C3A36"/>
                <w:sz w:val="14"/>
              </w:rPr>
              <w:t>Property, plant and equipment,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ip_fy25</w:t>
            </w:r>
          </w:p>
        </w:tc>
        <w:tc>
          <w:tcPr>
            <w:tcW w:type="dxa" w:w="1656"/>
          </w:tcPr>
          <w:p>
            <w:pPr>
              <w:spacing w:after="20"/>
              <w:jc w:val="right"/>
            </w:pPr>
            <w:r>
              <w:rPr>
                <w:color w:val="1C3A36"/>
                <w:sz w:val="14"/>
              </w:rPr>
              <w:t>9,461.777</w:t>
            </w:r>
          </w:p>
        </w:tc>
        <w:tc>
          <w:tcPr>
            <w:tcW w:type="dxa" w:w="5616"/>
          </w:tcPr>
          <w:p>
            <w:pPr>
              <w:spacing w:after="20"/>
              <w:jc w:val="right"/>
            </w:pPr>
            <w:r>
              <w:rPr>
                <w:color w:val="1C3A36"/>
                <w:sz w:val="14"/>
              </w:rPr>
              <w:t>Investment properties,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intang_fy25</w:t>
            </w:r>
          </w:p>
        </w:tc>
        <w:tc>
          <w:tcPr>
            <w:tcW w:type="dxa" w:w="1656"/>
          </w:tcPr>
          <w:p>
            <w:pPr>
              <w:spacing w:after="20"/>
              <w:jc w:val="right"/>
            </w:pPr>
            <w:r>
              <w:rPr>
                <w:color w:val="1C3A36"/>
                <w:sz w:val="14"/>
              </w:rPr>
              <w:t>952.423</w:t>
            </w:r>
          </w:p>
        </w:tc>
        <w:tc>
          <w:tcPr>
            <w:tcW w:type="dxa" w:w="5616"/>
          </w:tcPr>
          <w:p>
            <w:pPr>
              <w:spacing w:after="20"/>
              <w:jc w:val="right"/>
            </w:pPr>
            <w:r>
              <w:rPr>
                <w:color w:val="1C3A36"/>
                <w:sz w:val="14"/>
              </w:rPr>
              <w:t>Intangible assets and goodwill,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rou_fy25</w:t>
            </w:r>
          </w:p>
        </w:tc>
        <w:tc>
          <w:tcPr>
            <w:tcW w:type="dxa" w:w="1656"/>
          </w:tcPr>
          <w:p>
            <w:pPr>
              <w:spacing w:after="20"/>
              <w:jc w:val="right"/>
            </w:pPr>
            <w:r>
              <w:rPr>
                <w:color w:val="1C3A36"/>
                <w:sz w:val="14"/>
              </w:rPr>
              <w:t>530.349</w:t>
            </w:r>
          </w:p>
        </w:tc>
        <w:tc>
          <w:tcPr>
            <w:tcW w:type="dxa" w:w="5616"/>
          </w:tcPr>
          <w:p>
            <w:pPr>
              <w:spacing w:after="20"/>
              <w:jc w:val="right"/>
            </w:pPr>
            <w:r>
              <w:rPr>
                <w:color w:val="1C3A36"/>
                <w:sz w:val="14"/>
              </w:rPr>
              <w:t>Right-of-use assets,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assoc_bv_fy25</w:t>
            </w:r>
          </w:p>
        </w:tc>
        <w:tc>
          <w:tcPr>
            <w:tcW w:type="dxa" w:w="1656"/>
          </w:tcPr>
          <w:p>
            <w:pPr>
              <w:spacing w:after="20"/>
              <w:jc w:val="right"/>
            </w:pPr>
            <w:r>
              <w:rPr>
                <w:color w:val="1C3A36"/>
                <w:sz w:val="14"/>
              </w:rPr>
              <w:t>3,723.897</w:t>
            </w:r>
          </w:p>
        </w:tc>
        <w:tc>
          <w:tcPr>
            <w:tcW w:type="dxa" w:w="5616"/>
          </w:tcPr>
          <w:p>
            <w:pPr>
              <w:spacing w:after="20"/>
              <w:jc w:val="right"/>
            </w:pPr>
            <w:r>
              <w:rPr>
                <w:color w:val="1C3A36"/>
                <w:sz w:val="14"/>
              </w:rPr>
              <w:t>Investments in associates and JVs,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finass_fy25</w:t>
            </w:r>
          </w:p>
        </w:tc>
        <w:tc>
          <w:tcPr>
            <w:tcW w:type="dxa" w:w="1656"/>
          </w:tcPr>
          <w:p>
            <w:pPr>
              <w:spacing w:after="20"/>
              <w:jc w:val="right"/>
            </w:pPr>
            <w:r>
              <w:rPr>
                <w:color w:val="1C3A36"/>
                <w:sz w:val="14"/>
              </w:rPr>
              <w:t>394.305</w:t>
            </w:r>
          </w:p>
        </w:tc>
        <w:tc>
          <w:tcPr>
            <w:tcW w:type="dxa" w:w="5616"/>
          </w:tcPr>
          <w:p>
            <w:pPr>
              <w:spacing w:after="20"/>
              <w:jc w:val="right"/>
            </w:pPr>
            <w:r>
              <w:rPr>
                <w:color w:val="1C3A36"/>
                <w:sz w:val="14"/>
              </w:rPr>
              <w:t>Investments in financial assets, non-current 339.620 + current 54.685,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inv_fy25</w:t>
            </w:r>
          </w:p>
        </w:tc>
        <w:tc>
          <w:tcPr>
            <w:tcW w:type="dxa" w:w="1656"/>
          </w:tcPr>
          <w:p>
            <w:pPr>
              <w:spacing w:after="20"/>
              <w:jc w:val="right"/>
            </w:pPr>
            <w:r>
              <w:rPr>
                <w:color w:val="1C3A36"/>
                <w:sz w:val="14"/>
              </w:rPr>
              <w:t>27,297.588</w:t>
            </w:r>
          </w:p>
        </w:tc>
        <w:tc>
          <w:tcPr>
            <w:tcW w:type="dxa" w:w="5616"/>
          </w:tcPr>
          <w:p>
            <w:pPr>
              <w:spacing w:after="20"/>
              <w:jc w:val="right"/>
            </w:pPr>
            <w:r>
              <w:rPr>
                <w:color w:val="1C3A36"/>
                <w:sz w:val="14"/>
              </w:rPr>
              <w:t>Inventories (land plots 26,610.771 + properties 635.198 + spares 51.619),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dwip_fy25</w:t>
            </w:r>
          </w:p>
        </w:tc>
        <w:tc>
          <w:tcPr>
            <w:tcW w:type="dxa" w:w="1656"/>
          </w:tcPr>
          <w:p>
            <w:pPr>
              <w:spacing w:after="20"/>
              <w:jc w:val="right"/>
            </w:pPr>
            <w:r>
              <w:rPr>
                <w:color w:val="1C3A36"/>
                <w:sz w:val="14"/>
              </w:rPr>
              <w:t>6,111.794</w:t>
            </w:r>
          </w:p>
        </w:tc>
        <w:tc>
          <w:tcPr>
            <w:tcW w:type="dxa" w:w="5616"/>
          </w:tcPr>
          <w:p>
            <w:pPr>
              <w:spacing w:after="20"/>
              <w:jc w:val="right"/>
            </w:pPr>
            <w:r>
              <w:rPr>
                <w:color w:val="1C3A36"/>
                <w:sz w:val="14"/>
              </w:rPr>
              <w:t>Development work-in-progress,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recv_fy25</w:t>
            </w:r>
          </w:p>
        </w:tc>
        <w:tc>
          <w:tcPr>
            <w:tcW w:type="dxa" w:w="1656"/>
          </w:tcPr>
          <w:p>
            <w:pPr>
              <w:spacing w:after="20"/>
              <w:jc w:val="right"/>
            </w:pPr>
            <w:r>
              <w:rPr>
                <w:color w:val="1C3A36"/>
                <w:sz w:val="14"/>
              </w:rPr>
              <w:t>8,703.594</w:t>
            </w:r>
          </w:p>
        </w:tc>
        <w:tc>
          <w:tcPr>
            <w:tcW w:type="dxa" w:w="5616"/>
          </w:tcPr>
          <w:p>
            <w:pPr>
              <w:spacing w:after="20"/>
              <w:jc w:val="right"/>
            </w:pPr>
            <w:r>
              <w:rPr>
                <w:color w:val="1C3A36"/>
                <w:sz w:val="14"/>
              </w:rPr>
              <w:t>Trade and other receivables, NC + C,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duefr_fy25</w:t>
            </w:r>
          </w:p>
        </w:tc>
        <w:tc>
          <w:tcPr>
            <w:tcW w:type="dxa" w:w="1656"/>
          </w:tcPr>
          <w:p>
            <w:pPr>
              <w:spacing w:after="20"/>
              <w:jc w:val="right"/>
            </w:pPr>
            <w:r>
              <w:rPr>
                <w:color w:val="1C3A36"/>
                <w:sz w:val="14"/>
              </w:rPr>
              <w:t>7,931.529</w:t>
            </w:r>
          </w:p>
        </w:tc>
        <w:tc>
          <w:tcPr>
            <w:tcW w:type="dxa" w:w="5616"/>
          </w:tcPr>
          <w:p>
            <w:pPr>
              <w:spacing w:after="20"/>
              <w:jc w:val="right"/>
            </w:pPr>
            <w:r>
              <w:rPr>
                <w:color w:val="1C3A36"/>
                <w:sz w:val="14"/>
              </w:rPr>
              <w:t>Amounts due from related parties, NC + C (incl. Department of Finance 5,998.151),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cash_fy25</w:t>
            </w:r>
          </w:p>
        </w:tc>
        <w:tc>
          <w:tcPr>
            <w:tcW w:type="dxa" w:w="1656"/>
          </w:tcPr>
          <w:p>
            <w:pPr>
              <w:spacing w:after="20"/>
              <w:jc w:val="right"/>
            </w:pPr>
            <w:r>
              <w:rPr>
                <w:color w:val="1C3A36"/>
                <w:sz w:val="14"/>
              </w:rPr>
              <w:t>12,641.987</w:t>
            </w:r>
          </w:p>
        </w:tc>
        <w:tc>
          <w:tcPr>
            <w:tcW w:type="dxa" w:w="5616"/>
          </w:tcPr>
          <w:p>
            <w:pPr>
              <w:spacing w:after="20"/>
              <w:jc w:val="right"/>
            </w:pPr>
            <w:r>
              <w:rPr>
                <w:color w:val="1C3A36"/>
                <w:sz w:val="14"/>
              </w:rPr>
              <w:t>Cash and bank balances (incl. escrow 3,311.941 + restricted 735.174),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dta_fy25</w:t>
            </w:r>
          </w:p>
        </w:tc>
        <w:tc>
          <w:tcPr>
            <w:tcW w:type="dxa" w:w="1656"/>
          </w:tcPr>
          <w:p>
            <w:pPr>
              <w:spacing w:after="20"/>
              <w:jc w:val="right"/>
            </w:pPr>
            <w:r>
              <w:rPr>
                <w:color w:val="1C3A36"/>
                <w:sz w:val="14"/>
              </w:rPr>
              <w:t>469.345</w:t>
            </w:r>
          </w:p>
        </w:tc>
        <w:tc>
          <w:tcPr>
            <w:tcW w:type="dxa" w:w="5616"/>
          </w:tcPr>
          <w:p>
            <w:pPr>
              <w:spacing w:after="20"/>
              <w:jc w:val="right"/>
            </w:pPr>
            <w:r>
              <w:rPr>
                <w:color w:val="1C3A36"/>
                <w:sz w:val="14"/>
              </w:rPr>
              <w:t>Deferred tax assets,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assets_fy25</w:t>
            </w:r>
          </w:p>
        </w:tc>
        <w:tc>
          <w:tcPr>
            <w:tcW w:type="dxa" w:w="1656"/>
          </w:tcPr>
          <w:p>
            <w:pPr>
              <w:spacing w:after="20"/>
              <w:jc w:val="right"/>
            </w:pPr>
            <w:r>
              <w:rPr>
                <w:color w:val="1C3A36"/>
                <w:sz w:val="14"/>
              </w:rPr>
              <w:t>87,030.985</w:t>
            </w:r>
          </w:p>
        </w:tc>
        <w:tc>
          <w:tcPr>
            <w:tcW w:type="dxa" w:w="5616"/>
          </w:tcPr>
          <w:p>
            <w:pPr>
              <w:spacing w:after="20"/>
              <w:jc w:val="right"/>
            </w:pPr>
            <w:r>
              <w:rPr>
                <w:color w:val="1C3A36"/>
                <w:sz w:val="14"/>
              </w:rPr>
              <w:t>Total assets,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eqp_fy25</w:t>
            </w:r>
          </w:p>
        </w:tc>
        <w:tc>
          <w:tcPr>
            <w:tcW w:type="dxa" w:w="1656"/>
          </w:tcPr>
          <w:p>
            <w:pPr>
              <w:spacing w:after="20"/>
              <w:jc w:val="right"/>
            </w:pPr>
            <w:r>
              <w:rPr>
                <w:color w:val="1C3A36"/>
                <w:sz w:val="14"/>
              </w:rPr>
              <w:t>53,902.504</w:t>
            </w:r>
          </w:p>
        </w:tc>
        <w:tc>
          <w:tcPr>
            <w:tcW w:type="dxa" w:w="5616"/>
          </w:tcPr>
          <w:p>
            <w:pPr>
              <w:spacing w:after="20"/>
              <w:jc w:val="right"/>
            </w:pPr>
            <w:r>
              <w:rPr>
                <w:color w:val="1C3A36"/>
                <w:sz w:val="14"/>
              </w:rPr>
              <w:t>Equity attributable to owners of the Parent,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nci_fy25</w:t>
            </w:r>
          </w:p>
        </w:tc>
        <w:tc>
          <w:tcPr>
            <w:tcW w:type="dxa" w:w="1656"/>
          </w:tcPr>
          <w:p>
            <w:pPr>
              <w:spacing w:after="20"/>
              <w:jc w:val="right"/>
            </w:pPr>
            <w:r>
              <w:rPr>
                <w:color w:val="1C3A36"/>
                <w:sz w:val="14"/>
              </w:rPr>
              <w:t>847.48</w:t>
            </w:r>
          </w:p>
        </w:tc>
        <w:tc>
          <w:tcPr>
            <w:tcW w:type="dxa" w:w="5616"/>
          </w:tcPr>
          <w:p>
            <w:pPr>
              <w:spacing w:after="20"/>
              <w:jc w:val="right"/>
            </w:pPr>
            <w:r>
              <w:rPr>
                <w:color w:val="1C3A36"/>
                <w:sz w:val="14"/>
              </w:rPr>
              <w:t>Non-controlling interests,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loans_fy25</w:t>
            </w:r>
          </w:p>
        </w:tc>
        <w:tc>
          <w:tcPr>
            <w:tcW w:type="dxa" w:w="1656"/>
          </w:tcPr>
          <w:p>
            <w:pPr>
              <w:spacing w:after="20"/>
              <w:jc w:val="right"/>
            </w:pPr>
            <w:r>
              <w:rPr>
                <w:color w:val="1C3A36"/>
                <w:sz w:val="14"/>
              </w:rPr>
              <w:t>5,136.373</w:t>
            </w:r>
          </w:p>
        </w:tc>
        <w:tc>
          <w:tcPr>
            <w:tcW w:type="dxa" w:w="5616"/>
          </w:tcPr>
          <w:p>
            <w:pPr>
              <w:spacing w:after="20"/>
              <w:jc w:val="right"/>
            </w:pPr>
            <w:r>
              <w:rPr>
                <w:color w:val="1C3A36"/>
                <w:sz w:val="14"/>
              </w:rPr>
              <w:t>Loans and borrowings, NC 2,943.416 + C 2,192.957, note 29,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rploan_fy25</w:t>
            </w:r>
          </w:p>
        </w:tc>
        <w:tc>
          <w:tcPr>
            <w:tcW w:type="dxa" w:w="1656"/>
          </w:tcPr>
          <w:p>
            <w:pPr>
              <w:spacing w:after="20"/>
              <w:jc w:val="right"/>
            </w:pPr>
            <w:r>
              <w:rPr>
                <w:color w:val="1C3A36"/>
                <w:sz w:val="14"/>
              </w:rPr>
              <w:t>1,652.713</w:t>
            </w:r>
          </w:p>
        </w:tc>
        <w:tc>
          <w:tcPr>
            <w:tcW w:type="dxa" w:w="5616"/>
          </w:tcPr>
          <w:p>
            <w:pPr>
              <w:spacing w:after="20"/>
              <w:jc w:val="right"/>
            </w:pPr>
            <w:r>
              <w:rPr>
                <w:color w:val="1C3A36"/>
                <w:sz w:val="14"/>
              </w:rPr>
              <w:t>Loan from a related party, note 30,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lease_fy25</w:t>
            </w:r>
          </w:p>
        </w:tc>
        <w:tc>
          <w:tcPr>
            <w:tcW w:type="dxa" w:w="1656"/>
          </w:tcPr>
          <w:p>
            <w:pPr>
              <w:spacing w:after="20"/>
              <w:jc w:val="right"/>
            </w:pPr>
            <w:r>
              <w:rPr>
                <w:color w:val="1C3A36"/>
                <w:sz w:val="14"/>
              </w:rPr>
              <w:t>623.766</w:t>
            </w:r>
          </w:p>
        </w:tc>
        <w:tc>
          <w:tcPr>
            <w:tcW w:type="dxa" w:w="5616"/>
          </w:tcPr>
          <w:p>
            <w:pPr>
              <w:spacing w:after="20"/>
              <w:jc w:val="right"/>
            </w:pPr>
            <w:r>
              <w:rPr>
                <w:color w:val="1C3A36"/>
                <w:sz w:val="14"/>
              </w:rPr>
              <w:t>Lease liabilities, NC + C,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pay_fy25</w:t>
            </w:r>
          </w:p>
        </w:tc>
        <w:tc>
          <w:tcPr>
            <w:tcW w:type="dxa" w:w="1656"/>
          </w:tcPr>
          <w:p>
            <w:pPr>
              <w:spacing w:after="20"/>
              <w:jc w:val="right"/>
            </w:pPr>
            <w:r>
              <w:rPr>
                <w:color w:val="1C3A36"/>
                <w:sz w:val="14"/>
              </w:rPr>
              <w:t>21,407.874</w:t>
            </w:r>
          </w:p>
        </w:tc>
        <w:tc>
          <w:tcPr>
            <w:tcW w:type="dxa" w:w="5616"/>
          </w:tcPr>
          <w:p>
            <w:pPr>
              <w:spacing w:after="20"/>
              <w:jc w:val="right"/>
            </w:pPr>
            <w:r>
              <w:rPr>
                <w:color w:val="1C3A36"/>
                <w:sz w:val="14"/>
              </w:rPr>
              <w:t>Trade and other payables, NC + C,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dueto_fy25</w:t>
            </w:r>
          </w:p>
        </w:tc>
        <w:tc>
          <w:tcPr>
            <w:tcW w:type="dxa" w:w="1656"/>
          </w:tcPr>
          <w:p>
            <w:pPr>
              <w:spacing w:after="20"/>
              <w:jc w:val="right"/>
            </w:pPr>
            <w:r>
              <w:rPr>
                <w:color w:val="1C3A36"/>
                <w:sz w:val="14"/>
              </w:rPr>
              <w:t>1,693.721</w:t>
            </w:r>
          </w:p>
        </w:tc>
        <w:tc>
          <w:tcPr>
            <w:tcW w:type="dxa" w:w="5616"/>
          </w:tcPr>
          <w:p>
            <w:pPr>
              <w:spacing w:after="20"/>
              <w:jc w:val="right"/>
            </w:pPr>
            <w:r>
              <w:rPr>
                <w:color w:val="1C3A36"/>
                <w:sz w:val="14"/>
              </w:rPr>
              <w:t>Amounts due to related parties, NC + C,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taxpay_fy25</w:t>
            </w:r>
          </w:p>
        </w:tc>
        <w:tc>
          <w:tcPr>
            <w:tcW w:type="dxa" w:w="1656"/>
          </w:tcPr>
          <w:p>
            <w:pPr>
              <w:spacing w:after="20"/>
              <w:jc w:val="right"/>
            </w:pPr>
            <w:r>
              <w:rPr>
                <w:color w:val="1C3A36"/>
                <w:sz w:val="14"/>
              </w:rPr>
              <w:t>468.089</w:t>
            </w:r>
          </w:p>
        </w:tc>
        <w:tc>
          <w:tcPr>
            <w:tcW w:type="dxa" w:w="5616"/>
          </w:tcPr>
          <w:p>
            <w:pPr>
              <w:spacing w:after="20"/>
              <w:jc w:val="right"/>
            </w:pPr>
            <w:r>
              <w:rPr>
                <w:color w:val="1C3A36"/>
                <w:sz w:val="14"/>
              </w:rPr>
              <w:t>Income tax payable,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dtl_fy25</w:t>
            </w:r>
          </w:p>
        </w:tc>
        <w:tc>
          <w:tcPr>
            <w:tcW w:type="dxa" w:w="1656"/>
          </w:tcPr>
          <w:p>
            <w:pPr>
              <w:spacing w:after="20"/>
              <w:jc w:val="right"/>
            </w:pPr>
            <w:r>
              <w:rPr>
                <w:color w:val="1C3A36"/>
                <w:sz w:val="14"/>
              </w:rPr>
              <w:t>1,131.012</w:t>
            </w:r>
          </w:p>
        </w:tc>
        <w:tc>
          <w:tcPr>
            <w:tcW w:type="dxa" w:w="5616"/>
          </w:tcPr>
          <w:p>
            <w:pPr>
              <w:spacing w:after="20"/>
              <w:jc w:val="right"/>
            </w:pPr>
            <w:r>
              <w:rPr>
                <w:color w:val="1C3A36"/>
                <w:sz w:val="14"/>
              </w:rPr>
              <w:t>Deferred tax liabilities,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eosb_fy25</w:t>
            </w:r>
          </w:p>
        </w:tc>
        <w:tc>
          <w:tcPr>
            <w:tcW w:type="dxa" w:w="1656"/>
          </w:tcPr>
          <w:p>
            <w:pPr>
              <w:spacing w:after="20"/>
              <w:jc w:val="right"/>
            </w:pPr>
            <w:r>
              <w:rPr>
                <w:color w:val="1C3A36"/>
                <w:sz w:val="14"/>
              </w:rPr>
              <w:t>167.453</w:t>
            </w:r>
          </w:p>
        </w:tc>
        <w:tc>
          <w:tcPr>
            <w:tcW w:type="dxa" w:w="5616"/>
          </w:tcPr>
          <w:p>
            <w:pPr>
              <w:spacing w:after="20"/>
              <w:jc w:val="right"/>
            </w:pPr>
            <w:r>
              <w:rPr>
                <w:color w:val="1C3A36"/>
                <w:sz w:val="14"/>
              </w:rPr>
              <w:t>Employees' end of service benefits,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liab_fy25</w:t>
            </w:r>
          </w:p>
        </w:tc>
        <w:tc>
          <w:tcPr>
            <w:tcW w:type="dxa" w:w="1656"/>
          </w:tcPr>
          <w:p>
            <w:pPr>
              <w:spacing w:after="20"/>
              <w:jc w:val="right"/>
            </w:pPr>
            <w:r>
              <w:rPr>
                <w:color w:val="1C3A36"/>
                <w:sz w:val="14"/>
              </w:rPr>
              <w:t>32,281.001</w:t>
            </w:r>
          </w:p>
        </w:tc>
        <w:tc>
          <w:tcPr>
            <w:tcW w:type="dxa" w:w="5616"/>
          </w:tcPr>
          <w:p>
            <w:pPr>
              <w:spacing w:after="20"/>
              <w:jc w:val="right"/>
            </w:pPr>
            <w:r>
              <w:rPr>
                <w:color w:val="1C3A36"/>
                <w:sz w:val="14"/>
              </w:rPr>
              <w:t>Total liabilities,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ppe_fy24</w:t>
            </w:r>
          </w:p>
        </w:tc>
        <w:tc>
          <w:tcPr>
            <w:tcW w:type="dxa" w:w="1656"/>
          </w:tcPr>
          <w:p>
            <w:pPr>
              <w:spacing w:after="20"/>
              <w:jc w:val="right"/>
            </w:pPr>
            <w:r>
              <w:rPr>
                <w:color w:val="1C3A36"/>
                <w:sz w:val="14"/>
              </w:rPr>
              <w:t>7,593.191</w:t>
            </w:r>
          </w:p>
        </w:tc>
        <w:tc>
          <w:tcPr>
            <w:tcW w:type="dxa" w:w="5616"/>
          </w:tcPr>
          <w:p>
            <w:pPr>
              <w:spacing w:after="20"/>
              <w:jc w:val="right"/>
            </w:pPr>
            <w:r>
              <w:rPr>
                <w:color w:val="1C3A36"/>
                <w:sz w:val="14"/>
              </w:rPr>
              <w:t>PP&amp;E,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ip_fy24</w:t>
            </w:r>
          </w:p>
        </w:tc>
        <w:tc>
          <w:tcPr>
            <w:tcW w:type="dxa" w:w="1656"/>
          </w:tcPr>
          <w:p>
            <w:pPr>
              <w:spacing w:after="20"/>
              <w:jc w:val="right"/>
            </w:pPr>
            <w:r>
              <w:rPr>
                <w:color w:val="1C3A36"/>
                <w:sz w:val="14"/>
              </w:rPr>
              <w:t>9,336.725</w:t>
            </w:r>
          </w:p>
        </w:tc>
        <w:tc>
          <w:tcPr>
            <w:tcW w:type="dxa" w:w="5616"/>
          </w:tcPr>
          <w:p>
            <w:pPr>
              <w:spacing w:after="20"/>
              <w:jc w:val="right"/>
            </w:pPr>
            <w:r>
              <w:rPr>
                <w:color w:val="1C3A36"/>
                <w:sz w:val="14"/>
              </w:rPr>
              <w:t>Investment properties,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inv_fy24</w:t>
            </w:r>
          </w:p>
        </w:tc>
        <w:tc>
          <w:tcPr>
            <w:tcW w:type="dxa" w:w="1656"/>
          </w:tcPr>
          <w:p>
            <w:pPr>
              <w:spacing w:after="20"/>
              <w:jc w:val="right"/>
            </w:pPr>
            <w:r>
              <w:rPr>
                <w:color w:val="1C3A36"/>
                <w:sz w:val="14"/>
              </w:rPr>
              <w:t>29,586.274</w:t>
            </w:r>
          </w:p>
        </w:tc>
        <w:tc>
          <w:tcPr>
            <w:tcW w:type="dxa" w:w="5616"/>
          </w:tcPr>
          <w:p>
            <w:pPr>
              <w:spacing w:after="20"/>
              <w:jc w:val="right"/>
            </w:pPr>
            <w:r>
              <w:rPr>
                <w:color w:val="1C3A36"/>
                <w:sz w:val="14"/>
              </w:rPr>
              <w:t>Inventories,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dwip_fy24</w:t>
            </w:r>
          </w:p>
        </w:tc>
        <w:tc>
          <w:tcPr>
            <w:tcW w:type="dxa" w:w="1656"/>
          </w:tcPr>
          <w:p>
            <w:pPr>
              <w:spacing w:after="20"/>
              <w:jc w:val="right"/>
            </w:pPr>
            <w:r>
              <w:rPr>
                <w:color w:val="1C3A36"/>
                <w:sz w:val="14"/>
              </w:rPr>
              <w:t>2,461.672</w:t>
            </w:r>
          </w:p>
        </w:tc>
        <w:tc>
          <w:tcPr>
            <w:tcW w:type="dxa" w:w="5616"/>
          </w:tcPr>
          <w:p>
            <w:pPr>
              <w:spacing w:after="20"/>
              <w:jc w:val="right"/>
            </w:pPr>
            <w:r>
              <w:rPr>
                <w:color w:val="1C3A36"/>
                <w:sz w:val="14"/>
              </w:rPr>
              <w:t>Development WIP,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recv_fy24</w:t>
            </w:r>
          </w:p>
        </w:tc>
        <w:tc>
          <w:tcPr>
            <w:tcW w:type="dxa" w:w="1656"/>
          </w:tcPr>
          <w:p>
            <w:pPr>
              <w:spacing w:after="20"/>
              <w:jc w:val="right"/>
            </w:pPr>
            <w:r>
              <w:rPr>
                <w:color w:val="1C3A36"/>
                <w:sz w:val="14"/>
              </w:rPr>
              <w:t>3,529.025</w:t>
            </w:r>
          </w:p>
        </w:tc>
        <w:tc>
          <w:tcPr>
            <w:tcW w:type="dxa" w:w="5616"/>
          </w:tcPr>
          <w:p>
            <w:pPr>
              <w:spacing w:after="20"/>
              <w:jc w:val="right"/>
            </w:pPr>
            <w:r>
              <w:rPr>
                <w:color w:val="1C3A36"/>
                <w:sz w:val="14"/>
              </w:rPr>
              <w:t>Trade and other receivables, FY2024,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duefr_fy24</w:t>
            </w:r>
          </w:p>
        </w:tc>
        <w:tc>
          <w:tcPr>
            <w:tcW w:type="dxa" w:w="1656"/>
          </w:tcPr>
          <w:p>
            <w:pPr>
              <w:spacing w:after="20"/>
              <w:jc w:val="right"/>
            </w:pPr>
            <w:r>
              <w:rPr>
                <w:color w:val="1C3A36"/>
                <w:sz w:val="14"/>
              </w:rPr>
              <w:t>9,314.779</w:t>
            </w:r>
          </w:p>
        </w:tc>
        <w:tc>
          <w:tcPr>
            <w:tcW w:type="dxa" w:w="5616"/>
          </w:tcPr>
          <w:p>
            <w:pPr>
              <w:spacing w:after="20"/>
              <w:jc w:val="right"/>
            </w:pPr>
            <w:r>
              <w:rPr>
                <w:color w:val="1C3A36"/>
                <w:sz w:val="14"/>
              </w:rPr>
              <w:t>Amounts due from related parties, FY2024,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cash_fy24</w:t>
            </w:r>
          </w:p>
        </w:tc>
        <w:tc>
          <w:tcPr>
            <w:tcW w:type="dxa" w:w="1656"/>
          </w:tcPr>
          <w:p>
            <w:pPr>
              <w:spacing w:after="20"/>
              <w:jc w:val="right"/>
            </w:pPr>
            <w:r>
              <w:rPr>
                <w:color w:val="1C3A36"/>
                <w:sz w:val="14"/>
              </w:rPr>
              <w:t>7,009.67</w:t>
            </w:r>
          </w:p>
        </w:tc>
        <w:tc>
          <w:tcPr>
            <w:tcW w:type="dxa" w:w="5616"/>
          </w:tcPr>
          <w:p>
            <w:pPr>
              <w:spacing w:after="20"/>
              <w:jc w:val="right"/>
            </w:pPr>
            <w:r>
              <w:rPr>
                <w:color w:val="1C3A36"/>
                <w:sz w:val="14"/>
              </w:rPr>
              <w:t>Cash and bank balances, FY2024,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assets_fy24</w:t>
            </w:r>
          </w:p>
        </w:tc>
        <w:tc>
          <w:tcPr>
            <w:tcW w:type="dxa" w:w="1656"/>
          </w:tcPr>
          <w:p>
            <w:pPr>
              <w:spacing w:after="20"/>
              <w:jc w:val="right"/>
            </w:pPr>
            <w:r>
              <w:rPr>
                <w:color w:val="1C3A36"/>
                <w:sz w:val="14"/>
              </w:rPr>
              <w:t>75,925.281</w:t>
            </w:r>
          </w:p>
        </w:tc>
        <w:tc>
          <w:tcPr>
            <w:tcW w:type="dxa" w:w="5616"/>
          </w:tcPr>
          <w:p>
            <w:pPr>
              <w:spacing w:after="20"/>
              <w:jc w:val="right"/>
            </w:pPr>
            <w:r>
              <w:rPr>
                <w:color w:val="1C3A36"/>
                <w:sz w:val="14"/>
              </w:rPr>
              <w:t>Total assets, FY2024,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eqp_fy24</w:t>
            </w:r>
          </w:p>
        </w:tc>
        <w:tc>
          <w:tcPr>
            <w:tcW w:type="dxa" w:w="1656"/>
          </w:tcPr>
          <w:p>
            <w:pPr>
              <w:spacing w:after="20"/>
              <w:jc w:val="right"/>
            </w:pPr>
            <w:r>
              <w:rPr>
                <w:color w:val="1C3A36"/>
                <w:sz w:val="14"/>
              </w:rPr>
              <w:t>49,676.408</w:t>
            </w:r>
          </w:p>
        </w:tc>
        <w:tc>
          <w:tcPr>
            <w:tcW w:type="dxa" w:w="5616"/>
          </w:tcPr>
          <w:p>
            <w:pPr>
              <w:spacing w:after="20"/>
              <w:jc w:val="right"/>
            </w:pPr>
            <w:r>
              <w:rPr>
                <w:color w:val="1C3A36"/>
                <w:sz w:val="14"/>
              </w:rPr>
              <w:t>Equity attributable to owners, FY2024,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nci_fy24</w:t>
            </w:r>
          </w:p>
        </w:tc>
        <w:tc>
          <w:tcPr>
            <w:tcW w:type="dxa" w:w="1656"/>
          </w:tcPr>
          <w:p>
            <w:pPr>
              <w:spacing w:after="20"/>
              <w:jc w:val="right"/>
            </w:pPr>
            <w:r>
              <w:rPr>
                <w:color w:val="1C3A36"/>
                <w:sz w:val="14"/>
              </w:rPr>
              <w:t>1,186.183</w:t>
            </w:r>
          </w:p>
        </w:tc>
        <w:tc>
          <w:tcPr>
            <w:tcW w:type="dxa" w:w="5616"/>
          </w:tcPr>
          <w:p>
            <w:pPr>
              <w:spacing w:after="20"/>
              <w:jc w:val="right"/>
            </w:pPr>
            <w:r>
              <w:rPr>
                <w:color w:val="1C3A36"/>
                <w:sz w:val="14"/>
              </w:rPr>
              <w:t>Non-controlling interests, FY2024,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loans_fy24</w:t>
            </w:r>
          </w:p>
        </w:tc>
        <w:tc>
          <w:tcPr>
            <w:tcW w:type="dxa" w:w="1656"/>
          </w:tcPr>
          <w:p>
            <w:pPr>
              <w:spacing w:after="20"/>
              <w:jc w:val="right"/>
            </w:pPr>
            <w:r>
              <w:rPr>
                <w:color w:val="1C3A36"/>
                <w:sz w:val="14"/>
              </w:rPr>
              <w:t>3,711.397</w:t>
            </w:r>
          </w:p>
        </w:tc>
        <w:tc>
          <w:tcPr>
            <w:tcW w:type="dxa" w:w="5616"/>
          </w:tcPr>
          <w:p>
            <w:pPr>
              <w:spacing w:after="20"/>
              <w:jc w:val="right"/>
            </w:pPr>
            <w:r>
              <w:rPr>
                <w:color w:val="1C3A36"/>
                <w:sz w:val="14"/>
              </w:rPr>
              <w:t>Loans and borrowings, FY2024, note 29,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rploan_fy24</w:t>
            </w:r>
          </w:p>
        </w:tc>
        <w:tc>
          <w:tcPr>
            <w:tcW w:type="dxa" w:w="1656"/>
          </w:tcPr>
          <w:p>
            <w:pPr>
              <w:spacing w:after="20"/>
              <w:jc w:val="right"/>
            </w:pPr>
            <w:r>
              <w:rPr>
                <w:color w:val="1C3A36"/>
                <w:sz w:val="14"/>
              </w:rPr>
              <w:t>1,652.713</w:t>
            </w:r>
          </w:p>
        </w:tc>
        <w:tc>
          <w:tcPr>
            <w:tcW w:type="dxa" w:w="5616"/>
          </w:tcPr>
          <w:p>
            <w:pPr>
              <w:spacing w:after="20"/>
              <w:jc w:val="right"/>
            </w:pPr>
            <w:r>
              <w:rPr>
                <w:color w:val="1C3A36"/>
                <w:sz w:val="14"/>
              </w:rPr>
              <w:t>Loan from a related party, FY2024,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lease_fy24</w:t>
            </w:r>
          </w:p>
        </w:tc>
        <w:tc>
          <w:tcPr>
            <w:tcW w:type="dxa" w:w="1656"/>
          </w:tcPr>
          <w:p>
            <w:pPr>
              <w:spacing w:after="20"/>
              <w:jc w:val="right"/>
            </w:pPr>
            <w:r>
              <w:rPr>
                <w:color w:val="1C3A36"/>
                <w:sz w:val="14"/>
              </w:rPr>
              <w:t>511.977</w:t>
            </w:r>
          </w:p>
        </w:tc>
        <w:tc>
          <w:tcPr>
            <w:tcW w:type="dxa" w:w="5616"/>
          </w:tcPr>
          <w:p>
            <w:pPr>
              <w:spacing w:after="20"/>
              <w:jc w:val="right"/>
            </w:pPr>
            <w:r>
              <w:rPr>
                <w:color w:val="1C3A36"/>
                <w:sz w:val="14"/>
              </w:rPr>
              <w:t>Lease liabilities, FY2024,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pay_fy24</w:t>
            </w:r>
          </w:p>
        </w:tc>
        <w:tc>
          <w:tcPr>
            <w:tcW w:type="dxa" w:w="1656"/>
          </w:tcPr>
          <w:p>
            <w:pPr>
              <w:spacing w:after="20"/>
              <w:jc w:val="right"/>
            </w:pPr>
            <w:r>
              <w:rPr>
                <w:color w:val="1C3A36"/>
                <w:sz w:val="14"/>
              </w:rPr>
              <w:t>8,248.542</w:t>
            </w:r>
          </w:p>
        </w:tc>
        <w:tc>
          <w:tcPr>
            <w:tcW w:type="dxa" w:w="5616"/>
          </w:tcPr>
          <w:p>
            <w:pPr>
              <w:spacing w:after="20"/>
              <w:jc w:val="right"/>
            </w:pPr>
            <w:r>
              <w:rPr>
                <w:color w:val="1C3A36"/>
                <w:sz w:val="14"/>
              </w:rPr>
              <w:t>Trade and other payables, FY2024,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dueto_fy24</w:t>
            </w:r>
          </w:p>
        </w:tc>
        <w:tc>
          <w:tcPr>
            <w:tcW w:type="dxa" w:w="1656"/>
          </w:tcPr>
          <w:p>
            <w:pPr>
              <w:spacing w:after="20"/>
              <w:jc w:val="right"/>
            </w:pPr>
            <w:r>
              <w:rPr>
                <w:color w:val="1C3A36"/>
                <w:sz w:val="14"/>
              </w:rPr>
              <w:t>9,781.37</w:t>
            </w:r>
          </w:p>
        </w:tc>
        <w:tc>
          <w:tcPr>
            <w:tcW w:type="dxa" w:w="5616"/>
          </w:tcPr>
          <w:p>
            <w:pPr>
              <w:spacing w:after="20"/>
              <w:jc w:val="right"/>
            </w:pPr>
            <w:r>
              <w:rPr>
                <w:color w:val="1C3A36"/>
                <w:sz w:val="14"/>
              </w:rPr>
              <w:t>Amounts due to related parties, FY2024,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assoc_bv_fy24</w:t>
            </w:r>
          </w:p>
        </w:tc>
        <w:tc>
          <w:tcPr>
            <w:tcW w:type="dxa" w:w="1656"/>
          </w:tcPr>
          <w:p>
            <w:pPr>
              <w:spacing w:after="20"/>
              <w:jc w:val="right"/>
            </w:pPr>
            <w:r>
              <w:rPr>
                <w:color w:val="1C3A36"/>
                <w:sz w:val="14"/>
              </w:rPr>
              <w:t>2,242.891</w:t>
            </w:r>
          </w:p>
        </w:tc>
        <w:tc>
          <w:tcPr>
            <w:tcW w:type="dxa" w:w="5616"/>
          </w:tcPr>
          <w:p>
            <w:pPr>
              <w:spacing w:after="20"/>
              <w:jc w:val="right"/>
            </w:pPr>
            <w:r>
              <w:rPr>
                <w:color w:val="1C3A36"/>
                <w:sz w:val="14"/>
              </w:rPr>
              <w:t>Investments in associates and JVs, FY2024,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assets_fy23</w:t>
            </w:r>
          </w:p>
        </w:tc>
        <w:tc>
          <w:tcPr>
            <w:tcW w:type="dxa" w:w="1656"/>
          </w:tcPr>
          <w:p>
            <w:pPr>
              <w:spacing w:after="20"/>
              <w:jc w:val="right"/>
            </w:pPr>
            <w:r>
              <w:rPr>
                <w:color w:val="1C3A36"/>
                <w:sz w:val="14"/>
              </w:rPr>
              <w:t>21,311.081</w:t>
            </w:r>
          </w:p>
        </w:tc>
        <w:tc>
          <w:tcPr>
            <w:tcW w:type="dxa" w:w="5616"/>
          </w:tcPr>
          <w:p>
            <w:pPr>
              <w:spacing w:after="20"/>
              <w:jc w:val="right"/>
            </w:pPr>
            <w:r>
              <w:rPr>
                <w:color w:val="1C3A36"/>
                <w:sz w:val="14"/>
              </w:rPr>
              <w:t>Total assets, Audited consolidated financial statements FY2023, Q Holding PSC, modon.com investor relations</w:t>
            </w:r>
          </w:p>
        </w:tc>
        <w:tc>
          <w:tcPr>
            <w:tcW w:type="dxa" w:w="1080"/>
          </w:tcPr>
          <w:p>
            <w:pPr>
              <w:spacing w:after="20"/>
              <w:jc w:val="right"/>
            </w:pPr>
            <w:r>
              <w:rPr>
                <w:color w:val="1C3A36"/>
                <w:sz w:val="14"/>
              </w:rPr>
              <w:t>2024-02-15</w:t>
            </w:r>
          </w:p>
        </w:tc>
      </w:tr>
      <w:tr>
        <w:tc>
          <w:tcPr>
            <w:tcW w:type="dxa" w:w="1800"/>
          </w:tcPr>
          <w:p>
            <w:pPr>
              <w:spacing w:after="20"/>
            </w:pPr>
            <w:r>
              <w:rPr>
                <w:color w:val="1C3A36"/>
                <w:sz w:val="14"/>
              </w:rPr>
              <w:t>eqp_fy23</w:t>
            </w:r>
          </w:p>
        </w:tc>
        <w:tc>
          <w:tcPr>
            <w:tcW w:type="dxa" w:w="1656"/>
          </w:tcPr>
          <w:p>
            <w:pPr>
              <w:spacing w:after="20"/>
              <w:jc w:val="right"/>
            </w:pPr>
            <w:r>
              <w:rPr>
                <w:color w:val="1C3A36"/>
                <w:sz w:val="14"/>
              </w:rPr>
              <w:t>13,769.094</w:t>
            </w:r>
          </w:p>
        </w:tc>
        <w:tc>
          <w:tcPr>
            <w:tcW w:type="dxa" w:w="5616"/>
          </w:tcPr>
          <w:p>
            <w:pPr>
              <w:spacing w:after="20"/>
              <w:jc w:val="right"/>
            </w:pPr>
            <w:r>
              <w:rPr>
                <w:color w:val="1C3A36"/>
                <w:sz w:val="14"/>
              </w:rPr>
              <w:t>Equity attributable to owners, Audited consolidated financial statements FY2023, Q Holding PSC, modon.com investor relations</w:t>
            </w:r>
          </w:p>
        </w:tc>
        <w:tc>
          <w:tcPr>
            <w:tcW w:type="dxa" w:w="1080"/>
          </w:tcPr>
          <w:p>
            <w:pPr>
              <w:spacing w:after="20"/>
              <w:jc w:val="right"/>
            </w:pPr>
            <w:r>
              <w:rPr>
                <w:color w:val="1C3A36"/>
                <w:sz w:val="14"/>
              </w:rPr>
              <w:t>2024-02-15</w:t>
            </w:r>
          </w:p>
        </w:tc>
      </w:tr>
      <w:tr>
        <w:tc>
          <w:tcPr>
            <w:tcW w:type="dxa" w:w="1800"/>
          </w:tcPr>
          <w:p>
            <w:pPr>
              <w:spacing w:after="20"/>
            </w:pPr>
            <w:r>
              <w:rPr>
                <w:color w:val="1C3A36"/>
                <w:sz w:val="14"/>
              </w:rPr>
              <w:t>nci_fy23</w:t>
            </w:r>
          </w:p>
        </w:tc>
        <w:tc>
          <w:tcPr>
            <w:tcW w:type="dxa" w:w="1656"/>
          </w:tcPr>
          <w:p>
            <w:pPr>
              <w:spacing w:after="20"/>
              <w:jc w:val="right"/>
            </w:pPr>
            <w:r>
              <w:rPr>
                <w:color w:val="1C3A36"/>
                <w:sz w:val="14"/>
              </w:rPr>
              <w:t>1,149.566</w:t>
            </w:r>
          </w:p>
        </w:tc>
        <w:tc>
          <w:tcPr>
            <w:tcW w:type="dxa" w:w="5616"/>
          </w:tcPr>
          <w:p>
            <w:pPr>
              <w:spacing w:after="20"/>
              <w:jc w:val="right"/>
            </w:pPr>
            <w:r>
              <w:rPr>
                <w:color w:val="1C3A36"/>
                <w:sz w:val="14"/>
              </w:rPr>
              <w:t>Non-controlling interests, Audited consolidated financial statements FY2023, Q Holding PSC, modon.com investor relations</w:t>
            </w:r>
          </w:p>
        </w:tc>
        <w:tc>
          <w:tcPr>
            <w:tcW w:type="dxa" w:w="1080"/>
          </w:tcPr>
          <w:p>
            <w:pPr>
              <w:spacing w:after="20"/>
              <w:jc w:val="right"/>
            </w:pPr>
            <w:r>
              <w:rPr>
                <w:color w:val="1C3A36"/>
                <w:sz w:val="14"/>
              </w:rPr>
              <w:t>2024-02-15</w:t>
            </w:r>
          </w:p>
        </w:tc>
      </w:tr>
      <w:tr>
        <w:tc>
          <w:tcPr>
            <w:tcW w:type="dxa" w:w="1800"/>
          </w:tcPr>
          <w:p>
            <w:pPr>
              <w:spacing w:after="20"/>
            </w:pPr>
            <w:r>
              <w:rPr>
                <w:color w:val="1C3A36"/>
                <w:sz w:val="14"/>
              </w:rPr>
              <w:t>loans_fy23</w:t>
            </w:r>
          </w:p>
        </w:tc>
        <w:tc>
          <w:tcPr>
            <w:tcW w:type="dxa" w:w="1656"/>
          </w:tcPr>
          <w:p>
            <w:pPr>
              <w:spacing w:after="20"/>
              <w:jc w:val="right"/>
            </w:pPr>
            <w:r>
              <w:rPr>
                <w:color w:val="1C3A36"/>
                <w:sz w:val="14"/>
              </w:rPr>
              <w:t>1,976.135</w:t>
            </w:r>
          </w:p>
        </w:tc>
        <w:tc>
          <w:tcPr>
            <w:tcW w:type="dxa" w:w="5616"/>
          </w:tcPr>
          <w:p>
            <w:pPr>
              <w:spacing w:after="20"/>
              <w:jc w:val="right"/>
            </w:pPr>
            <w:r>
              <w:rPr>
                <w:color w:val="1C3A36"/>
                <w:sz w:val="14"/>
              </w:rPr>
              <w:t>Loans and borrowings, NC + C, Audited consolidated financial statements FY2023, Q Holding PSC, modon.com investor relations</w:t>
            </w:r>
          </w:p>
        </w:tc>
        <w:tc>
          <w:tcPr>
            <w:tcW w:type="dxa" w:w="1080"/>
          </w:tcPr>
          <w:p>
            <w:pPr>
              <w:spacing w:after="20"/>
              <w:jc w:val="right"/>
            </w:pPr>
            <w:r>
              <w:rPr>
                <w:color w:val="1C3A36"/>
                <w:sz w:val="14"/>
              </w:rPr>
              <w:t>2024-02-15</w:t>
            </w:r>
          </w:p>
        </w:tc>
      </w:tr>
      <w:tr>
        <w:tc>
          <w:tcPr>
            <w:tcW w:type="dxa" w:w="1800"/>
          </w:tcPr>
          <w:p>
            <w:pPr>
              <w:spacing w:after="20"/>
            </w:pPr>
            <w:r>
              <w:rPr>
                <w:color w:val="1C3A36"/>
                <w:sz w:val="14"/>
              </w:rPr>
              <w:t>cash_fy23</w:t>
            </w:r>
          </w:p>
        </w:tc>
        <w:tc>
          <w:tcPr>
            <w:tcW w:type="dxa" w:w="1656"/>
          </w:tcPr>
          <w:p>
            <w:pPr>
              <w:spacing w:after="20"/>
              <w:jc w:val="right"/>
            </w:pPr>
            <w:r>
              <w:rPr>
                <w:color w:val="1C3A36"/>
                <w:sz w:val="14"/>
              </w:rPr>
              <w:t>2,259.902</w:t>
            </w:r>
          </w:p>
        </w:tc>
        <w:tc>
          <w:tcPr>
            <w:tcW w:type="dxa" w:w="5616"/>
          </w:tcPr>
          <w:p>
            <w:pPr>
              <w:spacing w:after="20"/>
              <w:jc w:val="right"/>
            </w:pPr>
            <w:r>
              <w:rPr>
                <w:color w:val="1C3A36"/>
                <w:sz w:val="14"/>
              </w:rPr>
              <w:t>Cash and bank balances, Audited consolidated financial statements FY2023, Q Holding PSC, modon.com investor relations</w:t>
            </w:r>
          </w:p>
        </w:tc>
        <w:tc>
          <w:tcPr>
            <w:tcW w:type="dxa" w:w="1080"/>
          </w:tcPr>
          <w:p>
            <w:pPr>
              <w:spacing w:after="20"/>
              <w:jc w:val="right"/>
            </w:pPr>
            <w:r>
              <w:rPr>
                <w:color w:val="1C3A36"/>
                <w:sz w:val="14"/>
              </w:rPr>
              <w:t>2024-02-15</w:t>
            </w:r>
          </w:p>
        </w:tc>
      </w:tr>
      <w:tr>
        <w:tc>
          <w:tcPr>
            <w:tcW w:type="dxa" w:w="1800"/>
          </w:tcPr>
          <w:p>
            <w:pPr>
              <w:spacing w:after="20"/>
            </w:pPr>
            <w:r>
              <w:rPr>
                <w:color w:val="1C3A36"/>
                <w:sz w:val="14"/>
              </w:rPr>
              <w:t>ip_fy23</w:t>
            </w:r>
          </w:p>
        </w:tc>
        <w:tc>
          <w:tcPr>
            <w:tcW w:type="dxa" w:w="1656"/>
          </w:tcPr>
          <w:p>
            <w:pPr>
              <w:spacing w:after="20"/>
              <w:jc w:val="right"/>
            </w:pPr>
            <w:r>
              <w:rPr>
                <w:color w:val="1C3A36"/>
                <w:sz w:val="14"/>
              </w:rPr>
              <w:t>7,536.858</w:t>
            </w:r>
          </w:p>
        </w:tc>
        <w:tc>
          <w:tcPr>
            <w:tcW w:type="dxa" w:w="5616"/>
          </w:tcPr>
          <w:p>
            <w:pPr>
              <w:spacing w:after="20"/>
              <w:jc w:val="right"/>
            </w:pPr>
            <w:r>
              <w:rPr>
                <w:color w:val="1C3A36"/>
                <w:sz w:val="14"/>
              </w:rPr>
              <w:t>Investment properties, Audited consolidated financial statements FY2023, Q Holding PSC, modon.com investor relations</w:t>
            </w:r>
          </w:p>
        </w:tc>
        <w:tc>
          <w:tcPr>
            <w:tcW w:type="dxa" w:w="1080"/>
          </w:tcPr>
          <w:p>
            <w:pPr>
              <w:spacing w:after="20"/>
              <w:jc w:val="right"/>
            </w:pPr>
            <w:r>
              <w:rPr>
                <w:color w:val="1C3A36"/>
                <w:sz w:val="14"/>
              </w:rPr>
              <w:t>2024-02-15</w:t>
            </w:r>
          </w:p>
        </w:tc>
      </w:tr>
      <w:tr>
        <w:tc>
          <w:tcPr>
            <w:tcW w:type="dxa" w:w="1800"/>
          </w:tcPr>
          <w:p>
            <w:pPr>
              <w:spacing w:after="20"/>
            </w:pPr>
            <w:r>
              <w:rPr>
                <w:color w:val="1C3A36"/>
                <w:sz w:val="14"/>
              </w:rPr>
              <w:t>inv_fy23</w:t>
            </w:r>
          </w:p>
        </w:tc>
        <w:tc>
          <w:tcPr>
            <w:tcW w:type="dxa" w:w="1656"/>
          </w:tcPr>
          <w:p>
            <w:pPr>
              <w:spacing w:after="20"/>
              <w:jc w:val="right"/>
            </w:pPr>
            <w:r>
              <w:rPr>
                <w:color w:val="1C3A36"/>
                <w:sz w:val="14"/>
              </w:rPr>
              <w:t>2,246.917</w:t>
            </w:r>
          </w:p>
        </w:tc>
        <w:tc>
          <w:tcPr>
            <w:tcW w:type="dxa" w:w="5616"/>
          </w:tcPr>
          <w:p>
            <w:pPr>
              <w:spacing w:after="20"/>
              <w:jc w:val="right"/>
            </w:pPr>
            <w:r>
              <w:rPr>
                <w:color w:val="1C3A36"/>
                <w:sz w:val="14"/>
              </w:rPr>
              <w:t>Inventory properties, Audited consolidated financial statements FY2023, Q Holding PSC, modon.com investor relations</w:t>
            </w:r>
          </w:p>
        </w:tc>
        <w:tc>
          <w:tcPr>
            <w:tcW w:type="dxa" w:w="1080"/>
          </w:tcPr>
          <w:p>
            <w:pPr>
              <w:spacing w:after="20"/>
              <w:jc w:val="right"/>
            </w:pPr>
            <w:r>
              <w:rPr>
                <w:color w:val="1C3A36"/>
                <w:sz w:val="14"/>
              </w:rPr>
              <w:t>2024-02-15</w:t>
            </w:r>
          </w:p>
        </w:tc>
      </w:tr>
      <w:tr>
        <w:tc>
          <w:tcPr>
            <w:tcW w:type="dxa" w:w="1800"/>
          </w:tcPr>
          <w:p>
            <w:pPr>
              <w:spacing w:after="20"/>
            </w:pPr>
            <w:r>
              <w:rPr>
                <w:color w:val="1C3A36"/>
                <w:sz w:val="14"/>
              </w:rPr>
              <w:t>netcash_company</w:t>
            </w:r>
          </w:p>
        </w:tc>
        <w:tc>
          <w:tcPr>
            <w:tcW w:type="dxa" w:w="1656"/>
          </w:tcPr>
          <w:p>
            <w:pPr>
              <w:spacing w:after="20"/>
              <w:jc w:val="right"/>
            </w:pPr>
            <w:r>
              <w:rPr>
                <w:color w:val="1C3A36"/>
                <w:sz w:val="14"/>
              </w:rPr>
              <w:t>1,800</w:t>
            </w:r>
          </w:p>
        </w:tc>
        <w:tc>
          <w:tcPr>
            <w:tcW w:type="dxa" w:w="5616"/>
          </w:tcPr>
          <w:p>
            <w:pPr>
              <w:spacing w:after="20"/>
              <w:jc w:val="right"/>
            </w:pPr>
            <w:r>
              <w:rPr>
                <w:color w:val="1C3A36"/>
                <w:sz w:val="14"/>
              </w:rPr>
              <w:t>Net cash AED 1.8bn on the company definition (available cash incl. qualifying escrow less total debt incl. the related-party loan), Modon FY2025 results announcement, modon.com media centre, 18-Feb-2026</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ocf_fy25</w:t>
            </w:r>
          </w:p>
        </w:tc>
        <w:tc>
          <w:tcPr>
            <w:tcW w:type="dxa" w:w="1656"/>
          </w:tcPr>
          <w:p>
            <w:pPr>
              <w:spacing w:after="20"/>
              <w:jc w:val="right"/>
            </w:pPr>
            <w:r>
              <w:rPr>
                <w:color w:val="1C3A36"/>
                <w:sz w:val="14"/>
              </w:rPr>
              <w:t>3,860.373</w:t>
            </w:r>
          </w:p>
        </w:tc>
        <w:tc>
          <w:tcPr>
            <w:tcW w:type="dxa" w:w="5616"/>
          </w:tcPr>
          <w:p>
            <w:pPr>
              <w:spacing w:after="20"/>
              <w:jc w:val="right"/>
            </w:pPr>
            <w:r>
              <w:rPr>
                <w:color w:val="1C3A36"/>
                <w:sz w:val="14"/>
              </w:rPr>
              <w:t>Net cash generated from operating activities,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ocf_fy24</w:t>
            </w:r>
          </w:p>
        </w:tc>
        <w:tc>
          <w:tcPr>
            <w:tcW w:type="dxa" w:w="1656"/>
          </w:tcPr>
          <w:p>
            <w:pPr>
              <w:spacing w:after="20"/>
              <w:jc w:val="right"/>
            </w:pPr>
            <w:r>
              <w:rPr>
                <w:color w:val="1C3A36"/>
                <w:sz w:val="14"/>
              </w:rPr>
              <w:t>3,231.447</w:t>
            </w:r>
          </w:p>
        </w:tc>
        <w:tc>
          <w:tcPr>
            <w:tcW w:type="dxa" w:w="5616"/>
          </w:tcPr>
          <w:p>
            <w:pPr>
              <w:spacing w:after="20"/>
              <w:jc w:val="right"/>
            </w:pPr>
            <w:r>
              <w:rPr>
                <w:color w:val="1C3A36"/>
                <w:sz w:val="14"/>
              </w:rPr>
              <w:t>Net cash from operating activities,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capex_fy25</w:t>
            </w:r>
          </w:p>
        </w:tc>
        <w:tc>
          <w:tcPr>
            <w:tcW w:type="dxa" w:w="1656"/>
          </w:tcPr>
          <w:p>
            <w:pPr>
              <w:spacing w:after="20"/>
              <w:jc w:val="right"/>
            </w:pPr>
            <w:r>
              <w:rPr>
                <w:color w:val="1C3A36"/>
                <w:sz w:val="14"/>
              </w:rPr>
              <w:t>1,260.566</w:t>
            </w:r>
          </w:p>
        </w:tc>
        <w:tc>
          <w:tcPr>
            <w:tcW w:type="dxa" w:w="5616"/>
          </w:tcPr>
          <w:p>
            <w:pPr>
              <w:spacing w:after="20"/>
              <w:jc w:val="right"/>
            </w:pPr>
            <w:r>
              <w:rPr>
                <w:color w:val="1C3A36"/>
                <w:sz w:val="14"/>
              </w:rPr>
              <w:t>Purchases of PP&amp;E 1,072.497 + intangibles 25.513 + investment properties 162.556, cash flow statement,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capex_fy24</w:t>
            </w:r>
          </w:p>
        </w:tc>
        <w:tc>
          <w:tcPr>
            <w:tcW w:type="dxa" w:w="1656"/>
          </w:tcPr>
          <w:p>
            <w:pPr>
              <w:spacing w:after="20"/>
              <w:jc w:val="right"/>
            </w:pPr>
            <w:r>
              <w:rPr>
                <w:color w:val="1C3A36"/>
                <w:sz w:val="14"/>
              </w:rPr>
              <w:t>1,247</w:t>
            </w:r>
          </w:p>
        </w:tc>
        <w:tc>
          <w:tcPr>
            <w:tcW w:type="dxa" w:w="5616"/>
          </w:tcPr>
          <w:p>
            <w:pPr>
              <w:spacing w:after="20"/>
              <w:jc w:val="right"/>
            </w:pPr>
            <w:r>
              <w:rPr>
                <w:color w:val="1C3A36"/>
                <w:sz w:val="14"/>
              </w:rPr>
              <w:t>Same three lines,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h1_26_rev</w:t>
            </w:r>
          </w:p>
        </w:tc>
        <w:tc>
          <w:tcPr>
            <w:tcW w:type="dxa" w:w="1656"/>
          </w:tcPr>
          <w:p>
            <w:pPr>
              <w:spacing w:after="20"/>
              <w:jc w:val="right"/>
            </w:pPr>
            <w:r>
              <w:rPr>
                <w:color w:val="1C3A36"/>
                <w:sz w:val="14"/>
              </w:rPr>
              <w:t>9,188.304</w:t>
            </w:r>
          </w:p>
        </w:tc>
        <w:tc>
          <w:tcPr>
            <w:tcW w:type="dxa" w:w="5616"/>
          </w:tcPr>
          <w:p>
            <w:pPr>
              <w:spacing w:after="20"/>
              <w:jc w:val="right"/>
            </w:pPr>
            <w:r>
              <w:rPr>
                <w:color w:val="1C3A36"/>
                <w:sz w:val="14"/>
              </w:rPr>
              <w:t>Revenues,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h1_26_gp</w:t>
            </w:r>
          </w:p>
        </w:tc>
        <w:tc>
          <w:tcPr>
            <w:tcW w:type="dxa" w:w="1656"/>
          </w:tcPr>
          <w:p>
            <w:pPr>
              <w:spacing w:after="20"/>
              <w:jc w:val="right"/>
            </w:pPr>
            <w:r>
              <w:rPr>
                <w:color w:val="1C3A36"/>
                <w:sz w:val="14"/>
              </w:rPr>
              <w:t>3,201.275</w:t>
            </w:r>
          </w:p>
        </w:tc>
        <w:tc>
          <w:tcPr>
            <w:tcW w:type="dxa" w:w="5616"/>
          </w:tcPr>
          <w:p>
            <w:pPr>
              <w:spacing w:after="20"/>
              <w:jc w:val="right"/>
            </w:pPr>
            <w:r>
              <w:rPr>
                <w:color w:val="1C3A36"/>
                <w:sz w:val="14"/>
              </w:rPr>
              <w:t>Gross profit,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h1_26_pbt</w:t>
            </w:r>
          </w:p>
        </w:tc>
        <w:tc>
          <w:tcPr>
            <w:tcW w:type="dxa" w:w="1656"/>
          </w:tcPr>
          <w:p>
            <w:pPr>
              <w:spacing w:after="20"/>
              <w:jc w:val="right"/>
            </w:pPr>
            <w:r>
              <w:rPr>
                <w:color w:val="1C3A36"/>
                <w:sz w:val="14"/>
              </w:rPr>
              <w:t>2,601.227</w:t>
            </w:r>
          </w:p>
        </w:tc>
        <w:tc>
          <w:tcPr>
            <w:tcW w:type="dxa" w:w="5616"/>
          </w:tcPr>
          <w:p>
            <w:pPr>
              <w:spacing w:after="20"/>
              <w:jc w:val="right"/>
            </w:pPr>
            <w:r>
              <w:rPr>
                <w:color w:val="1C3A36"/>
                <w:sz w:val="14"/>
              </w:rPr>
              <w:t>Profit before tax, continuing,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h1_26_pat</w:t>
            </w:r>
          </w:p>
        </w:tc>
        <w:tc>
          <w:tcPr>
            <w:tcW w:type="dxa" w:w="1656"/>
          </w:tcPr>
          <w:p>
            <w:pPr>
              <w:spacing w:after="20"/>
              <w:jc w:val="right"/>
            </w:pPr>
            <w:r>
              <w:rPr>
                <w:color w:val="1C3A36"/>
                <w:sz w:val="14"/>
              </w:rPr>
              <w:t>2,202.138</w:t>
            </w:r>
          </w:p>
        </w:tc>
        <w:tc>
          <w:tcPr>
            <w:tcW w:type="dxa" w:w="5616"/>
          </w:tcPr>
          <w:p>
            <w:pPr>
              <w:spacing w:after="20"/>
              <w:jc w:val="right"/>
            </w:pPr>
            <w:r>
              <w:rPr>
                <w:color w:val="1C3A36"/>
                <w:sz w:val="14"/>
              </w:rPr>
              <w:t>Profit for the period,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h1_26_npa</w:t>
            </w:r>
          </w:p>
        </w:tc>
        <w:tc>
          <w:tcPr>
            <w:tcW w:type="dxa" w:w="1656"/>
          </w:tcPr>
          <w:p>
            <w:pPr>
              <w:spacing w:after="20"/>
              <w:jc w:val="right"/>
            </w:pPr>
            <w:r>
              <w:rPr>
                <w:color w:val="1C3A36"/>
                <w:sz w:val="14"/>
              </w:rPr>
              <w:t>2,162.966</w:t>
            </w:r>
          </w:p>
        </w:tc>
        <w:tc>
          <w:tcPr>
            <w:tcW w:type="dxa" w:w="5616"/>
          </w:tcPr>
          <w:p>
            <w:pPr>
              <w:spacing w:after="20"/>
              <w:jc w:val="right"/>
            </w:pPr>
            <w:r>
              <w:rPr>
                <w:color w:val="1C3A36"/>
                <w:sz w:val="14"/>
              </w:rPr>
              <w:t>Profit attributable to owners,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h1_26_tax</w:t>
            </w:r>
          </w:p>
        </w:tc>
        <w:tc>
          <w:tcPr>
            <w:tcW w:type="dxa" w:w="1656"/>
          </w:tcPr>
          <w:p>
            <w:pPr>
              <w:spacing w:after="20"/>
              <w:jc w:val="right"/>
            </w:pPr>
            <w:r>
              <w:rPr>
                <w:color w:val="1C3A36"/>
                <w:sz w:val="14"/>
              </w:rPr>
              <w:t>401.202</w:t>
            </w:r>
          </w:p>
        </w:tc>
        <w:tc>
          <w:tcPr>
            <w:tcW w:type="dxa" w:w="5616"/>
          </w:tcPr>
          <w:p>
            <w:pPr>
              <w:spacing w:after="20"/>
              <w:jc w:val="right"/>
            </w:pPr>
            <w:r>
              <w:rPr>
                <w:color w:val="1C3A36"/>
                <w:sz w:val="14"/>
              </w:rPr>
              <w:t>Income tax expense,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h1_26_ga</w:t>
            </w:r>
          </w:p>
        </w:tc>
        <w:tc>
          <w:tcPr>
            <w:tcW w:type="dxa" w:w="1656"/>
          </w:tcPr>
          <w:p>
            <w:pPr>
              <w:spacing w:after="20"/>
              <w:jc w:val="right"/>
            </w:pPr>
            <w:r>
              <w:rPr>
                <w:color w:val="1C3A36"/>
                <w:sz w:val="14"/>
              </w:rPr>
              <w:t>685.124</w:t>
            </w:r>
          </w:p>
        </w:tc>
        <w:tc>
          <w:tcPr>
            <w:tcW w:type="dxa" w:w="5616"/>
          </w:tcPr>
          <w:p>
            <w:pPr>
              <w:spacing w:after="20"/>
              <w:jc w:val="right"/>
            </w:pPr>
            <w:r>
              <w:rPr>
                <w:color w:val="1C3A36"/>
                <w:sz w:val="14"/>
              </w:rPr>
              <w:t>General and administrative expenses,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h1_26_ocf</w:t>
            </w:r>
          </w:p>
        </w:tc>
        <w:tc>
          <w:tcPr>
            <w:tcW w:type="dxa" w:w="1656"/>
          </w:tcPr>
          <w:p>
            <w:pPr>
              <w:spacing w:after="20"/>
              <w:jc w:val="right"/>
            </w:pPr>
            <w:r>
              <w:rPr>
                <w:color w:val="1C3A36"/>
                <w:sz w:val="14"/>
              </w:rPr>
              <w:t>-3,921.027</w:t>
            </w:r>
          </w:p>
        </w:tc>
        <w:tc>
          <w:tcPr>
            <w:tcW w:type="dxa" w:w="5616"/>
          </w:tcPr>
          <w:p>
            <w:pPr>
              <w:spacing w:after="20"/>
              <w:jc w:val="right"/>
            </w:pPr>
            <w:r>
              <w:rPr>
                <w:color w:val="1C3A36"/>
                <w:sz w:val="14"/>
              </w:rPr>
              <w:t>Net cash used in operating activities (receivables and related-party balances built up AED 5.4bn),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h1_26_loans</w:t>
            </w:r>
          </w:p>
        </w:tc>
        <w:tc>
          <w:tcPr>
            <w:tcW w:type="dxa" w:w="1656"/>
          </w:tcPr>
          <w:p>
            <w:pPr>
              <w:spacing w:after="20"/>
              <w:jc w:val="right"/>
            </w:pPr>
            <w:r>
              <w:rPr>
                <w:color w:val="1C3A36"/>
                <w:sz w:val="14"/>
              </w:rPr>
              <w:t>8,541.685</w:t>
            </w:r>
          </w:p>
        </w:tc>
        <w:tc>
          <w:tcPr>
            <w:tcW w:type="dxa" w:w="5616"/>
          </w:tcPr>
          <w:p>
            <w:pPr>
              <w:spacing w:after="20"/>
              <w:jc w:val="right"/>
            </w:pPr>
            <w:r>
              <w:rPr>
                <w:color w:val="1C3A36"/>
                <w:sz w:val="14"/>
              </w:rPr>
              <w:t>Loans and borrowings NC 3,821.289 + C 4,720.396,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h1_26_rploan</w:t>
            </w:r>
          </w:p>
        </w:tc>
        <w:tc>
          <w:tcPr>
            <w:tcW w:type="dxa" w:w="1656"/>
          </w:tcPr>
          <w:p>
            <w:pPr>
              <w:spacing w:after="20"/>
              <w:jc w:val="right"/>
            </w:pPr>
            <w:r>
              <w:rPr>
                <w:color w:val="1C3A36"/>
                <w:sz w:val="14"/>
              </w:rPr>
              <w:t>1,000</w:t>
            </w:r>
          </w:p>
        </w:tc>
        <w:tc>
          <w:tcPr>
            <w:tcW w:type="dxa" w:w="5616"/>
          </w:tcPr>
          <w:p>
            <w:pPr>
              <w:spacing w:after="20"/>
              <w:jc w:val="right"/>
            </w:pPr>
            <w:r>
              <w:rPr>
                <w:color w:val="1C3A36"/>
                <w:sz w:val="14"/>
              </w:rPr>
              <w:t>Loan from a related party, current,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h1_26_cash</w:t>
            </w:r>
          </w:p>
        </w:tc>
        <w:tc>
          <w:tcPr>
            <w:tcW w:type="dxa" w:w="1656"/>
          </w:tcPr>
          <w:p>
            <w:pPr>
              <w:spacing w:after="20"/>
              <w:jc w:val="right"/>
            </w:pPr>
            <w:r>
              <w:rPr>
                <w:color w:val="1C3A36"/>
                <w:sz w:val="14"/>
              </w:rPr>
              <w:t>12,303.24</w:t>
            </w:r>
          </w:p>
        </w:tc>
        <w:tc>
          <w:tcPr>
            <w:tcW w:type="dxa" w:w="5616"/>
          </w:tcPr>
          <w:p>
            <w:pPr>
              <w:spacing w:after="20"/>
              <w:jc w:val="right"/>
            </w:pPr>
            <w:r>
              <w:rPr>
                <w:color w:val="1C3A36"/>
                <w:sz w:val="14"/>
              </w:rPr>
              <w:t>Cash and bank balances,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h1_26_eqp</w:t>
            </w:r>
          </w:p>
        </w:tc>
        <w:tc>
          <w:tcPr>
            <w:tcW w:type="dxa" w:w="1656"/>
          </w:tcPr>
          <w:p>
            <w:pPr>
              <w:spacing w:after="20"/>
              <w:jc w:val="right"/>
            </w:pPr>
            <w:r>
              <w:rPr>
                <w:color w:val="1C3A36"/>
                <w:sz w:val="14"/>
              </w:rPr>
              <w:t>56,396.629</w:t>
            </w:r>
          </w:p>
        </w:tc>
        <w:tc>
          <w:tcPr>
            <w:tcW w:type="dxa" w:w="5616"/>
          </w:tcPr>
          <w:p>
            <w:pPr>
              <w:spacing w:after="20"/>
              <w:jc w:val="right"/>
            </w:pPr>
            <w:r>
              <w:rPr>
                <w:color w:val="1C3A36"/>
                <w:sz w:val="14"/>
              </w:rPr>
              <w:t>Equity attributable to owners,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seg_red_rev25</w:t>
            </w:r>
          </w:p>
        </w:tc>
        <w:tc>
          <w:tcPr>
            <w:tcW w:type="dxa" w:w="1656"/>
          </w:tcPr>
          <w:p>
            <w:pPr>
              <w:spacing w:after="20"/>
              <w:jc w:val="right"/>
            </w:pPr>
            <w:r>
              <w:rPr>
                <w:color w:val="1C3A36"/>
                <w:sz w:val="14"/>
              </w:rPr>
              <w:t>7,403.313</w:t>
            </w:r>
          </w:p>
        </w:tc>
        <w:tc>
          <w:tcPr>
            <w:tcW w:type="dxa" w:w="5616"/>
          </w:tcPr>
          <w:p>
            <w:pPr>
              <w:spacing w:after="20"/>
              <w:jc w:val="right"/>
            </w:pPr>
            <w:r>
              <w:rPr>
                <w:color w:val="1C3A36"/>
                <w:sz w:val="14"/>
              </w:rPr>
              <w:t>Segment revenues, note 33,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seg_aim_rev25</w:t>
            </w:r>
          </w:p>
        </w:tc>
        <w:tc>
          <w:tcPr>
            <w:tcW w:type="dxa" w:w="1656"/>
          </w:tcPr>
          <w:p>
            <w:pPr>
              <w:spacing w:after="20"/>
              <w:jc w:val="right"/>
            </w:pPr>
            <w:r>
              <w:rPr>
                <w:color w:val="1C3A36"/>
                <w:sz w:val="14"/>
              </w:rPr>
              <w:t>654.658</w:t>
            </w:r>
          </w:p>
        </w:tc>
        <w:tc>
          <w:tcPr>
            <w:tcW w:type="dxa" w:w="5616"/>
          </w:tcPr>
          <w:p>
            <w:pPr>
              <w:spacing w:after="20"/>
              <w:jc w:val="right"/>
            </w:pPr>
            <w:r>
              <w:rPr>
                <w:color w:val="1C3A36"/>
                <w:sz w:val="14"/>
              </w:rPr>
              <w:t>Segment revenues, note 33,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seg_hosp_rev25</w:t>
            </w:r>
          </w:p>
        </w:tc>
        <w:tc>
          <w:tcPr>
            <w:tcW w:type="dxa" w:w="1656"/>
          </w:tcPr>
          <w:p>
            <w:pPr>
              <w:spacing w:after="20"/>
              <w:jc w:val="right"/>
            </w:pPr>
            <w:r>
              <w:rPr>
                <w:color w:val="1C3A36"/>
                <w:sz w:val="14"/>
              </w:rPr>
              <w:t>791.771</w:t>
            </w:r>
          </w:p>
        </w:tc>
        <w:tc>
          <w:tcPr>
            <w:tcW w:type="dxa" w:w="5616"/>
          </w:tcPr>
          <w:p>
            <w:pPr>
              <w:spacing w:after="20"/>
              <w:jc w:val="right"/>
            </w:pPr>
            <w:r>
              <w:rPr>
                <w:color w:val="1C3A36"/>
                <w:sz w:val="14"/>
              </w:rPr>
              <w:t>Segment revenues, note 33,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seg_ect_rev25</w:t>
            </w:r>
          </w:p>
        </w:tc>
        <w:tc>
          <w:tcPr>
            <w:tcW w:type="dxa" w:w="1656"/>
          </w:tcPr>
          <w:p>
            <w:pPr>
              <w:spacing w:after="20"/>
              <w:jc w:val="right"/>
            </w:pPr>
            <w:r>
              <w:rPr>
                <w:color w:val="1C3A36"/>
                <w:sz w:val="14"/>
              </w:rPr>
              <w:t>5,008.749</w:t>
            </w:r>
          </w:p>
        </w:tc>
        <w:tc>
          <w:tcPr>
            <w:tcW w:type="dxa" w:w="5616"/>
          </w:tcPr>
          <w:p>
            <w:pPr>
              <w:spacing w:after="20"/>
              <w:jc w:val="right"/>
            </w:pPr>
            <w:r>
              <w:rPr>
                <w:color w:val="1C3A36"/>
                <w:sz w:val="14"/>
              </w:rPr>
              <w:t>Segment revenues, note 33,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seg_oth_rev25</w:t>
            </w:r>
          </w:p>
        </w:tc>
        <w:tc>
          <w:tcPr>
            <w:tcW w:type="dxa" w:w="1656"/>
          </w:tcPr>
          <w:p>
            <w:pPr>
              <w:spacing w:after="20"/>
              <w:jc w:val="right"/>
            </w:pPr>
            <w:r>
              <w:rPr>
                <w:color w:val="1C3A36"/>
                <w:sz w:val="14"/>
              </w:rPr>
              <w:t>-29.622</w:t>
            </w:r>
          </w:p>
        </w:tc>
        <w:tc>
          <w:tcPr>
            <w:tcW w:type="dxa" w:w="5616"/>
          </w:tcPr>
          <w:p>
            <w:pPr>
              <w:spacing w:after="20"/>
              <w:jc w:val="right"/>
            </w:pPr>
            <w:r>
              <w:rPr>
                <w:color w:val="1C3A36"/>
                <w:sz w:val="14"/>
              </w:rPr>
              <w:t>Others segment (corporate, eliminations), note 33,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seg_red_gp25</w:t>
            </w:r>
          </w:p>
        </w:tc>
        <w:tc>
          <w:tcPr>
            <w:tcW w:type="dxa" w:w="1656"/>
          </w:tcPr>
          <w:p>
            <w:pPr>
              <w:spacing w:after="20"/>
              <w:jc w:val="right"/>
            </w:pPr>
            <w:r>
              <w:rPr>
                <w:color w:val="1C3A36"/>
                <w:sz w:val="14"/>
              </w:rPr>
              <w:t>3,232.891</w:t>
            </w:r>
          </w:p>
        </w:tc>
        <w:tc>
          <w:tcPr>
            <w:tcW w:type="dxa" w:w="5616"/>
          </w:tcPr>
          <w:p>
            <w:pPr>
              <w:spacing w:after="20"/>
              <w:jc w:val="right"/>
            </w:pPr>
            <w:r>
              <w:rPr>
                <w:color w:val="1C3A36"/>
                <w:sz w:val="14"/>
              </w:rPr>
              <w:t>Segment gross profit, note 33,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seg_aim_gp25</w:t>
            </w:r>
          </w:p>
        </w:tc>
        <w:tc>
          <w:tcPr>
            <w:tcW w:type="dxa" w:w="1656"/>
          </w:tcPr>
          <w:p>
            <w:pPr>
              <w:spacing w:after="20"/>
              <w:jc w:val="right"/>
            </w:pPr>
            <w:r>
              <w:rPr>
                <w:color w:val="1C3A36"/>
                <w:sz w:val="14"/>
              </w:rPr>
              <w:t>421.083</w:t>
            </w:r>
          </w:p>
        </w:tc>
        <w:tc>
          <w:tcPr>
            <w:tcW w:type="dxa" w:w="5616"/>
          </w:tcPr>
          <w:p>
            <w:pPr>
              <w:spacing w:after="20"/>
              <w:jc w:val="right"/>
            </w:pPr>
            <w:r>
              <w:rPr>
                <w:color w:val="1C3A36"/>
                <w:sz w:val="14"/>
              </w:rPr>
              <w:t>Segment gross profit, note 33,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seg_hosp_gp25</w:t>
            </w:r>
          </w:p>
        </w:tc>
        <w:tc>
          <w:tcPr>
            <w:tcW w:type="dxa" w:w="1656"/>
          </w:tcPr>
          <w:p>
            <w:pPr>
              <w:spacing w:after="20"/>
              <w:jc w:val="right"/>
            </w:pPr>
            <w:r>
              <w:rPr>
                <w:color w:val="1C3A36"/>
                <w:sz w:val="14"/>
              </w:rPr>
              <w:t>210.893</w:t>
            </w:r>
          </w:p>
        </w:tc>
        <w:tc>
          <w:tcPr>
            <w:tcW w:type="dxa" w:w="5616"/>
          </w:tcPr>
          <w:p>
            <w:pPr>
              <w:spacing w:after="20"/>
              <w:jc w:val="right"/>
            </w:pPr>
            <w:r>
              <w:rPr>
                <w:color w:val="1C3A36"/>
                <w:sz w:val="14"/>
              </w:rPr>
              <w:t>Segment gross profit, note 33,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seg_ect_gp25</w:t>
            </w:r>
          </w:p>
        </w:tc>
        <w:tc>
          <w:tcPr>
            <w:tcW w:type="dxa" w:w="1656"/>
          </w:tcPr>
          <w:p>
            <w:pPr>
              <w:spacing w:after="20"/>
              <w:jc w:val="right"/>
            </w:pPr>
            <w:r>
              <w:rPr>
                <w:color w:val="1C3A36"/>
                <w:sz w:val="14"/>
              </w:rPr>
              <w:t>1,325.029</w:t>
            </w:r>
          </w:p>
        </w:tc>
        <w:tc>
          <w:tcPr>
            <w:tcW w:type="dxa" w:w="5616"/>
          </w:tcPr>
          <w:p>
            <w:pPr>
              <w:spacing w:after="20"/>
              <w:jc w:val="right"/>
            </w:pPr>
            <w:r>
              <w:rPr>
                <w:color w:val="1C3A36"/>
                <w:sz w:val="14"/>
              </w:rPr>
              <w:t>Segment gross profit, note 33,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seg_oth_gp25</w:t>
            </w:r>
          </w:p>
        </w:tc>
        <w:tc>
          <w:tcPr>
            <w:tcW w:type="dxa" w:w="1656"/>
          </w:tcPr>
          <w:p>
            <w:pPr>
              <w:spacing w:after="20"/>
              <w:jc w:val="right"/>
            </w:pPr>
            <w:r>
              <w:rPr>
                <w:color w:val="1C3A36"/>
                <w:sz w:val="14"/>
              </w:rPr>
              <w:t>-164.637</w:t>
            </w:r>
          </w:p>
        </w:tc>
        <w:tc>
          <w:tcPr>
            <w:tcW w:type="dxa" w:w="5616"/>
          </w:tcPr>
          <w:p>
            <w:pPr>
              <w:spacing w:after="20"/>
              <w:jc w:val="right"/>
            </w:pPr>
            <w:r>
              <w:rPr>
                <w:color w:val="1C3A36"/>
                <w:sz w:val="14"/>
              </w:rPr>
              <w:t>Others segment gross loss, note 33,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seg_pbt25</w:t>
            </w:r>
          </w:p>
        </w:tc>
        <w:tc>
          <w:tcPr>
            <w:tcW w:type="dxa" w:w="1656"/>
          </w:tcPr>
          <w:p>
            <w:pPr>
              <w:spacing w:after="20"/>
              <w:jc w:val="right"/>
            </w:pPr>
            <w:r>
              <w:rPr>
                <w:color w:val="1C3A36"/>
                <w:sz w:val="14"/>
              </w:rPr>
              <w:t>red: 2,547.573; aim: 685.082; hosp: -69.15; ect: 1,061.602</w:t>
            </w:r>
          </w:p>
        </w:tc>
        <w:tc>
          <w:tcPr>
            <w:tcW w:type="dxa" w:w="5616"/>
          </w:tcPr>
          <w:p>
            <w:pPr>
              <w:spacing w:after="20"/>
              <w:jc w:val="right"/>
            </w:pPr>
            <w:r>
              <w:rPr>
                <w:color w:val="1C3A36"/>
                <w:sz w:val="14"/>
              </w:rPr>
              <w:t>Segment profit before tax, note 33,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seg_assets25</w:t>
            </w:r>
          </w:p>
        </w:tc>
        <w:tc>
          <w:tcPr>
            <w:tcW w:type="dxa" w:w="1656"/>
          </w:tcPr>
          <w:p>
            <w:pPr>
              <w:spacing w:after="20"/>
              <w:jc w:val="right"/>
            </w:pPr>
            <w:r>
              <w:rPr>
                <w:color w:val="1C3A36"/>
                <w:sz w:val="14"/>
              </w:rPr>
              <w:t>red: 55,738.581; aim: 11,095.849; hosp: 4,601.757; ect: 14,118.268</w:t>
            </w:r>
          </w:p>
        </w:tc>
        <w:tc>
          <w:tcPr>
            <w:tcW w:type="dxa" w:w="5616"/>
          </w:tcPr>
          <w:p>
            <w:pPr>
              <w:spacing w:after="20"/>
              <w:jc w:val="right"/>
            </w:pPr>
            <w:r>
              <w:rPr>
                <w:color w:val="1C3A36"/>
                <w:sz w:val="14"/>
              </w:rPr>
              <w:t>Segment assets, note 33,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seg_rev24</w:t>
            </w:r>
          </w:p>
        </w:tc>
        <w:tc>
          <w:tcPr>
            <w:tcW w:type="dxa" w:w="1656"/>
          </w:tcPr>
          <w:p>
            <w:pPr>
              <w:spacing w:after="20"/>
              <w:jc w:val="right"/>
            </w:pPr>
            <w:r>
              <w:rPr>
                <w:color w:val="1C3A36"/>
                <w:sz w:val="14"/>
              </w:rPr>
              <w:t>red: 2,869.294; aim: 578.358; hosp: 569.87; ect: 2,493.66</w:t>
            </w:r>
          </w:p>
        </w:tc>
        <w:tc>
          <w:tcPr>
            <w:tcW w:type="dxa" w:w="5616"/>
          </w:tcPr>
          <w:p>
            <w:pPr>
              <w:spacing w:after="20"/>
              <w:jc w:val="right"/>
            </w:pPr>
            <w:r>
              <w:rPr>
                <w:color w:val="1C3A36"/>
                <w:sz w:val="14"/>
              </w:rPr>
              <w:t>Segment revenues FY2024, note 33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h1_seg</w:t>
            </w:r>
          </w:p>
        </w:tc>
        <w:tc>
          <w:tcPr>
            <w:tcW w:type="dxa" w:w="1656"/>
          </w:tcPr>
          <w:p>
            <w:pPr>
              <w:spacing w:after="20"/>
              <w:jc w:val="right"/>
            </w:pPr>
            <w:r>
              <w:rPr>
                <w:color w:val="1C3A36"/>
                <w:sz w:val="14"/>
              </w:rPr>
              <w:t>rev: red: 5,675.275; aim: 360.966; hosp: 388.398; ect: 2,775.402; gp: red: 2,342.842; aim: 258.38; hosp: 105.504; ect: 552.062</w:t>
            </w:r>
          </w:p>
        </w:tc>
        <w:tc>
          <w:tcPr>
            <w:tcW w:type="dxa" w:w="5616"/>
          </w:tcPr>
          <w:p>
            <w:pPr>
              <w:spacing w:after="20"/>
              <w:jc w:val="right"/>
            </w:pPr>
            <w:r>
              <w:rPr>
                <w:color w:val="1C3A36"/>
                <w:sz w:val="14"/>
              </w:rPr>
              <w:t>Segment table, note 28,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sales25_total</w:t>
            </w:r>
          </w:p>
        </w:tc>
        <w:tc>
          <w:tcPr>
            <w:tcW w:type="dxa" w:w="1656"/>
          </w:tcPr>
          <w:p>
            <w:pPr>
              <w:spacing w:after="20"/>
              <w:jc w:val="right"/>
            </w:pPr>
            <w:r>
              <w:rPr>
                <w:color w:val="1C3A36"/>
                <w:sz w:val="14"/>
              </w:rPr>
              <w:t>36,300</w:t>
            </w:r>
          </w:p>
        </w:tc>
        <w:tc>
          <w:tcPr>
            <w:tcW w:type="dxa" w:w="5616"/>
          </w:tcPr>
          <w:p>
            <w:pPr>
              <w:spacing w:after="20"/>
              <w:jc w:val="right"/>
            </w:pPr>
            <w:r>
              <w:rPr>
                <w:color w:val="1C3A36"/>
                <w:sz w:val="14"/>
              </w:rPr>
              <w:t>Total real estate sales AED 36.3bn across 6,358 units, Modon Annual Report 2025, modon.com investor relations</w:t>
            </w:r>
          </w:p>
        </w:tc>
        <w:tc>
          <w:tcPr>
            <w:tcW w:type="dxa" w:w="1080"/>
          </w:tcPr>
          <w:p>
            <w:pPr>
              <w:spacing w:after="20"/>
              <w:jc w:val="right"/>
            </w:pPr>
            <w:r>
              <w:rPr>
                <w:color w:val="1C3A36"/>
                <w:sz w:val="14"/>
              </w:rPr>
              <w:t>2026-03-31</w:t>
            </w:r>
          </w:p>
        </w:tc>
      </w:tr>
      <w:tr>
        <w:tc>
          <w:tcPr>
            <w:tcW w:type="dxa" w:w="1800"/>
          </w:tcPr>
          <w:p>
            <w:pPr>
              <w:spacing w:after="20"/>
            </w:pPr>
            <w:r>
              <w:rPr>
                <w:color w:val="1C3A36"/>
                <w:sz w:val="14"/>
              </w:rPr>
              <w:t>units25</w:t>
            </w:r>
          </w:p>
        </w:tc>
        <w:tc>
          <w:tcPr>
            <w:tcW w:type="dxa" w:w="1656"/>
          </w:tcPr>
          <w:p>
            <w:pPr>
              <w:spacing w:after="20"/>
              <w:jc w:val="right"/>
            </w:pPr>
            <w:r>
              <w:rPr>
                <w:color w:val="1C3A36"/>
                <w:sz w:val="14"/>
              </w:rPr>
              <w:t>6,358</w:t>
            </w:r>
          </w:p>
        </w:tc>
        <w:tc>
          <w:tcPr>
            <w:tcW w:type="dxa" w:w="5616"/>
          </w:tcPr>
          <w:p>
            <w:pPr>
              <w:spacing w:after="20"/>
              <w:jc w:val="right"/>
            </w:pPr>
            <w:r>
              <w:rPr>
                <w:color w:val="1C3A36"/>
                <w:sz w:val="14"/>
              </w:rPr>
              <w:t>Units sold across launches, Modon Annual Report 2025, modon.com investor relations</w:t>
            </w:r>
          </w:p>
        </w:tc>
        <w:tc>
          <w:tcPr>
            <w:tcW w:type="dxa" w:w="1080"/>
          </w:tcPr>
          <w:p>
            <w:pPr>
              <w:spacing w:after="20"/>
              <w:jc w:val="right"/>
            </w:pPr>
            <w:r>
              <w:rPr>
                <w:color w:val="1C3A36"/>
                <w:sz w:val="14"/>
              </w:rPr>
              <w:t>2026-03-31</w:t>
            </w:r>
          </w:p>
        </w:tc>
      </w:tr>
      <w:tr>
        <w:tc>
          <w:tcPr>
            <w:tcW w:type="dxa" w:w="1800"/>
          </w:tcPr>
          <w:p>
            <w:pPr>
              <w:spacing w:after="20"/>
            </w:pPr>
            <w:r>
              <w:rPr>
                <w:color w:val="1C3A36"/>
                <w:sz w:val="14"/>
              </w:rPr>
              <w:t>sales25_uae</w:t>
            </w:r>
          </w:p>
        </w:tc>
        <w:tc>
          <w:tcPr>
            <w:tcW w:type="dxa" w:w="1656"/>
          </w:tcPr>
          <w:p>
            <w:pPr>
              <w:spacing w:after="20"/>
              <w:jc w:val="right"/>
            </w:pPr>
            <w:r>
              <w:rPr>
                <w:color w:val="1C3A36"/>
                <w:sz w:val="14"/>
              </w:rPr>
              <w:t>29,800</w:t>
            </w:r>
          </w:p>
        </w:tc>
        <w:tc>
          <w:tcPr>
            <w:tcW w:type="dxa" w:w="5616"/>
          </w:tcPr>
          <w:p>
            <w:pPr>
              <w:spacing w:after="20"/>
              <w:jc w:val="right"/>
            </w:pPr>
            <w:r>
              <w:rPr>
                <w:color w:val="1C3A36"/>
                <w:sz w:val="14"/>
              </w:rPr>
              <w:t>UAE sales (incl. JV) AED 29.8bn across 4,243 units, Modon Annual Report 2025, modon.com investor relations</w:t>
            </w:r>
          </w:p>
        </w:tc>
        <w:tc>
          <w:tcPr>
            <w:tcW w:type="dxa" w:w="1080"/>
          </w:tcPr>
          <w:p>
            <w:pPr>
              <w:spacing w:after="20"/>
              <w:jc w:val="right"/>
            </w:pPr>
            <w:r>
              <w:rPr>
                <w:color w:val="1C3A36"/>
                <w:sz w:val="14"/>
              </w:rPr>
              <w:t>2026-03-31</w:t>
            </w:r>
          </w:p>
        </w:tc>
      </w:tr>
      <w:tr>
        <w:tc>
          <w:tcPr>
            <w:tcW w:type="dxa" w:w="1800"/>
          </w:tcPr>
          <w:p>
            <w:pPr>
              <w:spacing w:after="20"/>
            </w:pPr>
            <w:r>
              <w:rPr>
                <w:color w:val="1C3A36"/>
                <w:sz w:val="14"/>
              </w:rPr>
              <w:t>units25_uae</w:t>
            </w:r>
          </w:p>
        </w:tc>
        <w:tc>
          <w:tcPr>
            <w:tcW w:type="dxa" w:w="1656"/>
          </w:tcPr>
          <w:p>
            <w:pPr>
              <w:spacing w:after="20"/>
              <w:jc w:val="right"/>
            </w:pPr>
            <w:r>
              <w:rPr>
                <w:color w:val="1C3A36"/>
                <w:sz w:val="14"/>
              </w:rPr>
              <w:t>4,243</w:t>
            </w:r>
          </w:p>
        </w:tc>
        <w:tc>
          <w:tcPr>
            <w:tcW w:type="dxa" w:w="5616"/>
          </w:tcPr>
          <w:p>
            <w:pPr>
              <w:spacing w:after="20"/>
              <w:jc w:val="right"/>
            </w:pPr>
            <w:r>
              <w:rPr>
                <w:color w:val="1C3A36"/>
                <w:sz w:val="14"/>
              </w:rPr>
              <w:t>UAE units, Modon Annual Report 2025, modon.com investor relations</w:t>
            </w:r>
          </w:p>
        </w:tc>
        <w:tc>
          <w:tcPr>
            <w:tcW w:type="dxa" w:w="1080"/>
          </w:tcPr>
          <w:p>
            <w:pPr>
              <w:spacing w:after="20"/>
              <w:jc w:val="right"/>
            </w:pPr>
            <w:r>
              <w:rPr>
                <w:color w:val="1C3A36"/>
                <w:sz w:val="14"/>
              </w:rPr>
              <w:t>2026-03-31</w:t>
            </w:r>
          </w:p>
        </w:tc>
      </w:tr>
      <w:tr>
        <w:tc>
          <w:tcPr>
            <w:tcW w:type="dxa" w:w="1800"/>
          </w:tcPr>
          <w:p>
            <w:pPr>
              <w:spacing w:after="20"/>
            </w:pPr>
            <w:r>
              <w:rPr>
                <w:color w:val="1C3A36"/>
                <w:sz w:val="14"/>
              </w:rPr>
              <w:t>sales25_intl</w:t>
            </w:r>
          </w:p>
        </w:tc>
        <w:tc>
          <w:tcPr>
            <w:tcW w:type="dxa" w:w="1656"/>
          </w:tcPr>
          <w:p>
            <w:pPr>
              <w:spacing w:after="20"/>
              <w:jc w:val="right"/>
            </w:pPr>
            <w:r>
              <w:rPr>
                <w:color w:val="1C3A36"/>
                <w:sz w:val="14"/>
              </w:rPr>
              <w:t>6,600</w:t>
            </w:r>
          </w:p>
        </w:tc>
        <w:tc>
          <w:tcPr>
            <w:tcW w:type="dxa" w:w="5616"/>
          </w:tcPr>
          <w:p>
            <w:pPr>
              <w:spacing w:after="20"/>
              <w:jc w:val="right"/>
            </w:pPr>
            <w:r>
              <w:rPr>
                <w:color w:val="1C3A36"/>
                <w:sz w:val="14"/>
              </w:rPr>
              <w:t>International sales (Egypt+Spain+JV) AED 6.6bn across 2,115 units, Modon Annual Report 2025, modon.com investor relations</w:t>
            </w:r>
          </w:p>
        </w:tc>
        <w:tc>
          <w:tcPr>
            <w:tcW w:type="dxa" w:w="1080"/>
          </w:tcPr>
          <w:p>
            <w:pPr>
              <w:spacing w:after="20"/>
              <w:jc w:val="right"/>
            </w:pPr>
            <w:r>
              <w:rPr>
                <w:color w:val="1C3A36"/>
                <w:sz w:val="14"/>
              </w:rPr>
              <w:t>2026-03-31</w:t>
            </w:r>
          </w:p>
        </w:tc>
      </w:tr>
      <w:tr>
        <w:tc>
          <w:tcPr>
            <w:tcW w:type="dxa" w:w="1800"/>
          </w:tcPr>
          <w:p>
            <w:pPr>
              <w:spacing w:after="20"/>
            </w:pPr>
            <w:r>
              <w:rPr>
                <w:color w:val="1C3A36"/>
                <w:sz w:val="14"/>
              </w:rPr>
              <w:t>units25_intl</w:t>
            </w:r>
          </w:p>
        </w:tc>
        <w:tc>
          <w:tcPr>
            <w:tcW w:type="dxa" w:w="1656"/>
          </w:tcPr>
          <w:p>
            <w:pPr>
              <w:spacing w:after="20"/>
              <w:jc w:val="right"/>
            </w:pPr>
            <w:r>
              <w:rPr>
                <w:color w:val="1C3A36"/>
                <w:sz w:val="14"/>
              </w:rPr>
              <w:t>2,115</w:t>
            </w:r>
          </w:p>
        </w:tc>
        <w:tc>
          <w:tcPr>
            <w:tcW w:type="dxa" w:w="5616"/>
          </w:tcPr>
          <w:p>
            <w:pPr>
              <w:spacing w:after="20"/>
              <w:jc w:val="right"/>
            </w:pPr>
            <w:r>
              <w:rPr>
                <w:color w:val="1C3A36"/>
                <w:sz w:val="14"/>
              </w:rPr>
              <w:t>International units, Modon Annual Report 2025, modon.com investor relations</w:t>
            </w:r>
          </w:p>
        </w:tc>
        <w:tc>
          <w:tcPr>
            <w:tcW w:type="dxa" w:w="1080"/>
          </w:tcPr>
          <w:p>
            <w:pPr>
              <w:spacing w:after="20"/>
              <w:jc w:val="right"/>
            </w:pPr>
            <w:r>
              <w:rPr>
                <w:color w:val="1C3A36"/>
                <w:sz w:val="14"/>
              </w:rPr>
              <w:t>2026-03-31</w:t>
            </w:r>
          </w:p>
        </w:tc>
      </w:tr>
      <w:tr>
        <w:tc>
          <w:tcPr>
            <w:tcW w:type="dxa" w:w="1800"/>
          </w:tcPr>
          <w:p>
            <w:pPr>
              <w:spacing w:after="20"/>
            </w:pPr>
            <w:r>
              <w:rPr>
                <w:color w:val="1C3A36"/>
                <w:sz w:val="14"/>
              </w:rPr>
              <w:t>backlog</w:t>
            </w:r>
          </w:p>
        </w:tc>
        <w:tc>
          <w:tcPr>
            <w:tcW w:type="dxa" w:w="1656"/>
          </w:tcPr>
          <w:p>
            <w:pPr>
              <w:spacing w:after="20"/>
              <w:jc w:val="right"/>
            </w:pPr>
            <w:r>
              <w:rPr>
                <w:color w:val="1C3A36"/>
                <w:sz w:val="14"/>
              </w:rPr>
              <w:t>46,000</w:t>
            </w:r>
          </w:p>
        </w:tc>
        <w:tc>
          <w:tcPr>
            <w:tcW w:type="dxa" w:w="5616"/>
          </w:tcPr>
          <w:p>
            <w:pPr>
              <w:spacing w:after="20"/>
              <w:jc w:val="right"/>
            </w:pPr>
            <w:r>
              <w:rPr>
                <w:color w:val="1C3A36"/>
                <w:sz w:val="14"/>
              </w:rPr>
              <w:t>Revenue backlog AED 46.0bn, 93% development sales, Modon FY2025 results announcement, modon.com media centre, 18-Feb-2026</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dev_backlog</w:t>
            </w:r>
          </w:p>
        </w:tc>
        <w:tc>
          <w:tcPr>
            <w:tcW w:type="dxa" w:w="1656"/>
          </w:tcPr>
          <w:p>
            <w:pPr>
              <w:spacing w:after="20"/>
              <w:jc w:val="right"/>
            </w:pPr>
            <w:r>
              <w:rPr>
                <w:color w:val="1C3A36"/>
                <w:sz w:val="14"/>
              </w:rPr>
              <w:t>42,600</w:t>
            </w:r>
          </w:p>
        </w:tc>
        <w:tc>
          <w:tcPr>
            <w:tcW w:type="dxa" w:w="5616"/>
          </w:tcPr>
          <w:p>
            <w:pPr>
              <w:spacing w:after="20"/>
              <w:jc w:val="right"/>
            </w:pPr>
            <w:r>
              <w:rPr>
                <w:color w:val="1C3A36"/>
                <w:sz w:val="14"/>
              </w:rPr>
              <w:t>Development backlog (UAE + Egypt) AED 42.6bn, Modon Annual Report 2025, modon.com investor relations</w:t>
            </w:r>
          </w:p>
        </w:tc>
        <w:tc>
          <w:tcPr>
            <w:tcW w:type="dxa" w:w="1080"/>
          </w:tcPr>
          <w:p>
            <w:pPr>
              <w:spacing w:after="20"/>
              <w:jc w:val="right"/>
            </w:pPr>
            <w:r>
              <w:rPr>
                <w:color w:val="1C3A36"/>
                <w:sz w:val="14"/>
              </w:rPr>
              <w:t>2026-03-31</w:t>
            </w:r>
          </w:p>
        </w:tc>
      </w:tr>
      <w:tr>
        <w:tc>
          <w:tcPr>
            <w:tcW w:type="dxa" w:w="1800"/>
          </w:tcPr>
          <w:p>
            <w:pPr>
              <w:spacing w:after="20"/>
            </w:pPr>
            <w:r>
              <w:rPr>
                <w:color w:val="1C3A36"/>
                <w:sz w:val="14"/>
              </w:rPr>
              <w:t>h1_backlog</w:t>
            </w:r>
          </w:p>
        </w:tc>
        <w:tc>
          <w:tcPr>
            <w:tcW w:type="dxa" w:w="1656"/>
          </w:tcPr>
          <w:p>
            <w:pPr>
              <w:spacing w:after="20"/>
              <w:jc w:val="right"/>
            </w:pPr>
            <w:r>
              <w:rPr>
                <w:color w:val="1C3A36"/>
                <w:sz w:val="14"/>
              </w:rPr>
              <w:t>65,400</w:t>
            </w:r>
          </w:p>
        </w:tc>
        <w:tc>
          <w:tcPr>
            <w:tcW w:type="dxa" w:w="5616"/>
          </w:tcPr>
          <w:p>
            <w:pPr>
              <w:spacing w:after="20"/>
              <w:jc w:val="right"/>
            </w:pPr>
            <w:r>
              <w:rPr>
                <w:color w:val="1C3A36"/>
                <w:sz w:val="14"/>
              </w:rPr>
              <w:t>Group revenue backlog AED 65.4bn, doubling y/y, +42% vs FY2025; Modon H1-2026 results announcement, modon.com media centre, 29-Jul-2026 (verified via Zawya/WAM syndication of the official release)</w:t>
            </w:r>
          </w:p>
        </w:tc>
        <w:tc>
          <w:tcPr>
            <w:tcW w:type="dxa" w:w="1080"/>
          </w:tcPr>
          <w:p>
            <w:pPr>
              <w:spacing w:after="20"/>
              <w:jc w:val="right"/>
            </w:pPr>
            <w:r>
              <w:rPr>
                <w:color w:val="1C3A36"/>
                <w:sz w:val="14"/>
              </w:rPr>
              <w:t>2026-07-29</w:t>
            </w:r>
          </w:p>
        </w:tc>
      </w:tr>
      <w:tr>
        <w:tc>
          <w:tcPr>
            <w:tcW w:type="dxa" w:w="1800"/>
          </w:tcPr>
          <w:p>
            <w:pPr>
              <w:spacing w:after="20"/>
            </w:pPr>
            <w:r>
              <w:rPr>
                <w:color w:val="1C3A36"/>
                <w:sz w:val="14"/>
              </w:rPr>
              <w:t>h1_dev_share</w:t>
            </w:r>
          </w:p>
        </w:tc>
        <w:tc>
          <w:tcPr>
            <w:tcW w:type="dxa" w:w="1656"/>
          </w:tcPr>
          <w:p>
            <w:pPr>
              <w:spacing w:after="20"/>
              <w:jc w:val="right"/>
            </w:pPr>
            <w:r>
              <w:rPr>
                <w:color w:val="1C3A36"/>
                <w:sz w:val="14"/>
              </w:rPr>
              <w:t>0.95</w:t>
            </w:r>
          </w:p>
        </w:tc>
        <w:tc>
          <w:tcPr>
            <w:tcW w:type="dxa" w:w="5616"/>
          </w:tcPr>
          <w:p>
            <w:pPr>
              <w:spacing w:after="20"/>
              <w:jc w:val="right"/>
            </w:pPr>
            <w:r>
              <w:rPr>
                <w:color w:val="1C3A36"/>
                <w:sz w:val="14"/>
              </w:rPr>
              <w:t>Development projects across the UAE and Egypt = 95% of the total backlog; Modon H1-2026 results announcement, modon.com media centre, 29-Jul-2026 (verified via Zawya/WAM syndication of the official release)</w:t>
            </w:r>
          </w:p>
        </w:tc>
        <w:tc>
          <w:tcPr>
            <w:tcW w:type="dxa" w:w="1080"/>
          </w:tcPr>
          <w:p>
            <w:pPr>
              <w:spacing w:after="20"/>
              <w:jc w:val="right"/>
            </w:pPr>
            <w:r>
              <w:rPr>
                <w:color w:val="1C3A36"/>
                <w:sz w:val="14"/>
              </w:rPr>
              <w:t>2026-07-29</w:t>
            </w:r>
          </w:p>
        </w:tc>
      </w:tr>
      <w:tr>
        <w:tc>
          <w:tcPr>
            <w:tcW w:type="dxa" w:w="1800"/>
          </w:tcPr>
          <w:p>
            <w:pPr>
              <w:spacing w:after="20"/>
            </w:pPr>
            <w:r>
              <w:rPr>
                <w:color w:val="1C3A36"/>
                <w:sz w:val="14"/>
              </w:rPr>
              <w:t>h1_sales</w:t>
            </w:r>
          </w:p>
        </w:tc>
        <w:tc>
          <w:tcPr>
            <w:tcW w:type="dxa" w:w="1656"/>
          </w:tcPr>
          <w:p>
            <w:pPr>
              <w:spacing w:after="20"/>
              <w:jc w:val="right"/>
            </w:pPr>
            <w:r>
              <w:rPr>
                <w:color w:val="1C3A36"/>
                <w:sz w:val="14"/>
              </w:rPr>
              <w:t>26,000</w:t>
            </w:r>
          </w:p>
        </w:tc>
        <w:tc>
          <w:tcPr>
            <w:tcW w:type="dxa" w:w="5616"/>
          </w:tcPr>
          <w:p>
            <w:pPr>
              <w:spacing w:after="20"/>
              <w:jc w:val="right"/>
            </w:pPr>
            <w:r>
              <w:rPr>
                <w:color w:val="1C3A36"/>
                <w:sz w:val="14"/>
              </w:rPr>
              <w:t>H1-2026 real estate sales AED 26bn (2.6x H1-2025), incl. AED 23bn Abu Dhabi; Hudayriyat Golf Estates AED 13bn within days; Modon H1-2026 results announcement, modon.com media centre, 29-Jul-2026 (verified via Zawya/WAM syndication of the official release)</w:t>
            </w:r>
          </w:p>
        </w:tc>
        <w:tc>
          <w:tcPr>
            <w:tcW w:type="dxa" w:w="1080"/>
          </w:tcPr>
          <w:p>
            <w:pPr>
              <w:spacing w:after="20"/>
              <w:jc w:val="right"/>
            </w:pPr>
            <w:r>
              <w:rPr>
                <w:color w:val="1C3A36"/>
                <w:sz w:val="14"/>
              </w:rPr>
              <w:t>2026-07-29</w:t>
            </w:r>
          </w:p>
        </w:tc>
      </w:tr>
      <w:tr>
        <w:tc>
          <w:tcPr>
            <w:tcW w:type="dxa" w:w="1800"/>
          </w:tcPr>
          <w:p>
            <w:pPr>
              <w:spacing w:after="20"/>
            </w:pPr>
            <w:r>
              <w:rPr>
                <w:color w:val="1C3A36"/>
                <w:sz w:val="14"/>
              </w:rPr>
              <w:t>h1_netdebt</w:t>
            </w:r>
          </w:p>
        </w:tc>
        <w:tc>
          <w:tcPr>
            <w:tcW w:type="dxa" w:w="1656"/>
          </w:tcPr>
          <w:p>
            <w:pPr>
              <w:spacing w:after="20"/>
              <w:jc w:val="right"/>
            </w:pPr>
            <w:r>
              <w:rPr>
                <w:color w:val="1C3A36"/>
                <w:sz w:val="14"/>
              </w:rPr>
              <w:t>912</w:t>
            </w:r>
          </w:p>
        </w:tc>
        <w:tc>
          <w:tcPr>
            <w:tcW w:type="dxa" w:w="5616"/>
          </w:tcPr>
          <w:p>
            <w:pPr>
              <w:spacing w:after="20"/>
              <w:jc w:val="right"/>
            </w:pPr>
            <w:r>
              <w:rPr>
                <w:color w:val="1C3A36"/>
                <w:sz w:val="14"/>
              </w:rPr>
              <w:t>Net debt AED 912mn (0.02x equity) at 30-Jun-2026, company definition; Modon H1-2026 results announcement, modon.com media centre, 29-Jul-2026 (verified via Zawya/WAM syndication of the official release)</w:t>
            </w:r>
          </w:p>
        </w:tc>
        <w:tc>
          <w:tcPr>
            <w:tcW w:type="dxa" w:w="1080"/>
          </w:tcPr>
          <w:p>
            <w:pPr>
              <w:spacing w:after="20"/>
              <w:jc w:val="right"/>
            </w:pPr>
            <w:r>
              <w:rPr>
                <w:color w:val="1C3A36"/>
                <w:sz w:val="14"/>
              </w:rPr>
              <w:t>2026-07-29</w:t>
            </w:r>
          </w:p>
        </w:tc>
      </w:tr>
      <w:tr>
        <w:tc>
          <w:tcPr>
            <w:tcW w:type="dxa" w:w="1800"/>
          </w:tcPr>
          <w:p>
            <w:pPr>
              <w:spacing w:after="20"/>
            </w:pPr>
            <w:r>
              <w:rPr>
                <w:color w:val="1C3A36"/>
                <w:sz w:val="14"/>
              </w:rPr>
              <w:t>h1_avail_cash</w:t>
            </w:r>
          </w:p>
        </w:tc>
        <w:tc>
          <w:tcPr>
            <w:tcW w:type="dxa" w:w="1656"/>
          </w:tcPr>
          <w:p>
            <w:pPr>
              <w:spacing w:after="20"/>
              <w:jc w:val="right"/>
            </w:pPr>
            <w:r>
              <w:rPr>
                <w:color w:val="1C3A36"/>
                <w:sz w:val="14"/>
              </w:rPr>
              <w:t>8,600</w:t>
            </w:r>
          </w:p>
        </w:tc>
        <w:tc>
          <w:tcPr>
            <w:tcW w:type="dxa" w:w="5616"/>
          </w:tcPr>
          <w:p>
            <w:pPr>
              <w:spacing w:after="20"/>
              <w:jc w:val="right"/>
            </w:pPr>
            <w:r>
              <w:rPr>
                <w:color w:val="1C3A36"/>
                <w:sz w:val="14"/>
              </w:rPr>
              <w:t>AED 8.6bn of unrestricted cash plus AED 1.5bn undrawn committed facilities; Modon H1-2026 results announcement, modon.com media centre, 29-Jul-2026 (verified via Zawya/WAM syndication of the official release)</w:t>
            </w:r>
          </w:p>
        </w:tc>
        <w:tc>
          <w:tcPr>
            <w:tcW w:type="dxa" w:w="1080"/>
          </w:tcPr>
          <w:p>
            <w:pPr>
              <w:spacing w:after="20"/>
              <w:jc w:val="right"/>
            </w:pPr>
            <w:r>
              <w:rPr>
                <w:color w:val="1C3A36"/>
                <w:sz w:val="14"/>
              </w:rPr>
              <w:t>2026-07-29</w:t>
            </w:r>
          </w:p>
        </w:tc>
      </w:tr>
      <w:tr>
        <w:tc>
          <w:tcPr>
            <w:tcW w:type="dxa" w:w="1800"/>
          </w:tcPr>
          <w:p>
            <w:pPr>
              <w:spacing w:after="20"/>
            </w:pPr>
            <w:r>
              <w:rPr>
                <w:color w:val="1C3A36"/>
                <w:sz w:val="14"/>
              </w:rPr>
              <w:t>h1_adj_ebitda</w:t>
            </w:r>
          </w:p>
        </w:tc>
        <w:tc>
          <w:tcPr>
            <w:tcW w:type="dxa" w:w="1656"/>
          </w:tcPr>
          <w:p>
            <w:pPr>
              <w:spacing w:after="20"/>
              <w:jc w:val="right"/>
            </w:pPr>
            <w:r>
              <w:rPr>
                <w:color w:val="1C3A36"/>
                <w:sz w:val="14"/>
              </w:rPr>
              <w:t>2,995</w:t>
            </w:r>
          </w:p>
        </w:tc>
        <w:tc>
          <w:tcPr>
            <w:tcW w:type="dxa" w:w="5616"/>
          </w:tcPr>
          <w:p>
            <w:pPr>
              <w:spacing w:after="20"/>
              <w:jc w:val="right"/>
            </w:pPr>
            <w:r>
              <w:rPr>
                <w:color w:val="1C3A36"/>
                <w:sz w:val="14"/>
              </w:rPr>
              <w:t>H1-2026 Group Adjusted EBITDA AED 3.0bn, margin 32.6% (32.6% x 9,188 = 2,995); Modon H1-2026 results announcement, modon.com media centre, 29-Jul-2026 (verified via Zawya/WAM syndication of the official release)</w:t>
            </w:r>
          </w:p>
        </w:tc>
        <w:tc>
          <w:tcPr>
            <w:tcW w:type="dxa" w:w="1080"/>
          </w:tcPr>
          <w:p>
            <w:pPr>
              <w:spacing w:after="20"/>
              <w:jc w:val="right"/>
            </w:pPr>
            <w:r>
              <w:rPr>
                <w:color w:val="1C3A36"/>
                <w:sz w:val="14"/>
              </w:rPr>
              <w:t>2026-07-29</w:t>
            </w:r>
          </w:p>
        </w:tc>
      </w:tr>
      <w:tr>
        <w:tc>
          <w:tcPr>
            <w:tcW w:type="dxa" w:w="1800"/>
          </w:tcPr>
          <w:p>
            <w:pPr>
              <w:spacing w:after="20"/>
            </w:pPr>
            <w:r>
              <w:rPr>
                <w:color w:val="1C3A36"/>
                <w:sz w:val="14"/>
              </w:rPr>
              <w:t>h1_keys</w:t>
            </w:r>
          </w:p>
        </w:tc>
        <w:tc>
          <w:tcPr>
            <w:tcW w:type="dxa" w:w="1656"/>
          </w:tcPr>
          <w:p>
            <w:pPr>
              <w:spacing w:after="20"/>
              <w:jc w:val="right"/>
            </w:pPr>
            <w:r>
              <w:rPr>
                <w:color w:val="1C3A36"/>
                <w:sz w:val="14"/>
              </w:rPr>
              <w:t>3,613</w:t>
            </w:r>
          </w:p>
        </w:tc>
        <w:tc>
          <w:tcPr>
            <w:tcW w:type="dxa" w:w="5616"/>
          </w:tcPr>
          <w:p>
            <w:pPr>
              <w:spacing w:after="20"/>
              <w:jc w:val="right"/>
            </w:pPr>
            <w:r>
              <w:rPr>
                <w:color w:val="1C3A36"/>
                <w:sz w:val="14"/>
              </w:rPr>
              <w:t>Hospitality portfolio 3,613 keys across 16 owned, operated and JV hotels (narrower perimeter than the FY2025 report's 7,137 keys across 27 hotels incl. managed); Modon H1-2026 results announcement, modon.com media centre, 29-Jul-2026 (verified via Zawya/WAM syndication of the official release)</w:t>
            </w:r>
          </w:p>
        </w:tc>
        <w:tc>
          <w:tcPr>
            <w:tcW w:type="dxa" w:w="1080"/>
          </w:tcPr>
          <w:p>
            <w:pPr>
              <w:spacing w:after="20"/>
              <w:jc w:val="right"/>
            </w:pPr>
            <w:r>
              <w:rPr>
                <w:color w:val="1C3A36"/>
                <w:sz w:val="14"/>
              </w:rPr>
              <w:t>2026-07-29</w:t>
            </w:r>
          </w:p>
        </w:tc>
      </w:tr>
      <w:tr>
        <w:tc>
          <w:tcPr>
            <w:tcW w:type="dxa" w:w="1800"/>
          </w:tcPr>
          <w:p>
            <w:pPr>
              <w:spacing w:after="20"/>
            </w:pPr>
            <w:r>
              <w:rPr>
                <w:color w:val="1C3A36"/>
                <w:sz w:val="14"/>
              </w:rPr>
              <w:t>h1_recurring</w:t>
            </w:r>
          </w:p>
        </w:tc>
        <w:tc>
          <w:tcPr>
            <w:tcW w:type="dxa" w:w="1656"/>
          </w:tcPr>
          <w:p>
            <w:pPr>
              <w:spacing w:after="20"/>
              <w:jc w:val="right"/>
            </w:pPr>
            <w:r>
              <w:rPr>
                <w:color w:val="1C3A36"/>
                <w:sz w:val="14"/>
              </w:rPr>
              <w:t>3,500</w:t>
            </w:r>
          </w:p>
        </w:tc>
        <w:tc>
          <w:tcPr>
            <w:tcW w:type="dxa" w:w="5616"/>
          </w:tcPr>
          <w:p>
            <w:pPr>
              <w:spacing w:after="20"/>
              <w:jc w:val="right"/>
            </w:pPr>
            <w:r>
              <w:rPr>
                <w:color w:val="1C3A36"/>
                <w:sz w:val="14"/>
              </w:rPr>
              <w:t>Recurring revenues +22% y/y to AED 3.5bn = 38% of Group revenues; Modon H1-2026 results announcement, modon.com media centre, 29-Jul-2026 (verified via Zawya/WAM syndication of the official release)</w:t>
            </w:r>
          </w:p>
        </w:tc>
        <w:tc>
          <w:tcPr>
            <w:tcW w:type="dxa" w:w="1080"/>
          </w:tcPr>
          <w:p>
            <w:pPr>
              <w:spacing w:after="20"/>
              <w:jc w:val="right"/>
            </w:pPr>
            <w:r>
              <w:rPr>
                <w:color w:val="1C3A36"/>
                <w:sz w:val="14"/>
              </w:rPr>
              <w:t>2026-07-29</w:t>
            </w:r>
          </w:p>
        </w:tc>
      </w:tr>
      <w:tr>
        <w:tc>
          <w:tcPr>
            <w:tcW w:type="dxa" w:w="1800"/>
          </w:tcPr>
          <w:p>
            <w:pPr>
              <w:spacing w:after="20"/>
            </w:pPr>
            <w:r>
              <w:rPr>
                <w:color w:val="1C3A36"/>
                <w:sz w:val="14"/>
              </w:rPr>
              <w:t>h1_lease</w:t>
            </w:r>
          </w:p>
        </w:tc>
        <w:tc>
          <w:tcPr>
            <w:tcW w:type="dxa" w:w="1656"/>
          </w:tcPr>
          <w:p>
            <w:pPr>
              <w:spacing w:after="20"/>
              <w:jc w:val="right"/>
            </w:pPr>
            <w:r>
              <w:rPr>
                <w:color w:val="1C3A36"/>
                <w:sz w:val="14"/>
              </w:rPr>
              <w:t>644.799</w:t>
            </w:r>
          </w:p>
        </w:tc>
        <w:tc>
          <w:tcPr>
            <w:tcW w:type="dxa" w:w="5616"/>
          </w:tcPr>
          <w:p>
            <w:pPr>
              <w:spacing w:after="20"/>
              <w:jc w:val="right"/>
            </w:pPr>
            <w:r>
              <w:rPr>
                <w:color w:val="1C3A36"/>
                <w:sz w:val="14"/>
              </w:rPr>
              <w:t>Lease liabilities NC + C,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h1_assoc_bv</w:t>
            </w:r>
          </w:p>
        </w:tc>
        <w:tc>
          <w:tcPr>
            <w:tcW w:type="dxa" w:w="1656"/>
          </w:tcPr>
          <w:p>
            <w:pPr>
              <w:spacing w:after="20"/>
              <w:jc w:val="right"/>
            </w:pPr>
            <w:r>
              <w:rPr>
                <w:color w:val="1C3A36"/>
                <w:sz w:val="14"/>
              </w:rPr>
              <w:t>2,826.454</w:t>
            </w:r>
          </w:p>
        </w:tc>
        <w:tc>
          <w:tcPr>
            <w:tcW w:type="dxa" w:w="5616"/>
          </w:tcPr>
          <w:p>
            <w:pPr>
              <w:spacing w:after="20"/>
              <w:jc w:val="right"/>
            </w:pPr>
            <w:r>
              <w:rPr>
                <w:color w:val="1C3A36"/>
                <w:sz w:val="14"/>
              </w:rPr>
              <w:t>Investments in associates and JVs,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h1_finass</w:t>
            </w:r>
          </w:p>
        </w:tc>
        <w:tc>
          <w:tcPr>
            <w:tcW w:type="dxa" w:w="1656"/>
          </w:tcPr>
          <w:p>
            <w:pPr>
              <w:spacing w:after="20"/>
              <w:jc w:val="right"/>
            </w:pPr>
            <w:r>
              <w:rPr>
                <w:color w:val="1C3A36"/>
                <w:sz w:val="14"/>
              </w:rPr>
              <w:t>392.972</w:t>
            </w:r>
          </w:p>
        </w:tc>
        <w:tc>
          <w:tcPr>
            <w:tcW w:type="dxa" w:w="5616"/>
          </w:tcPr>
          <w:p>
            <w:pPr>
              <w:spacing w:after="20"/>
              <w:jc w:val="right"/>
            </w:pPr>
            <w:r>
              <w:rPr>
                <w:color w:val="1C3A36"/>
                <w:sz w:val="14"/>
              </w:rPr>
              <w:t>Investments in financial assets, NC + C,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h1_nci</w:t>
            </w:r>
          </w:p>
        </w:tc>
        <w:tc>
          <w:tcPr>
            <w:tcW w:type="dxa" w:w="1656"/>
          </w:tcPr>
          <w:p>
            <w:pPr>
              <w:spacing w:after="20"/>
              <w:jc w:val="right"/>
            </w:pPr>
            <w:r>
              <w:rPr>
                <w:color w:val="1C3A36"/>
                <w:sz w:val="14"/>
              </w:rPr>
              <w:t>922.342</w:t>
            </w:r>
          </w:p>
        </w:tc>
        <w:tc>
          <w:tcPr>
            <w:tcW w:type="dxa" w:w="5616"/>
          </w:tcPr>
          <w:p>
            <w:pPr>
              <w:spacing w:after="20"/>
              <w:jc w:val="right"/>
            </w:pPr>
            <w:r>
              <w:rPr>
                <w:color w:val="1C3A36"/>
                <w:sz w:val="14"/>
              </w:rPr>
              <w:t>Non-controlling interests,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h1_recv_total</w:t>
            </w:r>
          </w:p>
        </w:tc>
        <w:tc>
          <w:tcPr>
            <w:tcW w:type="dxa" w:w="1656"/>
          </w:tcPr>
          <w:p>
            <w:pPr>
              <w:spacing w:after="20"/>
              <w:jc w:val="right"/>
            </w:pPr>
            <w:r>
              <w:rPr>
                <w:color w:val="1C3A36"/>
                <w:sz w:val="14"/>
              </w:rPr>
              <w:t>22,155.68</w:t>
            </w:r>
          </w:p>
        </w:tc>
        <w:tc>
          <w:tcPr>
            <w:tcW w:type="dxa" w:w="5616"/>
          </w:tcPr>
          <w:p>
            <w:pPr>
              <w:spacing w:after="20"/>
              <w:jc w:val="right"/>
            </w:pPr>
            <w:r>
              <w:rPr>
                <w:color w:val="1C3A36"/>
                <w:sz w:val="14"/>
              </w:rPr>
              <w:t>Trade and other receivables (NC+C) + amounts due from related parties (NC+C), 30-Jun-2026,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h1_inv_dwip</w:t>
            </w:r>
          </w:p>
        </w:tc>
        <w:tc>
          <w:tcPr>
            <w:tcW w:type="dxa" w:w="1656"/>
          </w:tcPr>
          <w:p>
            <w:pPr>
              <w:spacing w:after="20"/>
              <w:jc w:val="right"/>
            </w:pPr>
            <w:r>
              <w:rPr>
                <w:color w:val="1C3A36"/>
                <w:sz w:val="14"/>
              </w:rPr>
              <w:t>34,087.289</w:t>
            </w:r>
          </w:p>
        </w:tc>
        <w:tc>
          <w:tcPr>
            <w:tcW w:type="dxa" w:w="5616"/>
          </w:tcPr>
          <w:p>
            <w:pPr>
              <w:spacing w:after="20"/>
              <w:jc w:val="right"/>
            </w:pPr>
            <w:r>
              <w:rPr>
                <w:color w:val="1C3A36"/>
                <w:sz w:val="14"/>
              </w:rPr>
              <w:t>Inventories + development work-in-progress, 30-Jun-2026,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h1_pay_total</w:t>
            </w:r>
          </w:p>
        </w:tc>
        <w:tc>
          <w:tcPr>
            <w:tcW w:type="dxa" w:w="1656"/>
          </w:tcPr>
          <w:p>
            <w:pPr>
              <w:spacing w:after="20"/>
              <w:jc w:val="right"/>
            </w:pPr>
            <w:r>
              <w:rPr>
                <w:color w:val="1C3A36"/>
                <w:sz w:val="14"/>
              </w:rPr>
              <w:t>22,289.32</w:t>
            </w:r>
          </w:p>
        </w:tc>
        <w:tc>
          <w:tcPr>
            <w:tcW w:type="dxa" w:w="5616"/>
          </w:tcPr>
          <w:p>
            <w:pPr>
              <w:spacing w:after="20"/>
              <w:jc w:val="right"/>
            </w:pPr>
            <w:r>
              <w:rPr>
                <w:color w:val="1C3A36"/>
                <w:sz w:val="14"/>
              </w:rPr>
              <w:t>Trade and other payables (NC+C, incl. customer advances/contract liabilities) + amounts due to related parties, 30-Jun-2026,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asset_base_30jun</w:t>
            </w:r>
          </w:p>
        </w:tc>
        <w:tc>
          <w:tcPr>
            <w:tcW w:type="dxa" w:w="1656"/>
          </w:tcPr>
          <w:p>
            <w:pPr>
              <w:spacing w:after="20"/>
              <w:jc w:val="right"/>
            </w:pPr>
            <w:r>
              <w:rPr>
                <w:color w:val="1C3A36"/>
                <w:sz w:val="14"/>
              </w:rPr>
              <w:t>19,736.134</w:t>
            </w:r>
          </w:p>
        </w:tc>
        <w:tc>
          <w:tcPr>
            <w:tcW w:type="dxa" w:w="5616"/>
          </w:tcPr>
          <w:p>
            <w:pPr>
              <w:spacing w:after="20"/>
              <w:jc w:val="right"/>
            </w:pPr>
            <w:r>
              <w:rPr>
                <w:color w:val="1C3A36"/>
                <w:sz w:val="14"/>
              </w:rPr>
              <w:t>Depreciable base at 30-Jun-2026: PP&amp;E 8,702.928 + investment properties 9,496.084 + right-of-use 529.636 + intangibles 1,007.486,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beta</w:t>
            </w:r>
          </w:p>
        </w:tc>
        <w:tc>
          <w:tcPr>
            <w:tcW w:type="dxa" w:w="1656"/>
          </w:tcPr>
          <w:p>
            <w:pPr>
              <w:spacing w:after="20"/>
              <w:jc w:val="right"/>
            </w:pPr>
            <w:r>
              <w:rPr>
                <w:color w:val="1C3A36"/>
                <w:sz w:val="14"/>
              </w:rPr>
              <w:t>1.746</w:t>
            </w:r>
          </w:p>
        </w:tc>
        <w:tc>
          <w:tcPr>
            <w:tcW w:type="dxa" w:w="5616"/>
          </w:tcPr>
          <w:p>
            <w:pPr>
              <w:spacing w:after="20"/>
              <w:jc w:val="right"/>
            </w:pPr>
            <w:r>
              <w:rPr>
                <w:color w:val="1C3A36"/>
                <w:sz w:val="14"/>
              </w:rPr>
              <w:t>TIER 1 — own-stock weekly regression against the PUBLISHED INDEX OF THE EXCHANGE THE STOCK IS LISTED ON (FTSE ADX General, raw_indices/AE/FADGI.csv, as of 2026-07-24), produced by the house regression module and passed through the beta-provenance gate, not by a study-local script. Dimson lead-lag corrected, which matters here: 84.75% of the shares sit with a single holder, and non-synchronous trading biases a naive beta DOWNWARD — the correction is worth +0.352 of beta (1.394 naive on the same weeks). Diagnostics: SE 0.397, R2 0.128, n 253, 90% CI [1.092, 2.399], usability gate PASS. Blume cross-check 1.497. THE CONFIDENCE INTERVAL IS WIDE — this beta is quoted with its interval everywhere it supports a conclusion, never as a precise point. SUPERSEDES both earlier regressors: revision 2 used an equal-weight composite of the house UAE library (1.03 adopted) and an intermediate revision-3 pass used a study-local naive regression on the official series (1.278). A constituent composite is not a substitute and not a tier. The Damodaran EM industry route (business-weighted unlevered 0.50 -&gt; relevered 0.56-0.59) stays REJECTED as a primary: the 786-firm Real-Estate-Development row is dominated by highly-levered Chinese developers (D/E 1.97) unrepresentative of a UAE state platform; it is retained as a lower-bound cross-check. Sensitised in steps of one standard error</w:t>
            </w:r>
          </w:p>
        </w:tc>
        <w:tc>
          <w:tcPr>
            <w:tcW w:type="dxa" w:w="1080"/>
          </w:tcPr>
          <w:p>
            <w:pPr>
              <w:spacing w:after="20"/>
              <w:jc w:val="right"/>
            </w:pPr>
            <w:r>
              <w:rPr>
                <w:color w:val="1C3A36"/>
                <w:sz w:val="14"/>
              </w:rPr>
              <w:t>2026-08-10</w:t>
            </w:r>
          </w:p>
        </w:tc>
      </w:tr>
      <w:tr>
        <w:tc>
          <w:tcPr>
            <w:tcW w:type="dxa" w:w="1800"/>
          </w:tcPr>
          <w:p>
            <w:pPr>
              <w:spacing w:after="20"/>
            </w:pPr>
            <w:r>
              <w:rPr>
                <w:color w:val="1C3A36"/>
                <w:sz w:val="14"/>
              </w:rPr>
              <w:t>beta_record</w:t>
            </w:r>
          </w:p>
        </w:tc>
        <w:tc>
          <w:tcPr>
            <w:tcW w:type="dxa" w:w="1656"/>
          </w:tcPr>
          <w:p>
            <w:pPr>
              <w:spacing w:after="20"/>
              <w:jc w:val="right"/>
            </w:pPr>
            <w:r>
              <w:rPr>
                <w:color w:val="1C3A36"/>
                <w:sz w:val="14"/>
              </w:rPr>
              <w:t>beta: 1.7458; se: 0.3972; r2: 0.1285; n: 253; ci90: 1.0924 · 2.3991; usable: 1</w:t>
            </w:r>
          </w:p>
        </w:tc>
        <w:tc>
          <w:tcPr>
            <w:tcW w:type="dxa" w:w="5616"/>
          </w:tcPr>
          <w:p>
            <w:pPr>
              <w:spacing w:after="20"/>
              <w:jc w:val="right"/>
            </w:pPr>
            <w:r>
              <w:rPr>
                <w:color w:val="1C3A36"/>
                <w:sz w:val="14"/>
              </w:rPr>
              <w:t>Full beta provenance record as returned by the house regression module and accepted by the beta-provenance gate: regressor, as-of date, diagnostics, confidence interval and conformance flag</w:t>
            </w:r>
          </w:p>
        </w:tc>
        <w:tc>
          <w:tcPr>
            <w:tcW w:type="dxa" w:w="1080"/>
          </w:tcPr>
          <w:p>
            <w:pPr>
              <w:spacing w:after="20"/>
              <w:jc w:val="right"/>
            </w:pPr>
            <w:r>
              <w:rPr>
                <w:color w:val="1C3A36"/>
                <w:sz w:val="14"/>
              </w:rPr>
              <w:t>2026-08-10</w:t>
            </w:r>
          </w:p>
        </w:tc>
      </w:tr>
      <w:tr>
        <w:tc>
          <w:tcPr>
            <w:tcW w:type="dxa" w:w="1800"/>
          </w:tcPr>
          <w:p>
            <w:pPr>
              <w:spacing w:after="20"/>
            </w:pPr>
            <w:r>
              <w:rPr>
                <w:color w:val="1C3A36"/>
                <w:sz w:val="14"/>
              </w:rPr>
              <w:t>beta_naive_same_weeks</w:t>
            </w:r>
          </w:p>
        </w:tc>
        <w:tc>
          <w:tcPr>
            <w:tcW w:type="dxa" w:w="1656"/>
          </w:tcPr>
          <w:p>
            <w:pPr>
              <w:spacing w:after="20"/>
              <w:jc w:val="right"/>
            </w:pPr>
            <w:r>
              <w:rPr>
                <w:color w:val="1C3A36"/>
                <w:sz w:val="14"/>
              </w:rPr>
              <w:t>beta: 1.3943; se: 0.2383; r2: 0.1192; n: 255</w:t>
            </w:r>
          </w:p>
        </w:tc>
        <w:tc>
          <w:tcPr>
            <w:tcW w:type="dxa" w:w="5616"/>
          </w:tcPr>
          <w:p>
            <w:pPr>
              <w:spacing w:after="20"/>
              <w:jc w:val="right"/>
            </w:pPr>
            <w:r>
              <w:rPr>
                <w:color w:val="1C3A36"/>
                <w:sz w:val="14"/>
              </w:rPr>
              <w:t>The same regression WITHOUT the Dimson thin-trading correction, on the same weeks, so the correction is visible rather than buried in a default argument</w:t>
            </w:r>
          </w:p>
        </w:tc>
        <w:tc>
          <w:tcPr>
            <w:tcW w:type="dxa" w:w="1080"/>
          </w:tcPr>
          <w:p>
            <w:pPr>
              <w:spacing w:after="20"/>
              <w:jc w:val="right"/>
            </w:pPr>
            <w:r>
              <w:rPr>
                <w:color w:val="1C3A36"/>
                <w:sz w:val="14"/>
              </w:rPr>
              <w:t>2026-08-10</w:t>
            </w:r>
          </w:p>
        </w:tc>
      </w:tr>
      <w:tr>
        <w:tc>
          <w:tcPr>
            <w:tcW w:type="dxa" w:w="1800"/>
          </w:tcPr>
          <w:p>
            <w:pPr>
              <w:spacing w:after="20"/>
            </w:pPr>
            <w:r>
              <w:rPr>
                <w:color w:val="1C3A36"/>
                <w:sz w:val="14"/>
              </w:rPr>
              <w:t>asset_life_years</w:t>
            </w:r>
          </w:p>
        </w:tc>
        <w:tc>
          <w:tcPr>
            <w:tcW w:type="dxa" w:w="1656"/>
          </w:tcPr>
          <w:p>
            <w:pPr>
              <w:spacing w:after="20"/>
              <w:jc w:val="right"/>
            </w:pPr>
            <w:r>
              <w:rPr>
                <w:color w:val="1C3A36"/>
                <w:sz w:val="14"/>
              </w:rPr>
              <w:t>50</w:t>
            </w:r>
          </w:p>
        </w:tc>
        <w:tc>
          <w:tcPr>
            <w:tcW w:type="dxa" w:w="5616"/>
          </w:tcPr>
          <w:p>
            <w:pPr>
              <w:spacing w:after="20"/>
              <w:jc w:val="right"/>
            </w:pPr>
            <w:r>
              <w:rPr>
                <w:color w:val="1C3A36"/>
                <w:sz w:val="14"/>
              </w:rPr>
              <w:t>The LONGEST useful life the company discloses — buildings, from the property, plant and equipment accounting policy in the FY2025 consolidated statements, which gives plant 40 years, buildings 2 to 50, machinery and equipment 3 to 4, vehicles 3 to 5, office and computer equipment 2 to 5, furniture and fixtures 2 to 5, leasehold improvements the lower of the lease term or 10, and other assets 5. A WEIGHTED life CANNOT be derived here and none is invented: the note's own columns combine land with buildings (73% of gross cost, and land is not depreciated at all) and plant with machinery (a more than tenfold spread), and the charge-implied route is closed by AED 832mn of assets acquired through business combinations during the year. So the LONGEST disclosed life is taken DELIBERATELY, because it produces the LARGEST maintenance charge and therefore the LOWEST terminal of any life in the note — and the whole disclosed range is published beside it: every life from 2 to 50 years puts the terminal between 10.7% and 18.6% above the one this edition replaces and above the no-growth marker, so the DIRECTION of the correction is certain across the entire range and only its size is not.</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lease_int</w:t>
            </w:r>
          </w:p>
        </w:tc>
        <w:tc>
          <w:tcPr>
            <w:tcW w:type="dxa" w:w="1656"/>
          </w:tcPr>
          <w:p>
            <w:pPr>
              <w:spacing w:after="20"/>
              <w:jc w:val="right"/>
            </w:pPr>
            <w:r>
              <w:rPr>
                <w:color w:val="1C3A36"/>
                <w:sz w:val="14"/>
              </w:rPr>
              <w:t>36</w:t>
            </w:r>
          </w:p>
        </w:tc>
        <w:tc>
          <w:tcPr>
            <w:tcW w:type="dxa" w:w="5616"/>
          </w:tcPr>
          <w:p>
            <w:pPr>
              <w:spacing w:after="20"/>
              <w:jc w:val="right"/>
            </w:pPr>
            <w:r>
              <w:rPr>
                <w:color w:val="1C3A36"/>
                <w:sz w:val="14"/>
              </w:rPr>
              <w:t>Annual interest on lease liabilities (H1-2026 actual ~18 per half), now an explicit input rather than an embedded numeral</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fgn_share</w:t>
            </w:r>
          </w:p>
        </w:tc>
        <w:tc>
          <w:tcPr>
            <w:tcW w:type="dxa" w:w="1656"/>
          </w:tcPr>
          <w:p>
            <w:pPr>
              <w:spacing w:after="20"/>
              <w:jc w:val="right"/>
            </w:pPr>
            <w:r>
              <w:rPr>
                <w:color w:val="1C3A36"/>
                <w:sz w:val="14"/>
              </w:rPr>
              <w:t>0.1708</w:t>
            </w:r>
          </w:p>
        </w:tc>
        <w:tc>
          <w:tcPr>
            <w:tcW w:type="dxa" w:w="5616"/>
          </w:tcPr>
          <w:p>
            <w:pPr>
              <w:spacing w:after="20"/>
              <w:jc w:val="right"/>
            </w:pPr>
            <w:r>
              <w:rPr>
                <w:color w:val="1C3A36"/>
                <w:sz w:val="14"/>
              </w:rPr>
              <w:t>Revenue OUTSIDE the UAE, FY2025 audited geographic split, note 5 (11,466.934 within / 2,361.935 outside) — recognised REVENUE, not contracted sales; one external audit asserted this split is unpublished; it is note 5 of the audited statements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recurring_base</w:t>
            </w:r>
          </w:p>
        </w:tc>
        <w:tc>
          <w:tcPr>
            <w:tcW w:type="dxa" w:w="1656"/>
          </w:tcPr>
          <w:p>
            <w:pPr>
              <w:spacing w:after="20"/>
              <w:jc w:val="right"/>
            </w:pPr>
            <w:r>
              <w:rPr>
                <w:color w:val="1C3A36"/>
                <w:sz w:val="14"/>
              </w:rPr>
              <w:t>6,455.178</w:t>
            </w:r>
          </w:p>
        </w:tc>
        <w:tc>
          <w:tcPr>
            <w:tcW w:type="dxa" w:w="5616"/>
          </w:tcPr>
          <w:p>
            <w:pPr>
              <w:spacing w:after="20"/>
              <w:jc w:val="right"/>
            </w:pPr>
            <w:r>
              <w:rPr>
                <w:color w:val="1C3A36"/>
                <w:sz w:val="14"/>
              </w:rPr>
              <w:t>Recurring/operating legs base = FY2025 AIM + Hospitality + ECT segment revenue (6,455.178), grown 15% to mid-cycle</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land_bv</w:t>
            </w:r>
          </w:p>
        </w:tc>
        <w:tc>
          <w:tcPr>
            <w:tcW w:type="dxa" w:w="1656"/>
          </w:tcPr>
          <w:p>
            <w:pPr>
              <w:spacing w:after="20"/>
              <w:jc w:val="right"/>
            </w:pPr>
            <w:r>
              <w:rPr>
                <w:color w:val="1C3A36"/>
                <w:sz w:val="14"/>
              </w:rPr>
              <w:t>26,610.771</w:t>
            </w:r>
          </w:p>
        </w:tc>
        <w:tc>
          <w:tcPr>
            <w:tcW w:type="dxa" w:w="5616"/>
          </w:tcPr>
          <w:p>
            <w:pPr>
              <w:spacing w:after="20"/>
              <w:jc w:val="right"/>
            </w:pPr>
            <w:r>
              <w:rPr>
                <w:color w:val="1C3A36"/>
                <w:sz w:val="14"/>
              </w:rPr>
              <w:t>Land plots at cost, note 19,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dwip_bv_h1</w:t>
            </w:r>
          </w:p>
        </w:tc>
        <w:tc>
          <w:tcPr>
            <w:tcW w:type="dxa" w:w="1656"/>
          </w:tcPr>
          <w:p>
            <w:pPr>
              <w:spacing w:after="20"/>
              <w:jc w:val="right"/>
            </w:pPr>
            <w:r>
              <w:rPr>
                <w:color w:val="1C3A36"/>
                <w:sz w:val="14"/>
              </w:rPr>
              <w:t>6,487.697</w:t>
            </w:r>
          </w:p>
        </w:tc>
        <w:tc>
          <w:tcPr>
            <w:tcW w:type="dxa" w:w="5616"/>
          </w:tcPr>
          <w:p>
            <w:pPr>
              <w:spacing w:after="20"/>
              <w:jc w:val="right"/>
            </w:pPr>
            <w:r>
              <w:rPr>
                <w:color w:val="1C3A36"/>
                <w:sz w:val="14"/>
              </w:rPr>
              <w:t>Development WIP at 30-Jun-2026,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rp_book_h1</w:t>
            </w:r>
          </w:p>
        </w:tc>
        <w:tc>
          <w:tcPr>
            <w:tcW w:type="dxa" w:w="1656"/>
          </w:tcPr>
          <w:p>
            <w:pPr>
              <w:spacing w:after="20"/>
              <w:jc w:val="right"/>
            </w:pPr>
            <w:r>
              <w:rPr>
                <w:color w:val="1C3A36"/>
                <w:sz w:val="14"/>
              </w:rPr>
              <w:t>10,755.509</w:t>
            </w:r>
          </w:p>
        </w:tc>
        <w:tc>
          <w:tcPr>
            <w:tcW w:type="dxa" w:w="5616"/>
          </w:tcPr>
          <w:p>
            <w:pPr>
              <w:spacing w:after="20"/>
              <w:jc w:val="right"/>
            </w:pPr>
            <w:r>
              <w:rPr>
                <w:color w:val="1C3A36"/>
                <w:sz w:val="14"/>
              </w:rPr>
              <w:t>Amounts due from related parties NC + C, 30-Jun-2026, Interim condensed consolidated financial statements, 30-Jun-2026 (reviewed, unaudited), modon.com investor relations</w:t>
            </w:r>
          </w:p>
        </w:tc>
        <w:tc>
          <w:tcPr>
            <w:tcW w:type="dxa" w:w="1080"/>
          </w:tcPr>
          <w:p>
            <w:pPr>
              <w:spacing w:after="20"/>
              <w:jc w:val="right"/>
            </w:pPr>
            <w:r>
              <w:rPr>
                <w:color w:val="1C3A36"/>
                <w:sz w:val="14"/>
              </w:rPr>
              <w:t>2026-08-07</w:t>
            </w:r>
          </w:p>
        </w:tc>
      </w:tr>
    </w:tbl>
    <w:p>
      <w:pPr>
        <w:spacing w:after="40"/>
      </w:pPr>
    </w:p>
    <w:p>
      <w:pPr>
        <w:spacing w:after="80" w:before="200"/>
      </w:pPr>
      <w:r>
        <w:rPr>
          <w:b/>
          <w:i w:val="0"/>
          <w:color w:val="1C3A36"/>
          <w:sz w:val="24"/>
        </w:rPr>
        <w:t>Company/House layer — 2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1656"/>
        <w:gridCol w:w="5616"/>
        <w:gridCol w:w="1080"/>
      </w:tblGrid>
      <w:tr>
        <w:tc>
          <w:tcPr>
            <w:tcW w:type="dxa" w:w="1800"/>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616"/>
            <w:shd w:val="clear" w:color="auto" w:fill="EAF0EE"/>
          </w:tcPr>
          <w:p>
            <w:pPr>
              <w:spacing w:after="20"/>
            </w:pPr>
            <w:r>
              <w:rPr>
                <w:b/>
                <w:color w:val="1C3A36"/>
                <w:sz w:val="14"/>
              </w:rPr>
              <w:t>Source</w:t>
            </w:r>
          </w:p>
        </w:tc>
        <w:tc>
          <w:tcPr>
            <w:tcW w:type="dxa" w:w="1080"/>
            <w:shd w:val="clear" w:color="auto" w:fill="EAF0EE"/>
          </w:tcPr>
          <w:p>
            <w:pPr>
              <w:spacing w:after="20"/>
            </w:pPr>
            <w:r>
              <w:rPr>
                <w:b/>
                <w:color w:val="1C3A36"/>
                <w:sz w:val="14"/>
              </w:rPr>
              <w:t>Date</w:t>
            </w:r>
          </w:p>
        </w:tc>
      </w:tr>
      <w:tr>
        <w:tc>
          <w:tcPr>
            <w:tcW w:type="dxa" w:w="1800"/>
          </w:tcPr>
          <w:p>
            <w:pPr>
              <w:spacing w:after="20"/>
            </w:pPr>
            <w:r>
              <w:rPr>
                <w:color w:val="1C3A36"/>
                <w:sz w:val="14"/>
              </w:rPr>
              <w:t>gp_fy23_house</w:t>
            </w:r>
          </w:p>
        </w:tc>
        <w:tc>
          <w:tcPr>
            <w:tcW w:type="dxa" w:w="1656"/>
          </w:tcPr>
          <w:p>
            <w:pPr>
              <w:spacing w:after="20"/>
              <w:jc w:val="right"/>
            </w:pPr>
            <w:r>
              <w:rPr>
                <w:color w:val="1C3A36"/>
                <w:sz w:val="14"/>
              </w:rPr>
              <w:t>599.559</w:t>
            </w:r>
          </w:p>
        </w:tc>
        <w:tc>
          <w:tcPr>
            <w:tcW w:type="dxa" w:w="5616"/>
          </w:tcPr>
          <w:p>
            <w:pPr>
              <w:spacing w:after="20"/>
              <w:jc w:val="right"/>
            </w:pPr>
            <w:r>
              <w:rPr>
                <w:color w:val="1C3A36"/>
                <w:sz w:val="14"/>
              </w:rPr>
              <w:t>House proxy: revenue less contract costs 394.734 (P&amp;L by nature carries no gross-profit line), Audited consolidated financial statements FY2023, Q Holding PSC, modon.com investor relations</w:t>
            </w:r>
          </w:p>
        </w:tc>
        <w:tc>
          <w:tcPr>
            <w:tcW w:type="dxa" w:w="1080"/>
          </w:tcPr>
          <w:p>
            <w:pPr>
              <w:spacing w:after="20"/>
              <w:jc w:val="right"/>
            </w:pPr>
            <w:r>
              <w:rPr>
                <w:color w:val="1C3A36"/>
                <w:sz w:val="14"/>
              </w:rPr>
              <w:t>2024-02-15</w:t>
            </w:r>
          </w:p>
        </w:tc>
      </w:tr>
      <w:tr>
        <w:tc>
          <w:tcPr>
            <w:tcW w:type="dxa" w:w="1800"/>
          </w:tcPr>
          <w:p>
            <w:pPr>
              <w:spacing w:after="20"/>
            </w:pPr>
            <w:r>
              <w:rPr>
                <w:color w:val="1C3A36"/>
                <w:sz w:val="14"/>
              </w:rPr>
              <w:t>kd_margin</w:t>
            </w:r>
          </w:p>
        </w:tc>
        <w:tc>
          <w:tcPr>
            <w:tcW w:type="dxa" w:w="1656"/>
          </w:tcPr>
          <w:p>
            <w:pPr>
              <w:spacing w:after="20"/>
              <w:jc w:val="right"/>
            </w:pPr>
            <w:r>
              <w:rPr>
                <w:color w:val="1C3A36"/>
                <w:sz w:val="14"/>
              </w:rPr>
              <w:t>0.0165</w:t>
            </w:r>
          </w:p>
        </w:tc>
        <w:tc>
          <w:tcPr>
            <w:tcW w:type="dxa" w:w="5616"/>
          </w:tcPr>
          <w:p>
            <w:pPr>
              <w:spacing w:after="20"/>
              <w:jc w:val="right"/>
            </w:pPr>
            <w:r>
              <w:rPr>
                <w:color w:val="1C3A36"/>
                <w:sz w:val="14"/>
              </w:rPr>
              <w:t>Blended forward margin over 6M EIBOR from the note-29 tranche table (+0.60% newest large AED tranche to +2.5% construction; SONIA +0.95-2.05% GBP)</w:t>
            </w:r>
          </w:p>
        </w:tc>
        <w:tc>
          <w:tcPr>
            <w:tcW w:type="dxa" w:w="1080"/>
          </w:tcPr>
          <w:p>
            <w:pPr>
              <w:spacing w:after="20"/>
              <w:jc w:val="right"/>
            </w:pPr>
            <w:r>
              <w:rPr>
                <w:color w:val="1C3A36"/>
                <w:sz w:val="14"/>
              </w:rPr>
              <w:t>2026-02-18</w:t>
            </w:r>
          </w:p>
        </w:tc>
      </w:tr>
    </w:tbl>
    <w:p>
      <w:pPr>
        <w:spacing w:after="40"/>
      </w:pPr>
    </w:p>
    <w:p>
      <w:pPr>
        <w:spacing w:after="80" w:before="200"/>
      </w:pPr>
      <w:r>
        <w:rPr>
          <w:b/>
          <w:i w:val="0"/>
          <w:color w:val="1C3A36"/>
          <w:sz w:val="24"/>
        </w:rPr>
        <w:t>Country layer — 7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1656"/>
        <w:gridCol w:w="5616"/>
        <w:gridCol w:w="1080"/>
      </w:tblGrid>
      <w:tr>
        <w:tc>
          <w:tcPr>
            <w:tcW w:type="dxa" w:w="1800"/>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616"/>
            <w:shd w:val="clear" w:color="auto" w:fill="EAF0EE"/>
          </w:tcPr>
          <w:p>
            <w:pPr>
              <w:spacing w:after="20"/>
            </w:pPr>
            <w:r>
              <w:rPr>
                <w:b/>
                <w:color w:val="1C3A36"/>
                <w:sz w:val="14"/>
              </w:rPr>
              <w:t>Source</w:t>
            </w:r>
          </w:p>
        </w:tc>
        <w:tc>
          <w:tcPr>
            <w:tcW w:type="dxa" w:w="1080"/>
            <w:shd w:val="clear" w:color="auto" w:fill="EAF0EE"/>
          </w:tcPr>
          <w:p>
            <w:pPr>
              <w:spacing w:after="20"/>
            </w:pPr>
            <w:r>
              <w:rPr>
                <w:b/>
                <w:color w:val="1C3A36"/>
                <w:sz w:val="14"/>
              </w:rPr>
              <w:t>Date</w:t>
            </w:r>
          </w:p>
        </w:tc>
      </w:tr>
      <w:tr>
        <w:tc>
          <w:tcPr>
            <w:tcW w:type="dxa" w:w="1800"/>
          </w:tcPr>
          <w:p>
            <w:pPr>
              <w:spacing w:after="20"/>
            </w:pPr>
            <w:r>
              <w:rPr>
                <w:color w:val="1C3A36"/>
                <w:sz w:val="14"/>
              </w:rPr>
              <w:t>rf</w:t>
            </w:r>
          </w:p>
        </w:tc>
        <w:tc>
          <w:tcPr>
            <w:tcW w:type="dxa" w:w="1656"/>
          </w:tcPr>
          <w:p>
            <w:pPr>
              <w:spacing w:after="20"/>
              <w:jc w:val="right"/>
            </w:pPr>
            <w:r>
              <w:rPr>
                <w:color w:val="1C3A36"/>
                <w:sz w:val="14"/>
              </w:rPr>
              <w:t>0.0448</w:t>
            </w:r>
          </w:p>
        </w:tc>
        <w:tc>
          <w:tcPr>
            <w:tcW w:type="dxa" w:w="5616"/>
          </w:tcPr>
          <w:p>
            <w:pPr>
              <w:spacing w:after="20"/>
              <w:jc w:val="right"/>
            </w:pPr>
            <w:r>
              <w:rPr>
                <w:color w:val="1C3A36"/>
                <w:sz w:val="14"/>
              </w:rPr>
              <w:t>AED sovereign anchor: Jan-2031 dirham T-Bond, 4.48% YTM, July-2026 auction, ~4bp over UST (UAE MoF via WAM) — the longest liquid AED government tranche; the tenor choice (4.4y vs a perpetual stream) is stated as a limitation</w:t>
            </w:r>
          </w:p>
        </w:tc>
        <w:tc>
          <w:tcPr>
            <w:tcW w:type="dxa" w:w="1080"/>
          </w:tcPr>
          <w:p>
            <w:pPr>
              <w:spacing w:after="20"/>
              <w:jc w:val="right"/>
            </w:pPr>
            <w:r>
              <w:rPr>
                <w:color w:val="1C3A36"/>
                <w:sz w:val="14"/>
              </w:rPr>
              <w:t>2026-07-30</w:t>
            </w:r>
          </w:p>
        </w:tc>
      </w:tr>
      <w:tr>
        <w:tc>
          <w:tcPr>
            <w:tcW w:type="dxa" w:w="1800"/>
          </w:tcPr>
          <w:p>
            <w:pPr>
              <w:spacing w:after="20"/>
            </w:pPr>
            <w:r>
              <w:rPr>
                <w:color w:val="1C3A36"/>
                <w:sz w:val="14"/>
              </w:rPr>
              <w:t>sov_spread_rating</w:t>
            </w:r>
          </w:p>
        </w:tc>
        <w:tc>
          <w:tcPr>
            <w:tcW w:type="dxa" w:w="1656"/>
          </w:tcPr>
          <w:p>
            <w:pPr>
              <w:spacing w:after="20"/>
              <w:jc w:val="right"/>
            </w:pPr>
            <w:r>
              <w:rPr>
                <w:color w:val="1C3A36"/>
                <w:sz w:val="14"/>
              </w:rPr>
              <w:t>0.0042</w:t>
            </w:r>
          </w:p>
        </w:tc>
        <w:tc>
          <w:tcPr>
            <w:tcW w:type="dxa" w:w="5616"/>
          </w:tcPr>
          <w:p>
            <w:pPr>
              <w:spacing w:after="20"/>
              <w:jc w:val="right"/>
            </w:pPr>
            <w:r>
              <w:rPr>
                <w:color w:val="1C3A36"/>
                <w:sz w:val="14"/>
              </w:rPr>
              <w:t>Damodaran adjusted default spread, UAE (Aa2), rating basis, January-2026 ctryprem (the July-2026 refresh carries the same UAE parameters per independent verification; vintage stated)</w:t>
            </w:r>
          </w:p>
        </w:tc>
        <w:tc>
          <w:tcPr>
            <w:tcW w:type="dxa" w:w="1080"/>
          </w:tcPr>
          <w:p>
            <w:pPr>
              <w:spacing w:after="20"/>
              <w:jc w:val="right"/>
            </w:pPr>
            <w:r>
              <w:rPr>
                <w:color w:val="1C3A36"/>
                <w:sz w:val="14"/>
              </w:rPr>
              <w:t>2026-01-05</w:t>
            </w:r>
          </w:p>
        </w:tc>
      </w:tr>
      <w:tr>
        <w:tc>
          <w:tcPr>
            <w:tcW w:type="dxa" w:w="1800"/>
          </w:tcPr>
          <w:p>
            <w:pPr>
              <w:spacing w:after="20"/>
            </w:pPr>
            <w:r>
              <w:rPr>
                <w:color w:val="1C3A36"/>
                <w:sz w:val="14"/>
              </w:rPr>
              <w:t>erp_rating</w:t>
            </w:r>
          </w:p>
        </w:tc>
        <w:tc>
          <w:tcPr>
            <w:tcW w:type="dxa" w:w="1656"/>
          </w:tcPr>
          <w:p>
            <w:pPr>
              <w:spacing w:after="20"/>
              <w:jc w:val="right"/>
            </w:pPr>
            <w:r>
              <w:rPr>
                <w:color w:val="1C3A36"/>
                <w:sz w:val="14"/>
              </w:rPr>
              <w:t>0.0487</w:t>
            </w:r>
          </w:p>
        </w:tc>
        <w:tc>
          <w:tcPr>
            <w:tcW w:type="dxa" w:w="5616"/>
          </w:tcPr>
          <w:p>
            <w:pPr>
              <w:spacing w:after="20"/>
              <w:jc w:val="right"/>
            </w:pPr>
            <w:r>
              <w:rPr>
                <w:color w:val="1C3A36"/>
                <w:sz w:val="14"/>
              </w:rPr>
              <w:t>Damodaran total ERP, UAE row, rating basis</w:t>
            </w:r>
          </w:p>
        </w:tc>
        <w:tc>
          <w:tcPr>
            <w:tcW w:type="dxa" w:w="1080"/>
          </w:tcPr>
          <w:p>
            <w:pPr>
              <w:spacing w:after="20"/>
              <w:jc w:val="right"/>
            </w:pPr>
            <w:r>
              <w:rPr>
                <w:color w:val="1C3A36"/>
                <w:sz w:val="14"/>
              </w:rPr>
              <w:t>2026-01-05</w:t>
            </w:r>
          </w:p>
        </w:tc>
      </w:tr>
      <w:tr>
        <w:tc>
          <w:tcPr>
            <w:tcW w:type="dxa" w:w="1800"/>
          </w:tcPr>
          <w:p>
            <w:pPr>
              <w:spacing w:after="20"/>
            </w:pPr>
            <w:r>
              <w:rPr>
                <w:color w:val="1C3A36"/>
                <w:sz w:val="14"/>
              </w:rPr>
              <w:t>erp_cds_na</w:t>
            </w:r>
          </w:p>
        </w:tc>
        <w:tc>
          <w:tcPr>
            <w:tcW w:type="dxa" w:w="1656"/>
          </w:tcPr>
          <w:p>
            <w:pPr>
              <w:spacing w:after="20"/>
              <w:jc w:val="right"/>
            </w:pPr>
            <w:r>
              <w:rPr>
                <w:color w:val="1C3A36"/>
                <w:sz w:val="14"/>
              </w:rPr>
              <w:t>NA</w:t>
            </w:r>
          </w:p>
        </w:tc>
        <w:tc>
          <w:tcPr>
            <w:tcW w:type="dxa" w:w="5616"/>
          </w:tcPr>
          <w:p>
            <w:pPr>
              <w:spacing w:after="20"/>
              <w:jc w:val="right"/>
            </w:pPr>
            <w:r>
              <w:rPr>
                <w:color w:val="1C3A36"/>
                <w:sz w:val="14"/>
              </w:rPr>
              <w:t>No UAE sovereign CDS row is published — the CDS-basis WACC cannot be built; rating basis stands alone, stated</w:t>
            </w:r>
          </w:p>
        </w:tc>
        <w:tc>
          <w:tcPr>
            <w:tcW w:type="dxa" w:w="1080"/>
          </w:tcPr>
          <w:p>
            <w:pPr>
              <w:spacing w:after="20"/>
              <w:jc w:val="right"/>
            </w:pPr>
            <w:r>
              <w:rPr>
                <w:color w:val="1C3A36"/>
                <w:sz w:val="14"/>
              </w:rPr>
              <w:t>2026-01-05</w:t>
            </w:r>
          </w:p>
        </w:tc>
      </w:tr>
      <w:tr>
        <w:tc>
          <w:tcPr>
            <w:tcW w:type="dxa" w:w="1800"/>
          </w:tcPr>
          <w:p>
            <w:pPr>
              <w:spacing w:after="20"/>
            </w:pPr>
            <w:r>
              <w:rPr>
                <w:color w:val="1C3A36"/>
                <w:sz w:val="14"/>
              </w:rPr>
              <w:t>eibor6m</w:t>
            </w:r>
          </w:p>
        </w:tc>
        <w:tc>
          <w:tcPr>
            <w:tcW w:type="dxa" w:w="1656"/>
          </w:tcPr>
          <w:p>
            <w:pPr>
              <w:spacing w:after="20"/>
              <w:jc w:val="right"/>
            </w:pPr>
            <w:r>
              <w:rPr>
                <w:color w:val="1C3A36"/>
                <w:sz w:val="14"/>
              </w:rPr>
              <w:t>0.0371</w:t>
            </w:r>
          </w:p>
        </w:tc>
        <w:tc>
          <w:tcPr>
            <w:tcW w:type="dxa" w:w="5616"/>
          </w:tcPr>
          <w:p>
            <w:pPr>
              <w:spacing w:after="20"/>
              <w:jc w:val="right"/>
            </w:pPr>
            <w:r>
              <w:rPr>
                <w:color w:val="1C3A36"/>
                <w:sz w:val="14"/>
              </w:rPr>
              <w:t>EIBOR 6M 3.71% (31-Mar-2026 published set; the CBUAE page again refused this session — fixing retained WITH ITS DATE; a 25bp EIBOR move is ~3bp of WACC)</w:t>
            </w:r>
          </w:p>
        </w:tc>
        <w:tc>
          <w:tcPr>
            <w:tcW w:type="dxa" w:w="1080"/>
          </w:tcPr>
          <w:p>
            <w:pPr>
              <w:spacing w:after="20"/>
              <w:jc w:val="right"/>
            </w:pPr>
            <w:r>
              <w:rPr>
                <w:color w:val="1C3A36"/>
                <w:sz w:val="14"/>
              </w:rPr>
              <w:t>2026-03-31</w:t>
            </w:r>
          </w:p>
        </w:tc>
      </w:tr>
      <w:tr>
        <w:tc>
          <w:tcPr>
            <w:tcW w:type="dxa" w:w="1800"/>
          </w:tcPr>
          <w:p>
            <w:pPr>
              <w:spacing w:after="20"/>
            </w:pPr>
            <w:r>
              <w:rPr>
                <w:color w:val="1C3A36"/>
                <w:sz w:val="14"/>
              </w:rPr>
              <w:t>cash_yield</w:t>
            </w:r>
          </w:p>
        </w:tc>
        <w:tc>
          <w:tcPr>
            <w:tcW w:type="dxa" w:w="1656"/>
          </w:tcPr>
          <w:p>
            <w:pPr>
              <w:spacing w:after="20"/>
              <w:jc w:val="right"/>
            </w:pPr>
            <w:r>
              <w:rPr>
                <w:color w:val="1C3A36"/>
                <w:sz w:val="14"/>
              </w:rPr>
              <w:t>0.035</w:t>
            </w:r>
          </w:p>
        </w:tc>
        <w:tc>
          <w:tcPr>
            <w:tcW w:type="dxa" w:w="5616"/>
          </w:tcPr>
          <w:p>
            <w:pPr>
              <w:spacing w:after="20"/>
              <w:jc w:val="right"/>
            </w:pPr>
            <w:r>
              <w:rPr>
                <w:color w:val="1C3A36"/>
                <w:sz w:val="14"/>
              </w:rPr>
              <w:t>Yield on cash</w:t>
            </w:r>
          </w:p>
        </w:tc>
        <w:tc>
          <w:tcPr>
            <w:tcW w:type="dxa" w:w="1080"/>
          </w:tcPr>
          <w:p>
            <w:pPr>
              <w:spacing w:after="20"/>
              <w:jc w:val="right"/>
            </w:pPr>
            <w:r>
              <w:rPr>
                <w:color w:val="1C3A36"/>
                <w:sz w:val="14"/>
              </w:rPr>
              <w:t>2026-06-17</w:t>
            </w:r>
          </w:p>
        </w:tc>
      </w:tr>
      <w:tr>
        <w:tc>
          <w:tcPr>
            <w:tcW w:type="dxa" w:w="1800"/>
          </w:tcPr>
          <w:p>
            <w:pPr>
              <w:spacing w:after="20"/>
            </w:pPr>
            <w:r>
              <w:rPr>
                <w:color w:val="1C3A36"/>
                <w:sz w:val="14"/>
              </w:rPr>
              <w:t>egy_crp</w:t>
            </w:r>
          </w:p>
        </w:tc>
        <w:tc>
          <w:tcPr>
            <w:tcW w:type="dxa" w:w="1656"/>
          </w:tcPr>
          <w:p>
            <w:pPr>
              <w:spacing w:after="20"/>
              <w:jc w:val="right"/>
            </w:pPr>
            <w:r>
              <w:rPr>
                <w:color w:val="1C3A36"/>
                <w:sz w:val="14"/>
              </w:rPr>
              <w:t>0.0971</w:t>
            </w:r>
          </w:p>
        </w:tc>
        <w:tc>
          <w:tcPr>
            <w:tcW w:type="dxa" w:w="5616"/>
          </w:tcPr>
          <w:p>
            <w:pPr>
              <w:spacing w:after="20"/>
              <w:jc w:val="right"/>
            </w:pPr>
            <w:r>
              <w:rPr>
                <w:color w:val="1C3A36"/>
                <w:sz w:val="14"/>
              </w:rPr>
              <w:t>Damodaran CRP, Egypt (Caa1), Jan-2026</w:t>
            </w:r>
          </w:p>
        </w:tc>
        <w:tc>
          <w:tcPr>
            <w:tcW w:type="dxa" w:w="1080"/>
          </w:tcPr>
          <w:p>
            <w:pPr>
              <w:spacing w:after="20"/>
              <w:jc w:val="right"/>
            </w:pPr>
            <w:r>
              <w:rPr>
                <w:color w:val="1C3A36"/>
                <w:sz w:val="14"/>
              </w:rPr>
              <w:t>2026-01-05</w:t>
            </w:r>
          </w:p>
        </w:tc>
      </w:tr>
    </w:tbl>
    <w:p>
      <w:pPr>
        <w:spacing w:after="40"/>
      </w:pPr>
    </w:p>
    <w:p>
      <w:pPr>
        <w:spacing w:after="80" w:before="200"/>
      </w:pPr>
      <w:r>
        <w:rPr>
          <w:b/>
          <w:i w:val="0"/>
          <w:color w:val="1C3A36"/>
          <w:sz w:val="24"/>
        </w:rPr>
        <w:t>Industry layer — 2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1656"/>
        <w:gridCol w:w="5616"/>
        <w:gridCol w:w="1080"/>
      </w:tblGrid>
      <w:tr>
        <w:tc>
          <w:tcPr>
            <w:tcW w:type="dxa" w:w="1800"/>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616"/>
            <w:shd w:val="clear" w:color="auto" w:fill="EAF0EE"/>
          </w:tcPr>
          <w:p>
            <w:pPr>
              <w:spacing w:after="20"/>
            </w:pPr>
            <w:r>
              <w:rPr>
                <w:b/>
                <w:color w:val="1C3A36"/>
                <w:sz w:val="14"/>
              </w:rPr>
              <w:t>Source</w:t>
            </w:r>
          </w:p>
        </w:tc>
        <w:tc>
          <w:tcPr>
            <w:tcW w:type="dxa" w:w="1080"/>
            <w:shd w:val="clear" w:color="auto" w:fill="EAF0EE"/>
          </w:tcPr>
          <w:p>
            <w:pPr>
              <w:spacing w:after="20"/>
            </w:pPr>
            <w:r>
              <w:rPr>
                <w:b/>
                <w:color w:val="1C3A36"/>
                <w:sz w:val="14"/>
              </w:rPr>
              <w:t>Date</w:t>
            </w:r>
          </w:p>
        </w:tc>
      </w:tr>
      <w:tr>
        <w:tc>
          <w:tcPr>
            <w:tcW w:type="dxa" w:w="1800"/>
          </w:tcPr>
          <w:p>
            <w:pPr>
              <w:spacing w:after="20"/>
            </w:pPr>
            <w:r>
              <w:rPr>
                <w:color w:val="1C3A36"/>
                <w:sz w:val="14"/>
              </w:rPr>
              <w:t>beta_industry_check</w:t>
            </w:r>
          </w:p>
        </w:tc>
        <w:tc>
          <w:tcPr>
            <w:tcW w:type="dxa" w:w="1656"/>
          </w:tcPr>
          <w:p>
            <w:pPr>
              <w:spacing w:after="20"/>
              <w:jc w:val="right"/>
            </w:pPr>
            <w:r>
              <w:rPr>
                <w:color w:val="1C3A36"/>
                <w:sz w:val="14"/>
              </w:rPr>
              <w:t>unlevered_weighted: 0.501; relevered_fy25: 0.563; relevered_h1: 0.588</w:t>
            </w:r>
          </w:p>
        </w:tc>
        <w:tc>
          <w:tcPr>
            <w:tcW w:type="dxa" w:w="5616"/>
          </w:tcPr>
          <w:p>
            <w:pPr>
              <w:spacing w:after="20"/>
              <w:jc w:val="right"/>
            </w:pPr>
            <w:r>
              <w:rPr>
                <w:color w:val="1C3A36"/>
                <w:sz w:val="14"/>
              </w:rPr>
              <w:t>Damodaran January-2026 EM industry betas (betaemerg.xls, saved 07-Jan-2026): RE Development unlevered 0.452 (cash-corrected, 786 firms, D/E 1.97), RE Operations 0.590, Hotel/Gaming 0.580; gross-profit-weighted and relevered at Modon's structure. Cross-check only</w:t>
            </w:r>
          </w:p>
        </w:tc>
        <w:tc>
          <w:tcPr>
            <w:tcW w:type="dxa" w:w="1080"/>
          </w:tcPr>
          <w:p>
            <w:pPr>
              <w:spacing w:after="20"/>
              <w:jc w:val="right"/>
            </w:pPr>
            <w:r>
              <w:rPr>
                <w:color w:val="1C3A36"/>
                <w:sz w:val="14"/>
              </w:rPr>
              <w:t>2026-01-07</w:t>
            </w:r>
          </w:p>
        </w:tc>
      </w:tr>
      <w:tr>
        <w:tc>
          <w:tcPr>
            <w:tcW w:type="dxa" w:w="1800"/>
          </w:tcPr>
          <w:p>
            <w:pPr>
              <w:spacing w:after="20"/>
            </w:pPr>
            <w:r>
              <w:rPr>
                <w:color w:val="1C3A36"/>
                <w:sz w:val="14"/>
              </w:rPr>
              <w:t>peers</w:t>
            </w:r>
          </w:p>
        </w:tc>
        <w:tc>
          <w:tcPr>
            <w:tcW w:type="dxa" w:w="1656"/>
          </w:tcPr>
          <w:p>
            <w:pPr>
              <w:spacing w:after="20"/>
              <w:jc w:val="right"/>
            </w:pPr>
            <w:r>
              <w:rPr>
                <w:color w:val="1C3A36"/>
                <w:sz w:val="14"/>
              </w:rPr>
              <w:t>ALDAR: name: Aldar Properties (ADX); spot: 7.78; shares_mn: 7,862.6; mcap: 61,171; np_attr: 7,548; eps: 0.96; EMAAR: name: Emaar Properties (DFM); spot: 11.5; shares_mn: 8,838; mcap: 101,650; np_attr: 17,599; eps: None; EMAARDEV: name: Emaar Development (DFM); spot: 13.38; shares_mn: 4,000; mcap: 53,520; np_attr: 11,316; eps: None</w:t>
            </w:r>
          </w:p>
        </w:tc>
        <w:tc>
          <w:tcPr>
            <w:tcW w:type="dxa" w:w="5616"/>
          </w:tcPr>
          <w:p>
            <w:pPr>
              <w:spacing w:after="20"/>
              <w:jc w:val="right"/>
            </w:pPr>
            <w:r>
              <w:rPr>
                <w:color w:val="1C3A36"/>
                <w:sz w:val="14"/>
              </w:rPr>
              <w:t>Peer table REBUILT at revision 2 on one attributable-earnings basis from the peers' own audited filings/releases (figures per the external audits' primary-source checks, adopted after verification); market caps from prices at 07-Aug-2026. Cross-check only</w:t>
            </w:r>
          </w:p>
        </w:tc>
        <w:tc>
          <w:tcPr>
            <w:tcW w:type="dxa" w:w="1080"/>
          </w:tcPr>
          <w:p>
            <w:pPr>
              <w:spacing w:after="20"/>
              <w:jc w:val="right"/>
            </w:pPr>
            <w:r>
              <w:rPr>
                <w:color w:val="1C3A36"/>
                <w:sz w:val="14"/>
              </w:rPr>
              <w:t>2026-08-09</w:t>
            </w:r>
          </w:p>
        </w:tc>
      </w:tr>
    </w:tbl>
    <w:p>
      <w:pPr>
        <w:spacing w:after="40"/>
      </w:pPr>
    </w:p>
    <w:p>
      <w:pPr>
        <w:spacing w:after="80" w:before="200"/>
      </w:pPr>
      <w:r>
        <w:rPr>
          <w:b/>
          <w:i w:val="0"/>
          <w:color w:val="1C3A36"/>
          <w:sz w:val="24"/>
        </w:rPr>
        <w:t>House layer — 50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1656"/>
        <w:gridCol w:w="5616"/>
        <w:gridCol w:w="1080"/>
      </w:tblGrid>
      <w:tr>
        <w:tc>
          <w:tcPr>
            <w:tcW w:type="dxa" w:w="1800"/>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616"/>
            <w:shd w:val="clear" w:color="auto" w:fill="EAF0EE"/>
          </w:tcPr>
          <w:p>
            <w:pPr>
              <w:spacing w:after="20"/>
            </w:pPr>
            <w:r>
              <w:rPr>
                <w:b/>
                <w:color w:val="1C3A36"/>
                <w:sz w:val="14"/>
              </w:rPr>
              <w:t>Source</w:t>
            </w:r>
          </w:p>
        </w:tc>
        <w:tc>
          <w:tcPr>
            <w:tcW w:type="dxa" w:w="1080"/>
            <w:shd w:val="clear" w:color="auto" w:fill="EAF0EE"/>
          </w:tcPr>
          <w:p>
            <w:pPr>
              <w:spacing w:after="20"/>
            </w:pPr>
            <w:r>
              <w:rPr>
                <w:b/>
                <w:color w:val="1C3A36"/>
                <w:sz w:val="14"/>
              </w:rPr>
              <w:t>Date</w:t>
            </w:r>
          </w:p>
        </w:tc>
      </w:tr>
      <w:tr>
        <w:tc>
          <w:tcPr>
            <w:tcW w:type="dxa" w:w="1800"/>
          </w:tcPr>
          <w:p>
            <w:pPr>
              <w:spacing w:after="20"/>
            </w:pPr>
            <w:r>
              <w:rPr>
                <w:color w:val="1C3A36"/>
                <w:sz w:val="14"/>
              </w:rPr>
              <w:t>ke_rev2_published</w:t>
            </w:r>
          </w:p>
        </w:tc>
        <w:tc>
          <w:tcPr>
            <w:tcW w:type="dxa" w:w="1656"/>
          </w:tcPr>
          <w:p>
            <w:pPr>
              <w:spacing w:after="20"/>
              <w:jc w:val="right"/>
            </w:pPr>
            <w:r>
              <w:rPr>
                <w:color w:val="1C3A36"/>
                <w:sz w:val="14"/>
              </w:rPr>
              <w:t>0.0908</w:t>
            </w:r>
          </w:p>
        </w:tc>
        <w:tc>
          <w:tcPr>
            <w:tcW w:type="dxa" w:w="5616"/>
          </w:tcPr>
          <w:p>
            <w:pPr>
              <w:spacing w:after="20"/>
              <w:jc w:val="right"/>
            </w:pPr>
            <w:r>
              <w:rPr>
                <w:color w:val="1C3A36"/>
                <w:sz w:val="14"/>
              </w:rPr>
              <w:t>Cost of equity as revision 2 published it, on the composite-index beta this study has since replaced. Superseded; recorded so the change can be stated without typing the old number.</w:t>
            </w:r>
          </w:p>
        </w:tc>
        <w:tc>
          <w:tcPr>
            <w:tcW w:type="dxa" w:w="1080"/>
          </w:tcPr>
          <w:p>
            <w:pPr>
              <w:spacing w:after="20"/>
              <w:jc w:val="right"/>
            </w:pPr>
            <w:r>
              <w:rPr>
                <w:color w:val="1C3A36"/>
                <w:sz w:val="14"/>
              </w:rPr>
              <w:t>2026-08-10</w:t>
            </w:r>
          </w:p>
        </w:tc>
      </w:tr>
      <w:tr>
        <w:tc>
          <w:tcPr>
            <w:tcW w:type="dxa" w:w="1800"/>
          </w:tcPr>
          <w:p>
            <w:pPr>
              <w:spacing w:after="20"/>
            </w:pPr>
            <w:r>
              <w:rPr>
                <w:color w:val="1C3A36"/>
                <w:sz w:val="14"/>
              </w:rPr>
              <w:t>central_rev2_published</w:t>
            </w:r>
          </w:p>
        </w:tc>
        <w:tc>
          <w:tcPr>
            <w:tcW w:type="dxa" w:w="1656"/>
          </w:tcPr>
          <w:p>
            <w:pPr>
              <w:spacing w:after="20"/>
              <w:jc w:val="right"/>
            </w:pPr>
            <w:r>
              <w:rPr>
                <w:color w:val="1C3A36"/>
                <w:sz w:val="14"/>
              </w:rPr>
              <w:t>3.38</w:t>
            </w:r>
          </w:p>
        </w:tc>
        <w:tc>
          <w:tcPr>
            <w:tcW w:type="dxa" w:w="5616"/>
          </w:tcPr>
          <w:p>
            <w:pPr>
              <w:spacing w:after="20"/>
              <w:jc w:val="right"/>
            </w:pPr>
            <w:r>
              <w:rPr>
                <w:color w:val="1C3A36"/>
                <w:sz w:val="14"/>
              </w:rPr>
              <w:t>The weighted central as revision 2 published it, on the composite-index beta. Superseded; recorded for the same reason.</w:t>
            </w:r>
          </w:p>
        </w:tc>
        <w:tc>
          <w:tcPr>
            <w:tcW w:type="dxa" w:w="1080"/>
          </w:tcPr>
          <w:p>
            <w:pPr>
              <w:spacing w:after="20"/>
              <w:jc w:val="right"/>
            </w:pPr>
            <w:r>
              <w:rPr>
                <w:color w:val="1C3A36"/>
                <w:sz w:val="14"/>
              </w:rPr>
              <w:t>2026-08-10</w:t>
            </w:r>
          </w:p>
        </w:tc>
      </w:tr>
      <w:tr>
        <w:tc>
          <w:tcPr>
            <w:tcW w:type="dxa" w:w="1800"/>
          </w:tcPr>
          <w:p>
            <w:pPr>
              <w:spacing w:after="20"/>
            </w:pPr>
            <w:r>
              <w:rPr>
                <w:color w:val="1C3A36"/>
                <w:sz w:val="14"/>
              </w:rPr>
              <w:t>conv_path</w:t>
            </w:r>
          </w:p>
        </w:tc>
        <w:tc>
          <w:tcPr>
            <w:tcW w:type="dxa" w:w="1656"/>
          </w:tcPr>
          <w:p>
            <w:pPr>
              <w:spacing w:after="20"/>
              <w:jc w:val="right"/>
            </w:pPr>
            <w:r>
              <w:rPr>
                <w:color w:val="1C3A36"/>
                <w:sz w:val="14"/>
              </w:rPr>
              <w:t>0.105 · 0.25 · 0.28 · 0.3 · 0.32</w:t>
            </w:r>
          </w:p>
        </w:tc>
        <w:tc>
          <w:tcPr>
            <w:tcW w:type="dxa" w:w="5616"/>
          </w:tcPr>
          <w:p>
            <w:pPr>
              <w:spacing w:after="20"/>
              <w:jc w:val="right"/>
            </w:pPr>
            <w:r>
              <w:rPr>
                <w:color w:val="1C3A36"/>
                <w:sz w:val="14"/>
              </w:rPr>
              <w:t>Backlog conversion on opening development backlog (H2-2026 is a half-year rate). Anchor: H1-2026 realised development revenue ex-land 4,237 = 9.9% of the 42,600 opening — a ~20-23% annualised pace on a growing base, stepping up as the record construction book mobilises</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new_sales</w:t>
            </w:r>
          </w:p>
        </w:tc>
        <w:tc>
          <w:tcPr>
            <w:tcW w:type="dxa" w:w="1656"/>
          </w:tcPr>
          <w:p>
            <w:pPr>
              <w:spacing w:after="20"/>
              <w:jc w:val="right"/>
            </w:pPr>
            <w:r>
              <w:rPr>
                <w:color w:val="1C3A36"/>
                <w:sz w:val="14"/>
              </w:rPr>
              <w:t>12,000 · 30,000 · 26,000 · 23,000 · 21,000</w:t>
            </w:r>
          </w:p>
        </w:tc>
        <w:tc>
          <w:tcPr>
            <w:tcW w:type="dxa" w:w="5616"/>
          </w:tcPr>
          <w:p>
            <w:pPr>
              <w:spacing w:after="20"/>
              <w:jc w:val="right"/>
            </w:pPr>
            <w:r>
              <w:rPr>
                <w:color w:val="1C3A36"/>
                <w:sz w:val="14"/>
              </w:rPr>
              <w:t>New development sales, BASE path, POST-H1 (the AED 26bn H1-2026 actual is already inside the opening backlog): H2-2026 12bn (no assumed repeat of the 13bn Golf Estates launch), then fading 30-&gt;21bn/yr — still below the 52bn annualised H1 run-rate throughout</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land_rev</w:t>
            </w:r>
          </w:p>
        </w:tc>
        <w:tc>
          <w:tcPr>
            <w:tcW w:type="dxa" w:w="1656"/>
          </w:tcPr>
          <w:p>
            <w:pPr>
              <w:spacing w:after="20"/>
              <w:jc w:val="right"/>
            </w:pPr>
            <w:r>
              <w:rPr>
                <w:color w:val="1C3A36"/>
                <w:sz w:val="14"/>
              </w:rPr>
              <w:t>700 · 1,400 · 1,300 · 1,200 · 1,100</w:t>
            </w:r>
          </w:p>
        </w:tc>
        <w:tc>
          <w:tcPr>
            <w:tcW w:type="dxa" w:w="5616"/>
          </w:tcPr>
          <w:p>
            <w:pPr>
              <w:spacing w:after="20"/>
              <w:jc w:val="right"/>
            </w:pPr>
            <w:r>
              <w:rPr>
                <w:color w:val="1C3A36"/>
                <w:sz w:val="14"/>
              </w:rPr>
              <w:t>Point-in-time land and plot sales: H1-2026 actual was 1,438; tapering path</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red_margin</w:t>
            </w:r>
          </w:p>
        </w:tc>
        <w:tc>
          <w:tcPr>
            <w:tcW w:type="dxa" w:w="1656"/>
          </w:tcPr>
          <w:p>
            <w:pPr>
              <w:spacing w:after="20"/>
              <w:jc w:val="right"/>
            </w:pPr>
            <w:r>
              <w:rPr>
                <w:color w:val="1C3A36"/>
                <w:sz w:val="14"/>
              </w:rPr>
              <w:t>0.41 · 0.4 · 0.39 · 0.385 · 0.38</w:t>
            </w:r>
          </w:p>
        </w:tc>
        <w:tc>
          <w:tcPr>
            <w:tcW w:type="dxa" w:w="5616"/>
          </w:tcPr>
          <w:p>
            <w:pPr>
              <w:spacing w:after="20"/>
              <w:jc w:val="right"/>
            </w:pPr>
            <w:r>
              <w:rPr>
                <w:color w:val="1C3A36"/>
                <w:sz w:val="14"/>
              </w:rPr>
              <w:t>RED gross margin: FY2025 43.7%, H1-2026 actual 41.3%; glides to 38% as related-party land mix fades and the ~4% tender-price escalator runs ahead of ~2% realised-price escalation</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aim_growth</w:t>
            </w:r>
          </w:p>
        </w:tc>
        <w:tc>
          <w:tcPr>
            <w:tcW w:type="dxa" w:w="1656"/>
          </w:tcPr>
          <w:p>
            <w:pPr>
              <w:spacing w:after="20"/>
              <w:jc w:val="right"/>
            </w:pPr>
            <w:r>
              <w:rPr>
                <w:color w:val="1C3A36"/>
                <w:sz w:val="14"/>
              </w:rPr>
              <w:t>None · 0.09 · 0.085 · 0.08 · 0.08</w:t>
            </w:r>
          </w:p>
        </w:tc>
        <w:tc>
          <w:tcPr>
            <w:tcW w:type="dxa" w:w="5616"/>
          </w:tcPr>
          <w:p>
            <w:pPr>
              <w:spacing w:after="20"/>
              <w:jc w:val="right"/>
            </w:pPr>
            <w:r>
              <w:rPr>
                <w:color w:val="1C3A36"/>
                <w:sz w:val="14"/>
              </w:rPr>
              <w:t>AIM revenue growth off the FY2026E base; H2-2026E set directly</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aim_h2</w:t>
            </w:r>
          </w:p>
        </w:tc>
        <w:tc>
          <w:tcPr>
            <w:tcW w:type="dxa" w:w="1656"/>
          </w:tcPr>
          <w:p>
            <w:pPr>
              <w:spacing w:after="20"/>
              <w:jc w:val="right"/>
            </w:pPr>
            <w:r>
              <w:rPr>
                <w:color w:val="1C3A36"/>
                <w:sz w:val="14"/>
              </w:rPr>
              <w:t>385</w:t>
            </w:r>
          </w:p>
        </w:tc>
        <w:tc>
          <w:tcPr>
            <w:tcW w:type="dxa" w:w="5616"/>
          </w:tcPr>
          <w:p>
            <w:pPr>
              <w:spacing w:after="20"/>
              <w:jc w:val="right"/>
            </w:pPr>
            <w:r>
              <w:rPr>
                <w:color w:val="1C3A36"/>
                <w:sz w:val="14"/>
              </w:rPr>
              <w:t>AIM H2-2026E revenue: H1 actual 361 with contracted occupancy 96% and GLA additions</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aim_margin</w:t>
            </w:r>
          </w:p>
        </w:tc>
        <w:tc>
          <w:tcPr>
            <w:tcW w:type="dxa" w:w="1656"/>
          </w:tcPr>
          <w:p>
            <w:pPr>
              <w:spacing w:after="20"/>
              <w:jc w:val="right"/>
            </w:pPr>
            <w:r>
              <w:rPr>
                <w:color w:val="1C3A36"/>
                <w:sz w:val="14"/>
              </w:rPr>
              <w:t>0.68 · 0.66 · 0.65 · 0.64 · 0.64</w:t>
            </w:r>
          </w:p>
        </w:tc>
        <w:tc>
          <w:tcPr>
            <w:tcW w:type="dxa" w:w="5616"/>
          </w:tcPr>
          <w:p>
            <w:pPr>
              <w:spacing w:after="20"/>
              <w:jc w:val="right"/>
            </w:pPr>
            <w:r>
              <w:rPr>
                <w:color w:val="1C3A36"/>
                <w:sz w:val="14"/>
              </w:rPr>
              <w:t>AIM gross margin: FY2025 64.3%, H1-2026 actual 71.6%; held near the blend</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hosp_growth</w:t>
            </w:r>
          </w:p>
        </w:tc>
        <w:tc>
          <w:tcPr>
            <w:tcW w:type="dxa" w:w="1656"/>
          </w:tcPr>
          <w:p>
            <w:pPr>
              <w:spacing w:after="20"/>
              <w:jc w:val="right"/>
            </w:pPr>
            <w:r>
              <w:rPr>
                <w:color w:val="1C3A36"/>
                <w:sz w:val="14"/>
              </w:rPr>
              <w:t>None · 0.07 · 0.07 · 0.06 · 0.06</w:t>
            </w:r>
          </w:p>
        </w:tc>
        <w:tc>
          <w:tcPr>
            <w:tcW w:type="dxa" w:w="5616"/>
          </w:tcPr>
          <w:p>
            <w:pPr>
              <w:spacing w:after="20"/>
              <w:jc w:val="right"/>
            </w:pPr>
            <w:r>
              <w:rPr>
                <w:color w:val="1C3A36"/>
                <w:sz w:val="14"/>
              </w:rPr>
              <w:t>Hospitality growth off FY2026E; H2 set directly</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hosp_h2</w:t>
            </w:r>
          </w:p>
        </w:tc>
        <w:tc>
          <w:tcPr>
            <w:tcW w:type="dxa" w:w="1656"/>
          </w:tcPr>
          <w:p>
            <w:pPr>
              <w:spacing w:after="20"/>
              <w:jc w:val="right"/>
            </w:pPr>
            <w:r>
              <w:rPr>
                <w:color w:val="1C3A36"/>
                <w:sz w:val="14"/>
              </w:rPr>
              <w:t>452</w:t>
            </w:r>
          </w:p>
        </w:tc>
        <w:tc>
          <w:tcPr>
            <w:tcW w:type="dxa" w:w="5616"/>
          </w:tcPr>
          <w:p>
            <w:pPr>
              <w:spacing w:after="20"/>
              <w:jc w:val="right"/>
            </w:pPr>
            <w:r>
              <w:rPr>
                <w:color w:val="1C3A36"/>
                <w:sz w:val="14"/>
              </w:rPr>
              <w:t>Hospitality H2-2026E: H1 actual 388 plus the winter-season weighting (H2-2025 was 52% of the year)</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hosp_margin</w:t>
            </w:r>
          </w:p>
        </w:tc>
        <w:tc>
          <w:tcPr>
            <w:tcW w:type="dxa" w:w="1656"/>
          </w:tcPr>
          <w:p>
            <w:pPr>
              <w:spacing w:after="20"/>
              <w:jc w:val="right"/>
            </w:pPr>
            <w:r>
              <w:rPr>
                <w:color w:val="1C3A36"/>
                <w:sz w:val="14"/>
              </w:rPr>
              <w:t>0.29 · 0.28 · 0.29 · 0.3 · 0.3</w:t>
            </w:r>
          </w:p>
        </w:tc>
        <w:tc>
          <w:tcPr>
            <w:tcW w:type="dxa" w:w="5616"/>
          </w:tcPr>
          <w:p>
            <w:pPr>
              <w:spacing w:after="20"/>
              <w:jc w:val="right"/>
            </w:pPr>
            <w:r>
              <w:rPr>
                <w:color w:val="1C3A36"/>
                <w:sz w:val="14"/>
              </w:rPr>
              <w:t>Hospitality gross margin: H1-2026 actual 27.2%, recovering to 30%</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ect_growth</w:t>
            </w:r>
          </w:p>
        </w:tc>
        <w:tc>
          <w:tcPr>
            <w:tcW w:type="dxa" w:w="1656"/>
          </w:tcPr>
          <w:p>
            <w:pPr>
              <w:spacing w:after="20"/>
              <w:jc w:val="right"/>
            </w:pPr>
            <w:r>
              <w:rPr>
                <w:color w:val="1C3A36"/>
                <w:sz w:val="14"/>
              </w:rPr>
              <w:t>None · 0.045 · 0.043 · 0.041 · 0.039</w:t>
            </w:r>
          </w:p>
        </w:tc>
        <w:tc>
          <w:tcPr>
            <w:tcW w:type="dxa" w:w="5616"/>
          </w:tcPr>
          <w:p>
            <w:pPr>
              <w:spacing w:after="20"/>
              <w:jc w:val="right"/>
            </w:pPr>
            <w:r>
              <w:rPr>
                <w:color w:val="1C3A36"/>
                <w:sz w:val="14"/>
              </w:rPr>
              <w:t>ECT growth off FY2026E; H2 set directly</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ect_h2</w:t>
            </w:r>
          </w:p>
        </w:tc>
        <w:tc>
          <w:tcPr>
            <w:tcW w:type="dxa" w:w="1656"/>
          </w:tcPr>
          <w:p>
            <w:pPr>
              <w:spacing w:after="20"/>
              <w:jc w:val="right"/>
            </w:pPr>
            <w:r>
              <w:rPr>
                <w:color w:val="1C3A36"/>
                <w:sz w:val="14"/>
              </w:rPr>
              <w:t>3,000</w:t>
            </w:r>
          </w:p>
        </w:tc>
        <w:tc>
          <w:tcPr>
            <w:tcW w:type="dxa" w:w="5616"/>
          </w:tcPr>
          <w:p>
            <w:pPr>
              <w:spacing w:after="20"/>
              <w:jc w:val="right"/>
            </w:pPr>
            <w:r>
              <w:rPr>
                <w:color w:val="1C3A36"/>
                <w:sz w:val="14"/>
              </w:rPr>
              <w:t>ECT H2-2026E: H1 actual 2,775 plus the H2-weighted events season (ADNEC calendar; Arena full-period)</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ect_margin</w:t>
            </w:r>
          </w:p>
        </w:tc>
        <w:tc>
          <w:tcPr>
            <w:tcW w:type="dxa" w:w="1656"/>
          </w:tcPr>
          <w:p>
            <w:pPr>
              <w:spacing w:after="20"/>
              <w:jc w:val="right"/>
            </w:pPr>
            <w:r>
              <w:rPr>
                <w:color w:val="1C3A36"/>
                <w:sz w:val="14"/>
              </w:rPr>
              <w:t>0.29 · 0.27 · 0.275 · 0.28 · 0.28</w:t>
            </w:r>
          </w:p>
        </w:tc>
        <w:tc>
          <w:tcPr>
            <w:tcW w:type="dxa" w:w="5616"/>
          </w:tcPr>
          <w:p>
            <w:pPr>
              <w:spacing w:after="20"/>
              <w:jc w:val="right"/>
            </w:pPr>
            <w:r>
              <w:rPr>
                <w:color w:val="1C3A36"/>
                <w:sz w:val="14"/>
              </w:rPr>
              <w:t>ECT gross margin: H1-2026 actual 19.9% (temporary-infrastructure mix), recovering toward the FY2025 26.5% as the events season carries H2</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oth_rev_f</w:t>
            </w:r>
          </w:p>
        </w:tc>
        <w:tc>
          <w:tcPr>
            <w:tcW w:type="dxa" w:w="1656"/>
          </w:tcPr>
          <w:p>
            <w:pPr>
              <w:spacing w:after="20"/>
              <w:jc w:val="right"/>
            </w:pPr>
            <w:r>
              <w:rPr>
                <w:color w:val="1C3A36"/>
                <w:sz w:val="14"/>
              </w:rPr>
              <w:t>-30</w:t>
            </w:r>
          </w:p>
        </w:tc>
        <w:tc>
          <w:tcPr>
            <w:tcW w:type="dxa" w:w="5616"/>
          </w:tcPr>
          <w:p>
            <w:pPr>
              <w:spacing w:after="20"/>
              <w:jc w:val="right"/>
            </w:pPr>
            <w:r>
              <w:rPr>
                <w:color w:val="1C3A36"/>
                <w:sz w:val="14"/>
              </w:rPr>
              <w:t>Others / eliminations, full-year rate</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oth_gp_f</w:t>
            </w:r>
          </w:p>
        </w:tc>
        <w:tc>
          <w:tcPr>
            <w:tcW w:type="dxa" w:w="1656"/>
          </w:tcPr>
          <w:p>
            <w:pPr>
              <w:spacing w:after="20"/>
              <w:jc w:val="right"/>
            </w:pPr>
            <w:r>
              <w:rPr>
                <w:color w:val="1C3A36"/>
                <w:sz w:val="14"/>
              </w:rPr>
              <w:t>-120</w:t>
            </w:r>
          </w:p>
        </w:tc>
        <w:tc>
          <w:tcPr>
            <w:tcW w:type="dxa" w:w="5616"/>
          </w:tcPr>
          <w:p>
            <w:pPr>
              <w:spacing w:after="20"/>
              <w:jc w:val="right"/>
            </w:pPr>
            <w:r>
              <w:rPr>
                <w:color w:val="1C3A36"/>
                <w:sz w:val="14"/>
              </w:rPr>
              <w:t>Others gross loss, full-year rate (H1-2026 actual -57.5)</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ga_pct</w:t>
            </w:r>
          </w:p>
        </w:tc>
        <w:tc>
          <w:tcPr>
            <w:tcW w:type="dxa" w:w="1656"/>
          </w:tcPr>
          <w:p>
            <w:pPr>
              <w:spacing w:after="20"/>
              <w:jc w:val="right"/>
            </w:pPr>
            <w:r>
              <w:rPr>
                <w:color w:val="1C3A36"/>
                <w:sz w:val="14"/>
              </w:rPr>
              <w:t>0.083 · 0.088 · 0.087 · 0.086 · 0.085</w:t>
            </w:r>
          </w:p>
        </w:tc>
        <w:tc>
          <w:tcPr>
            <w:tcW w:type="dxa" w:w="5616"/>
          </w:tcPr>
          <w:p>
            <w:pPr>
              <w:spacing w:after="20"/>
              <w:jc w:val="right"/>
            </w:pPr>
            <w:r>
              <w:rPr>
                <w:color w:val="1C3A36"/>
                <w:sz w:val="14"/>
              </w:rPr>
              <w:t>G&amp;A / revenue. Anchors stated: FY2025 11.19%; H1-2026 headline 7.46% flattered by a -77.9 ECL reversal — ex-reversal 8.30%. The path glides 8.3% -&gt; 8.5-8.8%, i.e. BELOW FY2025 on realised operating leverage but ABOVE the flattered H1 print. The first edition's conservatism claim is withdrawn: this is a generous assumption relative to FY2025 and is now labelled as such</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sm_pct</w:t>
            </w:r>
          </w:p>
        </w:tc>
        <w:tc>
          <w:tcPr>
            <w:tcW w:type="dxa" w:w="1656"/>
          </w:tcPr>
          <w:p>
            <w:pPr>
              <w:spacing w:after="20"/>
              <w:jc w:val="right"/>
            </w:pPr>
            <w:r>
              <w:rPr>
                <w:color w:val="1C3A36"/>
                <w:sz w:val="14"/>
              </w:rPr>
              <w:t>0.017 · 0.018 · 0.017 · 0.017 · 0.016</w:t>
            </w:r>
          </w:p>
        </w:tc>
        <w:tc>
          <w:tcPr>
            <w:tcW w:type="dxa" w:w="5616"/>
          </w:tcPr>
          <w:p>
            <w:pPr>
              <w:spacing w:after="20"/>
              <w:jc w:val="right"/>
            </w:pPr>
            <w:r>
              <w:rPr>
                <w:color w:val="1C3A36"/>
                <w:sz w:val="14"/>
              </w:rPr>
              <w:t>S&amp;M / revenue: FY2025 1.93%, H1-2026 1.64%</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invinc_f</w:t>
            </w:r>
          </w:p>
        </w:tc>
        <w:tc>
          <w:tcPr>
            <w:tcW w:type="dxa" w:w="1656"/>
          </w:tcPr>
          <w:p>
            <w:pPr>
              <w:spacing w:after="20"/>
              <w:jc w:val="right"/>
            </w:pPr>
            <w:r>
              <w:rPr>
                <w:color w:val="1C3A36"/>
                <w:sz w:val="14"/>
              </w:rPr>
              <w:t>80 · 165 · 170 · 175 · 180</w:t>
            </w:r>
          </w:p>
        </w:tc>
        <w:tc>
          <w:tcPr>
            <w:tcW w:type="dxa" w:w="5616"/>
          </w:tcPr>
          <w:p>
            <w:pPr>
              <w:spacing w:after="20"/>
              <w:jc w:val="right"/>
            </w:pPr>
            <w:r>
              <w:rPr>
                <w:color w:val="1C3A36"/>
                <w:sz w:val="14"/>
              </w:rPr>
              <w:t>Investment and other income, recurring component (H1-2026 actual 71 incl. one-offs)</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assoc_f_path</w:t>
            </w:r>
          </w:p>
        </w:tc>
        <w:tc>
          <w:tcPr>
            <w:tcW w:type="dxa" w:w="1656"/>
          </w:tcPr>
          <w:p>
            <w:pPr>
              <w:spacing w:after="20"/>
              <w:jc w:val="right"/>
            </w:pPr>
            <w:r>
              <w:rPr>
                <w:color w:val="1C3A36"/>
                <w:sz w:val="14"/>
              </w:rPr>
              <w:t>95 · 210 · 227 · 245 · 264</w:t>
            </w:r>
          </w:p>
        </w:tc>
        <w:tc>
          <w:tcPr>
            <w:tcW w:type="dxa" w:w="5616"/>
          </w:tcPr>
          <w:p>
            <w:pPr>
              <w:spacing w:after="20"/>
              <w:jc w:val="right"/>
            </w:pPr>
            <w:r>
              <w:rPr>
                <w:color w:val="1C3A36"/>
                <w:sz w:val="14"/>
              </w:rPr>
              <w:t>Associate/JV income: H1-2026 actual 88.3 post the Q2 JV disposal; ~8%/yr thereafter</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dna_rate</w:t>
            </w:r>
          </w:p>
        </w:tc>
        <w:tc>
          <w:tcPr>
            <w:tcW w:type="dxa" w:w="1656"/>
          </w:tcPr>
          <w:p>
            <w:pPr>
              <w:spacing w:after="20"/>
              <w:jc w:val="right"/>
            </w:pPr>
            <w:r>
              <w:rPr>
                <w:color w:val="1C3A36"/>
                <w:sz w:val="14"/>
              </w:rPr>
              <w:t>0.034</w:t>
            </w:r>
          </w:p>
        </w:tc>
        <w:tc>
          <w:tcPr>
            <w:tcW w:type="dxa" w:w="5616"/>
          </w:tcPr>
          <w:p>
            <w:pPr>
              <w:spacing w:after="20"/>
              <w:jc w:val="right"/>
            </w:pPr>
            <w:r>
              <w:rPr>
                <w:color w:val="1C3A36"/>
                <w:sz w:val="14"/>
              </w:rPr>
              <w:t>Depreciation &amp; amortisation as a rate on the AVERAGE depreciable asset base (PP&amp;E + investment properties + right-of-use + intangibles): FY2025 charge 610.5 on an average base of ~17,940 = 3.4%. Respecified off the asset base at revision 2 — the first edition drove D&amp;A off revenue, a mis-specified driver both external audits flagged</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capex_f</w:t>
            </w:r>
          </w:p>
        </w:tc>
        <w:tc>
          <w:tcPr>
            <w:tcW w:type="dxa" w:w="1656"/>
          </w:tcPr>
          <w:p>
            <w:pPr>
              <w:spacing w:after="20"/>
              <w:jc w:val="right"/>
            </w:pPr>
            <w:r>
              <w:rPr>
                <w:color w:val="1C3A36"/>
                <w:sz w:val="14"/>
              </w:rPr>
              <w:t>700 · 1,500 · 1,550 · 1,600 · 1,650</w:t>
            </w:r>
          </w:p>
        </w:tc>
        <w:tc>
          <w:tcPr>
            <w:tcW w:type="dxa" w:w="5616"/>
          </w:tcPr>
          <w:p>
            <w:pPr>
              <w:spacing w:after="20"/>
              <w:jc w:val="right"/>
            </w:pPr>
            <w:r>
              <w:rPr>
                <w:color w:val="1C3A36"/>
                <w:sz w:val="14"/>
              </w:rPr>
              <w:t>Capital expenditure (H2 stub then annual): H1-2026 actual 312.5 (PP&amp;E 206.9 + intangibles 63.5 + IP 42.0); rising with Olympia and venue pipeline</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tax_f</w:t>
            </w:r>
          </w:p>
        </w:tc>
        <w:tc>
          <w:tcPr>
            <w:tcW w:type="dxa" w:w="1656"/>
          </w:tcPr>
          <w:p>
            <w:pPr>
              <w:spacing w:after="20"/>
              <w:jc w:val="right"/>
            </w:pPr>
            <w:r>
              <w:rPr>
                <w:color w:val="1C3A36"/>
                <w:sz w:val="14"/>
              </w:rPr>
              <w:t>0.155</w:t>
            </w:r>
          </w:p>
        </w:tc>
        <w:tc>
          <w:tcPr>
            <w:tcW w:type="dxa" w:w="5616"/>
          </w:tcPr>
          <w:p>
            <w:pPr>
              <w:spacing w:after="20"/>
              <w:jc w:val="right"/>
            </w:pPr>
            <w:r>
              <w:rPr>
                <w:color w:val="1C3A36"/>
                <w:sz w:val="14"/>
              </w:rPr>
              <w:t>Effective tax: DMTT 15% floor + foreign uplift; H1-2026 actual 15.4%</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nci_pct</w:t>
            </w:r>
          </w:p>
        </w:tc>
        <w:tc>
          <w:tcPr>
            <w:tcW w:type="dxa" w:w="1656"/>
          </w:tcPr>
          <w:p>
            <w:pPr>
              <w:spacing w:after="20"/>
              <w:jc w:val="right"/>
            </w:pPr>
            <w:r>
              <w:rPr>
                <w:color w:val="1C3A36"/>
                <w:sz w:val="14"/>
              </w:rPr>
              <w:t>0.02</w:t>
            </w:r>
          </w:p>
        </w:tc>
        <w:tc>
          <w:tcPr>
            <w:tcW w:type="dxa" w:w="5616"/>
          </w:tcPr>
          <w:p>
            <w:pPr>
              <w:spacing w:after="20"/>
              <w:jc w:val="right"/>
            </w:pPr>
            <w:r>
              <w:rPr>
                <w:color w:val="1C3A36"/>
                <w:sz w:val="14"/>
              </w:rPr>
              <w:t>NCI share of profit: H1-2026 actual 1.8%</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dso_path</w:t>
            </w:r>
          </w:p>
        </w:tc>
        <w:tc>
          <w:tcPr>
            <w:tcW w:type="dxa" w:w="1656"/>
          </w:tcPr>
          <w:p>
            <w:pPr>
              <w:spacing w:after="20"/>
              <w:jc w:val="right"/>
            </w:pPr>
            <w:r>
              <w:rPr>
                <w:color w:val="1C3A36"/>
                <w:sz w:val="14"/>
              </w:rPr>
              <w:t>440 · 430 · 410 · 390 · 370</w:t>
            </w:r>
          </w:p>
        </w:tc>
        <w:tc>
          <w:tcPr>
            <w:tcW w:type="dxa" w:w="5616"/>
          </w:tcPr>
          <w:p>
            <w:pPr>
              <w:spacing w:after="20"/>
              <w:jc w:val="right"/>
            </w:pPr>
            <w:r>
              <w:rPr>
                <w:color w:val="1C3A36"/>
                <w:sz w:val="14"/>
              </w:rPr>
              <w:t>Receivable days (trade + contract + related-party receivables over revenue): FY2025 439 days, 30-Jun-2026 440 days — held flat through 2026 then declining as Department-of-Finance balances collect. THE collection caveat in one driver</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inv_addition</w:t>
            </w:r>
          </w:p>
        </w:tc>
        <w:tc>
          <w:tcPr>
            <w:tcW w:type="dxa" w:w="1656"/>
          </w:tcPr>
          <w:p>
            <w:pPr>
              <w:spacing w:after="20"/>
              <w:jc w:val="right"/>
            </w:pPr>
            <w:r>
              <w:rPr>
                <w:color w:val="1C3A36"/>
                <w:sz w:val="14"/>
              </w:rPr>
              <w:t>0.1</w:t>
            </w:r>
          </w:p>
        </w:tc>
        <w:tc>
          <w:tcPr>
            <w:tcW w:type="dxa" w:w="5616"/>
          </w:tcPr>
          <w:p>
            <w:pPr>
              <w:spacing w:after="20"/>
              <w:jc w:val="right"/>
            </w:pPr>
            <w:r>
              <w:rPr>
                <w:color w:val="1C3A36"/>
                <w:sz w:val="14"/>
              </w:rPr>
              <w:t>New-project WIP added per dirham of new development sales (mobilisation, infrastructure)</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inv_consumption</w:t>
            </w:r>
          </w:p>
        </w:tc>
        <w:tc>
          <w:tcPr>
            <w:tcW w:type="dxa" w:w="1656"/>
          </w:tcPr>
          <w:p>
            <w:pPr>
              <w:spacing w:after="20"/>
              <w:jc w:val="right"/>
            </w:pPr>
            <w:r>
              <w:rPr>
                <w:color w:val="1C3A36"/>
                <w:sz w:val="14"/>
              </w:rPr>
              <w:t>0.2</w:t>
            </w:r>
          </w:p>
        </w:tc>
        <w:tc>
          <w:tcPr>
            <w:tcW w:type="dxa" w:w="5616"/>
          </w:tcPr>
          <w:p>
            <w:pPr>
              <w:spacing w:after="20"/>
              <w:jc w:val="right"/>
            </w:pPr>
            <w:r>
              <w:rPr>
                <w:color w:val="1C3A36"/>
                <w:sz w:val="14"/>
              </w:rPr>
              <w:t>Share of RED direct costs drawn from the existing land bank / WIP (land content of cost of sales)</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pay_cover</w:t>
            </w:r>
          </w:p>
        </w:tc>
        <w:tc>
          <w:tcPr>
            <w:tcW w:type="dxa" w:w="1656"/>
          </w:tcPr>
          <w:p>
            <w:pPr>
              <w:spacing w:after="20"/>
              <w:jc w:val="right"/>
            </w:pPr>
            <w:r>
              <w:rPr>
                <w:color w:val="1C3A36"/>
                <w:sz w:val="14"/>
              </w:rPr>
              <w:t>1.86 · 1.7 · 1.55 · 1.45 · 1.4</w:t>
            </w:r>
          </w:p>
        </w:tc>
        <w:tc>
          <w:tcPr>
            <w:tcW w:type="dxa" w:w="5616"/>
          </w:tcPr>
          <w:p>
            <w:pPr>
              <w:spacing w:after="20"/>
              <w:jc w:val="right"/>
            </w:pPr>
            <w:r>
              <w:rPr>
                <w:color w:val="1C3A36"/>
                <w:sz w:val="14"/>
              </w:rPr>
              <w:t>Trade payables + customer advances + related-party payables as a multiple of annual direct costs: FY2025 2.62x (advance-heavy), 30-Jun-2026 1.86x; declining as handovers recognise advances. This is the presale-funding mechanism: customers, not the balance sheet, fund construction</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beta_retired_regressors</w:t>
            </w:r>
          </w:p>
        </w:tc>
        <w:tc>
          <w:tcPr>
            <w:tcW w:type="dxa" w:w="1656"/>
          </w:tcPr>
          <w:p>
            <w:pPr>
              <w:spacing w:after="20"/>
              <w:jc w:val="right"/>
            </w:pPr>
            <w:r>
              <w:rPr>
                <w:color w:val="1C3A36"/>
                <w:sz w:val="14"/>
              </w:rPr>
              <w:t>rev2_proxy_composite: 1.03; rev3_naive_on_official: 1.278</w:t>
            </w:r>
          </w:p>
        </w:tc>
        <w:tc>
          <w:tcPr>
            <w:tcW w:type="dxa" w:w="5616"/>
          </w:tcPr>
          <w:p>
            <w:pPr>
              <w:spacing w:after="20"/>
              <w:jc w:val="right"/>
            </w:pPr>
            <w:r>
              <w:rPr>
                <w:color w:val="1C3A36"/>
                <w:sz w:val="14"/>
              </w:rPr>
              <w:t>Retired regressors, kept so the swap can be priced: the revision-2 equal-weight composite of the house UAE library, and the intermediate study-local naive regression on the official series</w:t>
            </w:r>
          </w:p>
        </w:tc>
        <w:tc>
          <w:tcPr>
            <w:tcW w:type="dxa" w:w="1080"/>
          </w:tcPr>
          <w:p>
            <w:pPr>
              <w:spacing w:after="20"/>
              <w:jc w:val="right"/>
            </w:pPr>
            <w:r>
              <w:rPr>
                <w:color w:val="1C3A36"/>
                <w:sz w:val="14"/>
              </w:rPr>
              <w:t>2026-08-10</w:t>
            </w:r>
          </w:p>
        </w:tc>
      </w:tr>
      <w:tr>
        <w:tc>
          <w:tcPr>
            <w:tcW w:type="dxa" w:w="1800"/>
          </w:tcPr>
          <w:p>
            <w:pPr>
              <w:spacing w:after="20"/>
            </w:pPr>
            <w:r>
              <w:rPr>
                <w:color w:val="1C3A36"/>
                <w:sz w:val="14"/>
              </w:rPr>
              <w:t>beta_rev2_published</w:t>
            </w:r>
          </w:p>
        </w:tc>
        <w:tc>
          <w:tcPr>
            <w:tcW w:type="dxa" w:w="1656"/>
          </w:tcPr>
          <w:p>
            <w:pPr>
              <w:spacing w:after="20"/>
              <w:jc w:val="right"/>
            </w:pPr>
            <w:r>
              <w:rPr>
                <w:color w:val="1C3A36"/>
                <w:sz w:val="14"/>
              </w:rPr>
              <w:t>1.03</w:t>
            </w:r>
          </w:p>
        </w:tc>
        <w:tc>
          <w:tcPr>
            <w:tcW w:type="dxa" w:w="5616"/>
          </w:tcPr>
          <w:p>
            <w:pPr>
              <w:spacing w:after="20"/>
              <w:jc w:val="right"/>
            </w:pPr>
            <w:r>
              <w:rPr>
                <w:color w:val="1C3A36"/>
                <w:sz w:val="14"/>
              </w:rPr>
              <w:t>The beta PUBLISHED at revision 2 (proxy composite). Registered so the correction can be stated against what readers actually saw</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g_term_real</w:t>
            </w:r>
          </w:p>
        </w:tc>
        <w:tc>
          <w:tcPr>
            <w:tcW w:type="dxa" w:w="1656"/>
          </w:tcPr>
          <w:p>
            <w:pPr>
              <w:spacing w:after="20"/>
              <w:jc w:val="right"/>
            </w:pPr>
            <w:r>
              <w:rPr>
                <w:color w:val="1C3A36"/>
                <w:sz w:val="14"/>
              </w:rPr>
              <w:t>0</w:t>
            </w:r>
          </w:p>
        </w:tc>
        <w:tc>
          <w:tcPr>
            <w:tcW w:type="dxa" w:w="5616"/>
          </w:tcPr>
          <w:p>
            <w:pPr>
              <w:spacing w:after="20"/>
              <w:jc w:val="right"/>
            </w:pPr>
            <w:r>
              <w:rPr>
                <w:color w:val="1C3A36"/>
                <w:sz w:val="14"/>
              </w:rPr>
              <w:t>Terminal REAL growth of ZERO: the business is assumed to hold its scale in real terms in perpetuity, and the nominal rate is computed from the long-run inflation this valuation uses throughout. The previous edition typed 2.50% nominal and its entire justification was the words 'Terminal growth 2.5%' — against a 2.0% long-run rate that is real growth of half a point a year, for ever, which nothing in the study argued for. A growth rate quoted only in nominal terms cannot be checked: nobody reading 2.5% can tell whether it means inflation plus half a point or inflation minus one.</w:t>
            </w:r>
          </w:p>
        </w:tc>
        <w:tc>
          <w:tcPr>
            <w:tcW w:type="dxa" w:w="1080"/>
          </w:tcPr>
          <w:p>
            <w:pPr>
              <w:spacing w:after="20"/>
              <w:jc w:val="right"/>
            </w:pPr>
            <w:r>
              <w:rPr>
                <w:color w:val="1C3A36"/>
                <w:sz w:val="14"/>
              </w:rPr>
              <w:t>2026-09-04</w:t>
            </w:r>
          </w:p>
        </w:tc>
      </w:tr>
      <w:tr>
        <w:tc>
          <w:tcPr>
            <w:tcW w:type="dxa" w:w="1800"/>
          </w:tcPr>
          <w:p>
            <w:pPr>
              <w:spacing w:after="20"/>
            </w:pPr>
            <w:r>
              <w:rPr>
                <w:color w:val="1C3A36"/>
                <w:sz w:val="14"/>
              </w:rPr>
              <w:t>roic_term</w:t>
            </w:r>
          </w:p>
        </w:tc>
        <w:tc>
          <w:tcPr>
            <w:tcW w:type="dxa" w:w="1656"/>
          </w:tcPr>
          <w:p>
            <w:pPr>
              <w:spacing w:after="20"/>
              <w:jc w:val="right"/>
            </w:pPr>
            <w:r>
              <w:rPr>
                <w:color w:val="1C3A36"/>
                <w:sz w:val="14"/>
              </w:rPr>
              <w:t>0.085</w:t>
            </w:r>
          </w:p>
        </w:tc>
        <w:tc>
          <w:tcPr>
            <w:tcW w:type="dxa" w:w="5616"/>
          </w:tcPr>
          <w:p>
            <w:pPr>
              <w:spacing w:after="20"/>
              <w:jc w:val="right"/>
            </w:pPr>
            <w:r>
              <w:rPr>
                <w:color w:val="1C3A36"/>
                <w:sz w:val="14"/>
              </w:rPr>
              <w:t>Terminal ROIC 8.5% — deliberately BELOW the model's own forecast path (which reaches ~15% by FY2030E as invested capital shrinks while NOPAT grows): a mean-reversion margin of safety on the block that carries ~70% of EV, and above the FY2025 clean achieved 6.1% because the at-cost land bank converts. Both anchors stated; the step-down is a choice, priced in sensitivity</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debt_path</w:t>
            </w:r>
          </w:p>
        </w:tc>
        <w:tc>
          <w:tcPr>
            <w:tcW w:type="dxa" w:w="1656"/>
          </w:tcPr>
          <w:p>
            <w:pPr>
              <w:spacing w:after="20"/>
              <w:jc w:val="right"/>
            </w:pPr>
            <w:r>
              <w:rPr>
                <w:color w:val="1C3A36"/>
                <w:sz w:val="14"/>
              </w:rPr>
              <w:t>10,300 · 10,500 · 9,700 · 8,800 · 7,900</w:t>
            </w:r>
          </w:p>
        </w:tc>
        <w:tc>
          <w:tcPr>
            <w:tcW w:type="dxa" w:w="5616"/>
          </w:tcPr>
          <w:p>
            <w:pPr>
              <w:spacing w:after="20"/>
              <w:jc w:val="right"/>
            </w:pPr>
            <w:r>
              <w:rPr>
                <w:color w:val="1C3A36"/>
                <w:sz w:val="14"/>
              </w:rPr>
              <w:t>Gross debt path incl. related-party loan from the 30-Jun-2026 actual 9,542: construction peak then amortising</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wd_term_derived</w:t>
            </w:r>
          </w:p>
        </w:tc>
        <w:tc>
          <w:tcPr>
            <w:tcW w:type="dxa" w:w="1656"/>
          </w:tcPr>
          <w:p>
            <w:pPr>
              <w:spacing w:after="20"/>
              <w:jc w:val="right"/>
            </w:pPr>
            <w:r>
              <w:rPr>
                <w:color w:val="1C3A36"/>
                <w:sz w:val="14"/>
              </w:rPr>
              <w:t>0.0802</w:t>
            </w:r>
          </w:p>
        </w:tc>
        <w:tc>
          <w:tcPr>
            <w:tcW w:type="dxa" w:w="5616"/>
          </w:tcPr>
          <w:p>
            <w:pPr>
              <w:spacing w:after="20"/>
              <w:jc w:val="right"/>
            </w:pPr>
            <w:r>
              <w:rPr>
                <w:color w:val="1C3A36"/>
                <w:sz w:val="14"/>
              </w:rPr>
              <w:t>Terminal debt weight DERIVED from the model's own FY2030E balance sheet: gross debt / (gross debt + book equity). Assumed-15% retired at revision 2</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anchor_days</w:t>
            </w:r>
          </w:p>
        </w:tc>
        <w:tc>
          <w:tcPr>
            <w:tcW w:type="dxa" w:w="1656"/>
          </w:tcPr>
          <w:p>
            <w:pPr>
              <w:spacing w:after="20"/>
              <w:jc w:val="right"/>
            </w:pPr>
            <w:r>
              <w:rPr>
                <w:color w:val="1C3A36"/>
                <w:sz w:val="14"/>
              </w:rPr>
              <w:t>38</w:t>
            </w:r>
          </w:p>
        </w:tc>
        <w:tc>
          <w:tcPr>
            <w:tcW w:type="dxa" w:w="5616"/>
          </w:tcPr>
          <w:p>
            <w:pPr>
              <w:spacing w:after="20"/>
              <w:jc w:val="right"/>
            </w:pPr>
            <w:r>
              <w:rPr>
                <w:color w:val="1C3A36"/>
                <w:sz w:val="14"/>
              </w:rPr>
              <w:t>Days from the 30-Jun-2026 valuation date (reviewed balance sheet) to the 7-Aug-2026 price anchor — the first edition's 219-day accretion from 31-Dec-2025 is retired with the restrike</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new_sales_runoff</w:t>
            </w:r>
          </w:p>
        </w:tc>
        <w:tc>
          <w:tcPr>
            <w:tcW w:type="dxa" w:w="1656"/>
          </w:tcPr>
          <w:p>
            <w:pPr>
              <w:spacing w:after="20"/>
              <w:jc w:val="right"/>
            </w:pPr>
            <w:r>
              <w:rPr>
                <w:color w:val="1C3A36"/>
                <w:sz w:val="14"/>
              </w:rPr>
              <w:t>8,000 · 15,000 · 11,000 · 9,000 · 8,000</w:t>
            </w:r>
          </w:p>
        </w:tc>
        <w:tc>
          <w:tcPr>
            <w:tcW w:type="dxa" w:w="5616"/>
          </w:tcPr>
          <w:p>
            <w:pPr>
              <w:spacing w:after="20"/>
              <w:jc w:val="right"/>
            </w:pPr>
            <w:r>
              <w:rPr>
                <w:color w:val="1C3A36"/>
                <w:sz w:val="14"/>
              </w:rPr>
              <w:t>RUN-OFF path, post-H1: launches halve from the realised pace and fade — now a stress reading, not a live alternative: the H1-2026 disclosure (26bn in six months) falsified the first edition's run-off premise as a central scenario</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red_margin_runoff</w:t>
            </w:r>
          </w:p>
        </w:tc>
        <w:tc>
          <w:tcPr>
            <w:tcW w:type="dxa" w:w="1656"/>
          </w:tcPr>
          <w:p>
            <w:pPr>
              <w:spacing w:after="20"/>
              <w:jc w:val="right"/>
            </w:pPr>
            <w:r>
              <w:rPr>
                <w:color w:val="1C3A36"/>
                <w:sz w:val="14"/>
              </w:rPr>
              <w:t>0.4 · 0.385 · 0.37 · 0.36 · 0.35</w:t>
            </w:r>
          </w:p>
        </w:tc>
        <w:tc>
          <w:tcPr>
            <w:tcW w:type="dxa" w:w="5616"/>
          </w:tcPr>
          <w:p>
            <w:pPr>
              <w:spacing w:after="20"/>
              <w:jc w:val="right"/>
            </w:pPr>
            <w:r>
              <w:rPr>
                <w:color w:val="1C3A36"/>
                <w:sz w:val="14"/>
              </w:rPr>
              <w:t>Run-off margins</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new_sales_bull</w:t>
            </w:r>
          </w:p>
        </w:tc>
        <w:tc>
          <w:tcPr>
            <w:tcW w:type="dxa" w:w="1656"/>
          </w:tcPr>
          <w:p>
            <w:pPr>
              <w:spacing w:after="20"/>
              <w:jc w:val="right"/>
            </w:pPr>
            <w:r>
              <w:rPr>
                <w:color w:val="1C3A36"/>
                <w:sz w:val="14"/>
              </w:rPr>
              <w:t>15,000 · 34,000 · 34,000 · 34,000 · 34,000</w:t>
            </w:r>
          </w:p>
        </w:tc>
        <w:tc>
          <w:tcPr>
            <w:tcW w:type="dxa" w:w="5616"/>
          </w:tcPr>
          <w:p>
            <w:pPr>
              <w:spacing w:after="20"/>
              <w:jc w:val="right"/>
            </w:pPr>
            <w:r>
              <w:rPr>
                <w:color w:val="1C3A36"/>
                <w:sz w:val="14"/>
              </w:rPr>
              <w:t>GROWTH-HOLD path: sales hold near the realised H1-2026 annualised pace less the launch effect</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red_margin_bull</w:t>
            </w:r>
          </w:p>
        </w:tc>
        <w:tc>
          <w:tcPr>
            <w:tcW w:type="dxa" w:w="1656"/>
          </w:tcPr>
          <w:p>
            <w:pPr>
              <w:spacing w:after="20"/>
              <w:jc w:val="right"/>
            </w:pPr>
            <w:r>
              <w:rPr>
                <w:color w:val="1C3A36"/>
                <w:sz w:val="14"/>
              </w:rPr>
              <w:t>0.42 · 0.42 · 0.41 · 0.41 · 0.4</w:t>
            </w:r>
          </w:p>
        </w:tc>
        <w:tc>
          <w:tcPr>
            <w:tcW w:type="dxa" w:w="5616"/>
          </w:tcPr>
          <w:p>
            <w:pPr>
              <w:spacing w:after="20"/>
              <w:jc w:val="right"/>
            </w:pPr>
            <w:r>
              <w:rPr>
                <w:color w:val="1C3A36"/>
                <w:sz w:val="14"/>
              </w:rPr>
              <w:t>Growth-hold margins (published in full at revision 2 — the first edition left this vector undisclosed)</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pe_just</w:t>
            </w:r>
          </w:p>
        </w:tc>
        <w:tc>
          <w:tcPr>
            <w:tcW w:type="dxa" w:w="1656"/>
          </w:tcPr>
          <w:p>
            <w:pPr>
              <w:spacing w:after="20"/>
              <w:jc w:val="right"/>
            </w:pPr>
            <w:r>
              <w:rPr>
                <w:color w:val="1C3A36"/>
                <w:sz w:val="14"/>
              </w:rPr>
              <w:t>7.5</w:t>
            </w:r>
          </w:p>
        </w:tc>
        <w:tc>
          <w:tcPr>
            <w:tcW w:type="dxa" w:w="5616"/>
          </w:tcPr>
          <w:p>
            <w:pPr>
              <w:spacing w:after="20"/>
              <w:jc w:val="right"/>
            </w:pPr>
            <w:r>
              <w:rPr>
                <w:color w:val="1C3A36"/>
                <w:sz w:val="14"/>
              </w:rPr>
              <w:t>Justified P/E on FY2026E attributable profit: peer attributable trailing set 4.7x / 5.8x / 8.1x (EmaarDev / Emaar / Aldar). 7.5x = parity-minus with the sector leader: the growth and recurring-income premium and the 15%-float/related-party discount are treated as offsetting, stated as a judgement. (The first edition's 8.0x was described as a premium to Aldar off a broken peer table)</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ev_ebitda_just</w:t>
            </w:r>
          </w:p>
        </w:tc>
        <w:tc>
          <w:tcPr>
            <w:tcW w:type="dxa" w:w="1656"/>
          </w:tcPr>
          <w:p>
            <w:pPr>
              <w:spacing w:after="20"/>
              <w:jc w:val="right"/>
            </w:pPr>
            <w:r>
              <w:rPr>
                <w:color w:val="1C3A36"/>
                <w:sz w:val="14"/>
              </w:rPr>
              <w:t>7</w:t>
            </w:r>
          </w:p>
        </w:tc>
        <w:tc>
          <w:tcPr>
            <w:tcW w:type="dxa" w:w="5616"/>
          </w:tcPr>
          <w:p>
            <w:pPr>
              <w:spacing w:after="20"/>
              <w:jc w:val="right"/>
            </w:pPr>
            <w:r>
              <w:rPr>
                <w:color w:val="1C3A36"/>
                <w:sz w:val="14"/>
              </w:rPr>
              <w:t>EV/EBITDA 7.0x — HOUSE JUDGEMENT WITHOUT A PEER ANCHOR (no peer EV/EBITDA is computable from reachable disclosures: peer net debt not held). Shown as a cross-check only; EXCLUDED from the lens average at revision 2</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norm_sales</w:t>
            </w:r>
          </w:p>
        </w:tc>
        <w:tc>
          <w:tcPr>
            <w:tcW w:type="dxa" w:w="1656"/>
          </w:tcPr>
          <w:p>
            <w:pPr>
              <w:spacing w:after="20"/>
              <w:jc w:val="right"/>
            </w:pPr>
            <w:r>
              <w:rPr>
                <w:color w:val="1C3A36"/>
                <w:sz w:val="14"/>
              </w:rPr>
              <w:t>20,000</w:t>
            </w:r>
          </w:p>
        </w:tc>
        <w:tc>
          <w:tcPr>
            <w:tcW w:type="dxa" w:w="5616"/>
          </w:tcPr>
          <w:p>
            <w:pPr>
              <w:spacing w:after="20"/>
              <w:jc w:val="right"/>
            </w:pPr>
            <w:r>
              <w:rPr>
                <w:color w:val="1C3A36"/>
                <w:sz w:val="14"/>
              </w:rPr>
              <w:t>Through-cycle development sales raised 18bn -&gt; 20bn: the realised H1-2026 26bn lifts the cycle evidence; still far below the 38bn FY2026E in-year pace</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norm_margin</w:t>
            </w:r>
          </w:p>
        </w:tc>
        <w:tc>
          <w:tcPr>
            <w:tcW w:type="dxa" w:w="1656"/>
          </w:tcPr>
          <w:p>
            <w:pPr>
              <w:spacing w:after="20"/>
              <w:jc w:val="right"/>
            </w:pPr>
            <w:r>
              <w:rPr>
                <w:color w:val="1C3A36"/>
                <w:sz w:val="14"/>
              </w:rPr>
              <w:t>0.115</w:t>
            </w:r>
          </w:p>
        </w:tc>
        <w:tc>
          <w:tcPr>
            <w:tcW w:type="dxa" w:w="5616"/>
          </w:tcPr>
          <w:p>
            <w:pPr>
              <w:spacing w:after="20"/>
              <w:jc w:val="right"/>
            </w:pPr>
            <w:r>
              <w:rPr>
                <w:color w:val="1C3A36"/>
                <w:sz w:val="14"/>
              </w:rPr>
              <w:t>Through-cycle net margin</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norm_pe</w:t>
            </w:r>
          </w:p>
        </w:tc>
        <w:tc>
          <w:tcPr>
            <w:tcW w:type="dxa" w:w="1656"/>
          </w:tcPr>
          <w:p>
            <w:pPr>
              <w:spacing w:after="20"/>
              <w:jc w:val="right"/>
            </w:pPr>
            <w:r>
              <w:rPr>
                <w:color w:val="1C3A36"/>
                <w:sz w:val="14"/>
              </w:rPr>
              <w:t>8.5</w:t>
            </w:r>
          </w:p>
        </w:tc>
        <w:tc>
          <w:tcPr>
            <w:tcW w:type="dxa" w:w="5616"/>
          </w:tcPr>
          <w:p>
            <w:pPr>
              <w:spacing w:after="20"/>
              <w:jc w:val="right"/>
            </w:pPr>
            <w:r>
              <w:rPr>
                <w:color w:val="1C3A36"/>
                <w:sz w:val="14"/>
              </w:rPr>
              <w:t>Through-cycle P/E</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roe_sust</w:t>
            </w:r>
          </w:p>
        </w:tc>
        <w:tc>
          <w:tcPr>
            <w:tcW w:type="dxa" w:w="1656"/>
          </w:tcPr>
          <w:p>
            <w:pPr>
              <w:spacing w:after="20"/>
              <w:jc w:val="right"/>
            </w:pPr>
            <w:r>
              <w:rPr>
                <w:color w:val="1C3A36"/>
                <w:sz w:val="14"/>
              </w:rPr>
              <w:t>0.075</w:t>
            </w:r>
          </w:p>
        </w:tc>
        <w:tc>
          <w:tcPr>
            <w:tcW w:type="dxa" w:w="5616"/>
          </w:tcPr>
          <w:p>
            <w:pPr>
              <w:spacing w:after="20"/>
              <w:jc w:val="right"/>
            </w:pPr>
            <w:r>
              <w:rPr>
                <w:color w:val="1C3A36"/>
                <w:sz w:val="14"/>
              </w:rPr>
              <w:t>Sustainable ROE 7.5%. Receipts, one cleaning only: mechanical FY2025 clean ROE (ex the 735.1 of fair-value/disposal gains, tax-effected) = 6.6%; the model's own forward attributable ROE path runs 7.8% -&gt; 9.8%. 7.5% sits between the two, below the forward path — a forward-sustainable judgement, not a historical cleaning (the first edition conflated the two)</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lens_weights</w:t>
            </w:r>
          </w:p>
        </w:tc>
        <w:tc>
          <w:tcPr>
            <w:tcW w:type="dxa" w:w="1656"/>
          </w:tcPr>
          <w:p>
            <w:pPr>
              <w:spacing w:after="20"/>
              <w:jc w:val="right"/>
            </w:pPr>
            <w:r>
              <w:rPr>
                <w:color w:val="1C3A36"/>
                <w:sz w:val="14"/>
              </w:rPr>
              <w:t>dcf: 0.4; relative: 0.2; normalized: 0.2; book: 0.2</w:t>
            </w:r>
          </w:p>
        </w:tc>
        <w:tc>
          <w:tcPr>
            <w:tcW w:type="dxa" w:w="5616"/>
          </w:tcPr>
          <w:p>
            <w:pPr>
              <w:spacing w:after="20"/>
              <w:jc w:val="right"/>
            </w:pPr>
            <w:r>
              <w:rPr>
                <w:color w:val="1C3A36"/>
                <w:sz w:val="14"/>
              </w:rPr>
              <w:t>Weights unchanged: DCF primary on backlog visibility; three market lenses carry 60% jointly — that structure, not an additional holdco discount, is how float/governance friction is priced (a 30% haircut on top would double-count it; the reading is still shown in section 4)</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e1_land_uplift</w:t>
            </w:r>
          </w:p>
        </w:tc>
        <w:tc>
          <w:tcPr>
            <w:tcW w:type="dxa" w:w="1656"/>
          </w:tcPr>
          <w:p>
            <w:pPr>
              <w:spacing w:after="20"/>
              <w:jc w:val="right"/>
            </w:pPr>
            <w:r>
              <w:rPr>
                <w:color w:val="1C3A36"/>
                <w:sz w:val="14"/>
              </w:rPr>
              <w:t>0.337</w:t>
            </w:r>
          </w:p>
        </w:tc>
        <w:tc>
          <w:tcPr>
            <w:tcW w:type="dxa" w:w="5616"/>
          </w:tcPr>
          <w:p>
            <w:pPr>
              <w:spacing w:after="20"/>
              <w:jc w:val="right"/>
            </w:pPr>
            <w:r>
              <w:rPr>
                <w:color w:val="1C3A36"/>
                <w:sz w:val="14"/>
              </w:rPr>
              <w:t>Expert 1 land mark-up = exactly HALF the realised 67.4% related-party land-sale gross margin (1 - 818.033/2,512.837), as the arms-length haircut — the first edition said "half" but used 35%; aligned at revision 2</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e2_rp_haircut</w:t>
            </w:r>
          </w:p>
        </w:tc>
        <w:tc>
          <w:tcPr>
            <w:tcW w:type="dxa" w:w="1656"/>
          </w:tcPr>
          <w:p>
            <w:pPr>
              <w:spacing w:after="20"/>
              <w:jc w:val="right"/>
            </w:pPr>
            <w:r>
              <w:rPr>
                <w:color w:val="1C3A36"/>
                <w:sz w:val="14"/>
              </w:rPr>
              <w:t>0.25</w:t>
            </w:r>
          </w:p>
        </w:tc>
        <w:tc>
          <w:tcPr>
            <w:tcW w:type="dxa" w:w="5616"/>
          </w:tcPr>
          <w:p>
            <w:pPr>
              <w:spacing w:after="20"/>
              <w:jc w:val="right"/>
            </w:pPr>
            <w:r>
              <w:rPr>
                <w:color w:val="1C3A36"/>
                <w:sz w:val="14"/>
              </w:rPr>
              <w:t>Expert 2 haircut on the related-party receivable book (30-Jun-2026: 10,756 gross due-from)</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e3_pe</w:t>
            </w:r>
          </w:p>
        </w:tc>
        <w:tc>
          <w:tcPr>
            <w:tcW w:type="dxa" w:w="1656"/>
          </w:tcPr>
          <w:p>
            <w:pPr>
              <w:spacing w:after="20"/>
              <w:jc w:val="right"/>
            </w:pPr>
            <w:r>
              <w:rPr>
                <w:color w:val="1C3A36"/>
                <w:sz w:val="14"/>
              </w:rPr>
              <w:t>6.2</w:t>
            </w:r>
          </w:p>
        </w:tc>
        <w:tc>
          <w:tcPr>
            <w:tcW w:type="dxa" w:w="5616"/>
          </w:tcPr>
          <w:p>
            <w:pPr>
              <w:spacing w:after="20"/>
              <w:jc w:val="right"/>
            </w:pPr>
            <w:r>
              <w:rPr>
                <w:color w:val="1C3A36"/>
                <w:sz w:val="14"/>
              </w:rPr>
              <w:t>Expert 3 multiple = the arithmetic MEAN of the rebuilt attributable peer set (4.73 + 5.78 + 8.10)/3 = 6.20x — the first edition claimed "centre of the set" but used 6.5x; the statistic is now the one named</w:t>
            </w:r>
          </w:p>
        </w:tc>
        <w:tc>
          <w:tcPr>
            <w:tcW w:type="dxa" w:w="1080"/>
          </w:tcPr>
          <w:p>
            <w:pPr>
              <w:spacing w:after="20"/>
              <w:jc w:val="right"/>
            </w:pPr>
            <w:r>
              <w:rPr>
                <w:color w:val="1C3A36"/>
                <w:sz w:val="14"/>
              </w:rPr>
              <w:t>2026-08-09</w:t>
            </w:r>
          </w:p>
        </w:tc>
      </w:tr>
    </w:tbl>
    <w:p>
      <w:pPr>
        <w:spacing w:after="40"/>
      </w:pPr>
    </w:p>
    <w:p>
      <w:pPr>
        <w:spacing w:after="120" w:before="280"/>
      </w:pPr>
      <w:r>
        <w:rPr>
          <w:b/>
          <w:i w:val="0"/>
          <w:color w:val="1C3A36"/>
          <w:sz w:val="30"/>
        </w:rPr>
        <w:t>Disclosure</w:t>
      </w:r>
    </w:p>
    <w:p>
      <w:pPr>
        <w:spacing w:after="120" w:before="0"/>
      </w:pPr>
      <w:r>
        <w:rPr>
          <w:b w:val="0"/>
          <w:i w:val="0"/>
          <w:color w:val="1C3A36"/>
          <w:sz w:val="18"/>
        </w:rPr>
        <w:t>Companion to the Modon Holding valuation study of 9 August 2026. Educational analysis; not investment advice. © Testahil 2026.</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