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4"/>
        </w:rPr>
        <w:t>Riyadh Cables Group Company</w:t>
      </w:r>
    </w:p>
    <w:p>
      <w:pPr>
        <w:spacing w:after="160" w:before="0"/>
      </w:pPr>
      <w:r>
        <w:rPr>
          <w:b w:val="0"/>
          <w:i w:val="0"/>
          <w:color w:val="6E7B77"/>
          <w:sz w:val="22"/>
        </w:rPr>
        <w:t>Tadawul: 4142  ·  Capital Goods — Electrical Equipment (wire &amp; cable)  ·  Saudi Arabia</w:t>
      </w:r>
    </w:p>
    <w:p>
      <w:pPr>
        <w:spacing w:after="160" w:before="0"/>
      </w:pPr>
      <w:r>
        <w:rPr>
          <w:b/>
          <w:i w:val="0"/>
          <w:color w:val="1C3A36"/>
          <w:sz w:val="22"/>
        </w:rPr>
        <w:t xml:space="preserve">Fair-value range — the cash-flow lens, not an average </w:t>
      </w:r>
      <w:r>
        <w:rPr>
          <w:b/>
          <w:i w:val="0"/>
          <w:color w:val="896F36"/>
          <w:sz w:val="26"/>
        </w:rPr>
        <w:t>SAR 125 per share</w:t>
      </w:r>
      <w:r>
        <w:rPr>
          <w:b w:val="0"/>
          <w:i w:val="0"/>
          <w:color w:val="1C3A36"/>
          <w:sz w:val="22"/>
        </w:rPr>
        <w:t xml:space="preserve">   ·   full span SAR 79–193   ·   spot SAR 104.80 (19% to the central)</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w:t>
            </w:r>
            <w:r>
              <w:rPr>
                <w:color w:val="1C3A36"/>
                <w:sz w:val="19"/>
              </w:rPr>
              <w:t>This is an independent, educational valuation study. It is not investment advice, not a recommendation, and not a price target. Every figure is a model output shown as a range, built only from Riyadh Cables’ own audited financial statements and its filed results. A companion workbook carries the full model; a companion bibliography lists every source.</w:t>
            </w:r>
          </w:p>
          <w:p>
            <w:pPr>
              <w:spacing w:after="100"/>
            </w:pPr>
            <w:r>
              <w:rPr>
                <w:b/>
                <w:color w:val="1C3A36"/>
                <w:sz w:val="19"/>
              </w:rPr>
              <w:t xml:space="preserve">What the number means.  </w:t>
            </w:r>
            <w:r>
              <w:rPr>
                <w:color w:val="1C3A36"/>
                <w:sz w:val="19"/>
              </w:rPr>
              <w:t>The four valuation lenses below place fair value between about SAR 86 and SAR 125 per share; weighting them gives a central of SAR 125, about 19% above the SAR 104.80 market price. The lenses disagree, and that disagreement is the point: the intrinsic cash-flow lens sees clear value, the exit-multiple lens is more cautious.</w:t>
            </w:r>
          </w:p>
          <w:p>
            <w:pPr>
              <w:spacing w:after="100"/>
            </w:pPr>
            <w:r>
              <w:rPr>
                <w:b/>
                <w:color w:val="1C3A36"/>
                <w:sz w:val="19"/>
              </w:rPr>
              <w:t xml:space="preserve">The one thing to watch.  </w:t>
            </w:r>
            <w:r>
              <w:rPr>
                <w:color w:val="1C3A36"/>
                <w:sz w:val="19"/>
              </w:rPr>
              <w:t>Riyadh Cables is a metal converter — copper and aluminium are about 95% of its cost of sales. Its gross margin is therefore an OUTPUT of the metal price, not a stable input. The study’s central judgement is the margin the business holds now that the 2024–25 metal tailwind has passed; it is anchored on the most recent reviewed half-year (15.3%) and shown both ways against the higher full-year 2025 print.</w:t>
            </w:r>
          </w:p>
        </w:tc>
      </w:tr>
    </w:tbl>
    <w:p>
      <w:pPr>
        <w:spacing w:after="40"/>
      </w:pPr>
    </w:p>
    <w:p>
      <w:pPr>
        <w:spacing w:after="120" w:before="280"/>
      </w:pPr>
      <w:r>
        <w:rPr>
          <w:b/>
          <w:i w:val="0"/>
          <w:color w:val="1C3A36"/>
          <w:sz w:val="30"/>
        </w:rPr>
        <w:t>Headline</w:t>
      </w:r>
    </w:p>
    <w:p>
      <w:pPr>
        <w:spacing w:after="120" w:before="0"/>
      </w:pPr>
      <w:r>
        <w:rPr>
          <w:b w:val="0"/>
          <w:i w:val="0"/>
          <w:color w:val="1C3A36"/>
          <w:sz w:val="21"/>
        </w:rPr>
        <w:t>Riyadh Cables is the largest Saudi manufacturer of electrical cables and wire. Revenue has grown from SAR 7.8bn in 2023 to SAR 10.7bn in 2025 (a 17% annual pace), and net profit has doubled to SAR 1.08bn, as gross margin climbed from 12.4% to 16.2%. The company is lightly geared — net financial debt of about SAR 385mn is a fraction of its SAR 15.7bn market value — earns a return on equity near 37% and a return on invested capital of about 31% in 2025 (normalising toward the mid-20s in the forecast), and pays out a little over half its earnings.</w:t>
      </w:r>
    </w:p>
    <w:p>
      <w:pPr>
        <w:spacing w:after="120" w:before="0"/>
      </w:pPr>
      <w:r>
        <w:rPr>
          <w:b w:val="0"/>
          <w:i w:val="0"/>
          <w:color w:val="1C3A36"/>
          <w:sz w:val="21"/>
        </w:rPr>
        <w:t>Our central fair-value estimate is SAR 125 per share, about 19% above the SAR 104.80 price. The intrinsic discounted-cash-flow lens is the most positive at SAR 125; a cautious exit-multiple reading is the least, at SAR 86; the earnings-power and book-value lenses sit in between at SAR 102 and SAR 95. The single most important assumption is the sustained gross margin: at the recent half-year’s 15.3% the cash-flow lens is worth SAR 125; if the 2025 full-year 16.0% holds it is worth SAR 137; if it compresses to 14.5% it is worth SAR 113.</w:t>
      </w:r>
    </w:p>
    <w:p>
      <w:pPr>
        <w:spacing w:after="40"/>
        <w:jc w:val="center"/>
      </w:pPr>
      <w:r>
        <w:drawing>
          <wp:inline xmlns:a="http://schemas.openxmlformats.org/drawingml/2006/main" xmlns:pic="http://schemas.openxmlformats.org/drawingml/2006/picture">
            <wp:extent cx="6309360" cy="2731888"/>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731888"/>
                    </a:xfrm>
                    <a:prstGeom prst="rect"/>
                  </pic:spPr>
                </pic:pic>
              </a:graphicData>
            </a:graphic>
          </wp:inline>
        </w:drawing>
      </w:r>
    </w:p>
    <w:p>
      <w:pPr>
        <w:spacing w:after="200" w:before="0"/>
      </w:pPr>
      <w:r>
        <w:rPr>
          <w:b w:val="0"/>
          <w:i/>
          <w:color w:val="6E7B77"/>
          <w:sz w:val="17"/>
        </w:rPr>
        <w:t>Figure 1. Valuation football field — the bear-to-bull span of each lens; the brass tick is the base case; the vertical line is the market price.</w:t>
      </w:r>
    </w:p>
    <w:p>
      <w:pPr>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224"/>
        <w:gridCol w:w="1224"/>
        <w:gridCol w:w="1224"/>
        <w:gridCol w:w="1152"/>
        <w:gridCol w:w="1368"/>
      </w:tblGrid>
      <w:tr>
        <w:tc>
          <w:tcPr>
            <w:tcW w:type="dxa" w:w="2736"/>
            <w:shd w:val="clear" w:color="auto" w:fill="EAF0EE"/>
          </w:tcPr>
          <w:p>
            <w:pPr>
              <w:spacing w:after="20"/>
            </w:pPr>
            <w:r>
              <w:rPr>
                <w:b/>
                <w:color w:val="1C3A36"/>
                <w:sz w:val="18"/>
              </w:rPr>
              <w:t>Lens</w:t>
            </w:r>
          </w:p>
        </w:tc>
        <w:tc>
          <w:tcPr>
            <w:tcW w:type="dxa" w:w="1224"/>
            <w:shd w:val="clear" w:color="auto" w:fill="EAF0EE"/>
          </w:tcPr>
          <w:p>
            <w:pPr>
              <w:spacing w:after="20"/>
            </w:pPr>
            <w:r>
              <w:rPr>
                <w:b/>
                <w:color w:val="1C3A36"/>
                <w:sz w:val="18"/>
              </w:rPr>
              <w:t>Bear</w:t>
            </w:r>
          </w:p>
        </w:tc>
        <w:tc>
          <w:tcPr>
            <w:tcW w:type="dxa" w:w="1224"/>
            <w:shd w:val="clear" w:color="auto" w:fill="EAF0EE"/>
          </w:tcPr>
          <w:p>
            <w:pPr>
              <w:spacing w:after="20"/>
            </w:pPr>
            <w:r>
              <w:rPr>
                <w:b/>
                <w:color w:val="1C3A36"/>
                <w:sz w:val="18"/>
              </w:rPr>
              <w:t>Base</w:t>
            </w:r>
          </w:p>
        </w:tc>
        <w:tc>
          <w:tcPr>
            <w:tcW w:type="dxa" w:w="1224"/>
            <w:shd w:val="clear" w:color="auto" w:fill="EAF0EE"/>
          </w:tcPr>
          <w:p>
            <w:pPr>
              <w:spacing w:after="20"/>
            </w:pPr>
            <w:r>
              <w:rPr>
                <w:b/>
                <w:color w:val="1C3A36"/>
                <w:sz w:val="18"/>
              </w:rPr>
              <w:t>Bull</w:t>
            </w:r>
          </w:p>
        </w:tc>
        <w:tc>
          <w:tcPr>
            <w:tcW w:type="dxa" w:w="1152"/>
            <w:shd w:val="clear" w:color="auto" w:fill="EAF0EE"/>
          </w:tcPr>
          <w:p>
            <w:pPr>
              <w:spacing w:after="20"/>
            </w:pPr>
            <w:r>
              <w:rPr>
                <w:b/>
                <w:color w:val="1C3A36"/>
                <w:sz w:val="18"/>
              </w:rPr>
              <w:t>Role</w:t>
            </w:r>
          </w:p>
        </w:tc>
        <w:tc>
          <w:tcPr>
            <w:tcW w:type="dxa" w:w="1368"/>
            <w:shd w:val="clear" w:color="auto" w:fill="EAF0EE"/>
          </w:tcPr>
          <w:p>
            <w:pPr>
              <w:spacing w:after="20"/>
            </w:pPr>
            <w:r>
              <w:rPr>
                <w:b/>
                <w:color w:val="1C3A36"/>
                <w:sz w:val="18"/>
              </w:rPr>
              <w:t>vs price</w:t>
            </w:r>
          </w:p>
        </w:tc>
      </w:tr>
      <w:tr>
        <w:tc>
          <w:tcPr>
            <w:tcW w:type="dxa" w:w="2736"/>
          </w:tcPr>
          <w:p>
            <w:pPr>
              <w:spacing w:after="20"/>
            </w:pPr>
            <w:r>
              <w:rPr>
                <w:color w:val="1C3A36"/>
                <w:sz w:val="18"/>
              </w:rPr>
              <w:t>Discounted cash flow (the answer)</w:t>
            </w:r>
          </w:p>
        </w:tc>
        <w:tc>
          <w:tcPr>
            <w:tcW w:type="dxa" w:w="1224"/>
          </w:tcPr>
          <w:p>
            <w:pPr>
              <w:spacing w:after="20"/>
              <w:jc w:val="right"/>
            </w:pPr>
            <w:r>
              <w:rPr>
                <w:color w:val="1C3A36"/>
                <w:sz w:val="18"/>
              </w:rPr>
              <w:t>79</w:t>
            </w:r>
          </w:p>
        </w:tc>
        <w:tc>
          <w:tcPr>
            <w:tcW w:type="dxa" w:w="1224"/>
          </w:tcPr>
          <w:p>
            <w:pPr>
              <w:spacing w:after="20"/>
              <w:jc w:val="right"/>
            </w:pPr>
            <w:r>
              <w:rPr>
                <w:color w:val="1C3A36"/>
                <w:sz w:val="18"/>
              </w:rPr>
              <w:t>125</w:t>
            </w:r>
          </w:p>
        </w:tc>
        <w:tc>
          <w:tcPr>
            <w:tcW w:type="dxa" w:w="1224"/>
          </w:tcPr>
          <w:p>
            <w:pPr>
              <w:spacing w:after="20"/>
              <w:jc w:val="right"/>
            </w:pPr>
            <w:r>
              <w:rPr>
                <w:color w:val="1C3A36"/>
                <w:sz w:val="18"/>
              </w:rPr>
              <w:t>193</w:t>
            </w:r>
          </w:p>
        </w:tc>
        <w:tc>
          <w:tcPr>
            <w:tcW w:type="dxa" w:w="1152"/>
          </w:tcPr>
          <w:p>
            <w:pPr>
              <w:spacing w:after="20"/>
              <w:jc w:val="right"/>
            </w:pPr>
            <w:r>
              <w:rPr>
                <w:color w:val="1C3A36"/>
                <w:sz w:val="18"/>
              </w:rPr>
              <w:t>THE ANSWER</w:t>
            </w:r>
          </w:p>
        </w:tc>
        <w:tc>
          <w:tcPr>
            <w:tcW w:type="dxa" w:w="1368"/>
          </w:tcPr>
          <w:p>
            <w:pPr>
              <w:spacing w:after="20"/>
              <w:jc w:val="right"/>
            </w:pPr>
            <w:r>
              <w:rPr>
                <w:color w:val="1C3A36"/>
                <w:sz w:val="18"/>
              </w:rPr>
              <w:t>19%</w:t>
            </w:r>
          </w:p>
        </w:tc>
      </w:tr>
      <w:tr>
        <w:tc>
          <w:tcPr>
            <w:tcW w:type="dxa" w:w="2736"/>
          </w:tcPr>
          <w:p>
            <w:pPr>
              <w:spacing w:after="20"/>
            </w:pPr>
            <w:r>
              <w:rPr>
                <w:color w:val="1C3A36"/>
                <w:sz w:val="18"/>
              </w:rPr>
              <w:t>Relative multiples</w:t>
            </w:r>
          </w:p>
        </w:tc>
        <w:tc>
          <w:tcPr>
            <w:tcW w:type="dxa" w:w="1224"/>
          </w:tcPr>
          <w:p>
            <w:pPr>
              <w:spacing w:after="20"/>
              <w:jc w:val="right"/>
            </w:pPr>
            <w:r>
              <w:rPr>
                <w:color w:val="1C3A36"/>
                <w:sz w:val="18"/>
              </w:rPr>
              <w:t>69</w:t>
            </w:r>
          </w:p>
        </w:tc>
        <w:tc>
          <w:tcPr>
            <w:tcW w:type="dxa" w:w="1224"/>
          </w:tcPr>
          <w:p>
            <w:pPr>
              <w:spacing w:after="20"/>
              <w:jc w:val="right"/>
            </w:pPr>
            <w:r>
              <w:rPr>
                <w:color w:val="1C3A36"/>
                <w:sz w:val="18"/>
              </w:rPr>
              <w:t>86</w:t>
            </w:r>
          </w:p>
        </w:tc>
        <w:tc>
          <w:tcPr>
            <w:tcW w:type="dxa" w:w="1224"/>
          </w:tcPr>
          <w:p>
            <w:pPr>
              <w:spacing w:after="20"/>
              <w:jc w:val="right"/>
            </w:pPr>
            <w:r>
              <w:rPr>
                <w:color w:val="1C3A36"/>
                <w:sz w:val="18"/>
              </w:rPr>
              <w:t>99</w:t>
            </w:r>
          </w:p>
        </w:tc>
        <w:tc>
          <w:tcPr>
            <w:tcW w:type="dxa" w:w="1152"/>
          </w:tcPr>
          <w:p>
            <w:pPr>
              <w:spacing w:after="20"/>
              <w:jc w:val="right"/>
            </w:pPr>
            <w:r>
              <w:rPr>
                <w:color w:val="1C3A36"/>
                <w:sz w:val="18"/>
              </w:rPr>
              <w:t>cross-check</w:t>
            </w:r>
          </w:p>
        </w:tc>
        <w:tc>
          <w:tcPr>
            <w:tcW w:type="dxa" w:w="1368"/>
          </w:tcPr>
          <w:p>
            <w:pPr>
              <w:spacing w:after="20"/>
              <w:jc w:val="right"/>
            </w:pPr>
            <w:r>
              <w:rPr>
                <w:color w:val="1C3A36"/>
                <w:sz w:val="18"/>
              </w:rPr>
              <w:t>-18%</w:t>
            </w:r>
          </w:p>
        </w:tc>
      </w:tr>
      <w:tr>
        <w:tc>
          <w:tcPr>
            <w:tcW w:type="dxa" w:w="2736"/>
          </w:tcPr>
          <w:p>
            <w:pPr>
              <w:spacing w:after="20"/>
            </w:pPr>
            <w:r>
              <w:rPr>
                <w:color w:val="1C3A36"/>
                <w:sz w:val="18"/>
              </w:rPr>
              <w:t>Normalised earnings power</w:t>
            </w:r>
          </w:p>
        </w:tc>
        <w:tc>
          <w:tcPr>
            <w:tcW w:type="dxa" w:w="1224"/>
          </w:tcPr>
          <w:p>
            <w:pPr>
              <w:spacing w:after="20"/>
              <w:jc w:val="right"/>
            </w:pPr>
            <w:r>
              <w:rPr>
                <w:color w:val="1C3A36"/>
                <w:sz w:val="18"/>
              </w:rPr>
              <w:t>78</w:t>
            </w:r>
          </w:p>
        </w:tc>
        <w:tc>
          <w:tcPr>
            <w:tcW w:type="dxa" w:w="1224"/>
          </w:tcPr>
          <w:p>
            <w:pPr>
              <w:spacing w:after="20"/>
              <w:jc w:val="right"/>
            </w:pPr>
            <w:r>
              <w:rPr>
                <w:color w:val="1C3A36"/>
                <w:sz w:val="18"/>
              </w:rPr>
              <w:t>102</w:t>
            </w:r>
          </w:p>
        </w:tc>
        <w:tc>
          <w:tcPr>
            <w:tcW w:type="dxa" w:w="1224"/>
          </w:tcPr>
          <w:p>
            <w:pPr>
              <w:spacing w:after="20"/>
              <w:jc w:val="right"/>
            </w:pPr>
            <w:r>
              <w:rPr>
                <w:color w:val="1C3A36"/>
                <w:sz w:val="18"/>
              </w:rPr>
              <w:t>126</w:t>
            </w:r>
          </w:p>
        </w:tc>
        <w:tc>
          <w:tcPr>
            <w:tcW w:type="dxa" w:w="1152"/>
          </w:tcPr>
          <w:p>
            <w:pPr>
              <w:spacing w:after="20"/>
              <w:jc w:val="right"/>
            </w:pPr>
            <w:r>
              <w:rPr>
                <w:color w:val="1C3A36"/>
                <w:sz w:val="18"/>
              </w:rPr>
              <w:t>not published for this class</w:t>
            </w:r>
          </w:p>
        </w:tc>
        <w:tc>
          <w:tcPr>
            <w:tcW w:type="dxa" w:w="1368"/>
          </w:tcPr>
          <w:p>
            <w:pPr>
              <w:spacing w:after="20"/>
              <w:jc w:val="right"/>
            </w:pPr>
            <w:r>
              <w:rPr>
                <w:color w:val="1C3A36"/>
                <w:sz w:val="18"/>
              </w:rPr>
              <w:t>-3%</w:t>
            </w:r>
          </w:p>
        </w:tc>
      </w:tr>
      <w:tr>
        <w:tc>
          <w:tcPr>
            <w:tcW w:type="dxa" w:w="2736"/>
          </w:tcPr>
          <w:p>
            <w:pPr>
              <w:spacing w:after="20"/>
            </w:pPr>
            <w:r>
              <w:rPr>
                <w:color w:val="1C3A36"/>
                <w:sz w:val="18"/>
              </w:rPr>
              <w:t>Book value and sustainable return</w:t>
            </w:r>
          </w:p>
        </w:tc>
        <w:tc>
          <w:tcPr>
            <w:tcW w:type="dxa" w:w="1224"/>
          </w:tcPr>
          <w:p>
            <w:pPr>
              <w:spacing w:after="20"/>
              <w:jc w:val="right"/>
            </w:pPr>
            <w:r>
              <w:rPr>
                <w:color w:val="1C3A36"/>
                <w:sz w:val="18"/>
              </w:rPr>
              <w:t>64</w:t>
            </w:r>
          </w:p>
        </w:tc>
        <w:tc>
          <w:tcPr>
            <w:tcW w:type="dxa" w:w="1224"/>
          </w:tcPr>
          <w:p>
            <w:pPr>
              <w:spacing w:after="20"/>
              <w:jc w:val="right"/>
            </w:pPr>
            <w:r>
              <w:rPr>
                <w:color w:val="1C3A36"/>
                <w:sz w:val="18"/>
              </w:rPr>
              <w:t>95</w:t>
            </w:r>
          </w:p>
        </w:tc>
        <w:tc>
          <w:tcPr>
            <w:tcW w:type="dxa" w:w="1224"/>
          </w:tcPr>
          <w:p>
            <w:pPr>
              <w:spacing w:after="20"/>
              <w:jc w:val="right"/>
            </w:pPr>
            <w:r>
              <w:rPr>
                <w:color w:val="1C3A36"/>
                <w:sz w:val="18"/>
              </w:rPr>
              <w:t>107</w:t>
            </w:r>
          </w:p>
        </w:tc>
        <w:tc>
          <w:tcPr>
            <w:tcW w:type="dxa" w:w="1152"/>
          </w:tcPr>
          <w:p>
            <w:pPr>
              <w:spacing w:after="20"/>
              <w:jc w:val="right"/>
            </w:pPr>
            <w:r>
              <w:rPr>
                <w:color w:val="1C3A36"/>
                <w:sz w:val="18"/>
              </w:rPr>
              <w:t>a floor, never weighted</w:t>
            </w:r>
          </w:p>
        </w:tc>
        <w:tc>
          <w:tcPr>
            <w:tcW w:type="dxa" w:w="1368"/>
          </w:tcPr>
          <w:p>
            <w:pPr>
              <w:spacing w:after="20"/>
              <w:jc w:val="right"/>
            </w:pPr>
            <w:r>
              <w:rPr>
                <w:color w:val="1C3A36"/>
                <w:sz w:val="18"/>
              </w:rPr>
              <w:t>-10%</w:t>
            </w:r>
          </w:p>
        </w:tc>
      </w:tr>
      <w:tr>
        <w:tc>
          <w:tcPr>
            <w:tcW w:type="dxa" w:w="2736"/>
            <w:shd w:val="clear" w:color="auto" w:fill="F6F1E6"/>
          </w:tcPr>
          <w:p>
            <w:pPr>
              <w:spacing w:after="20"/>
            </w:pPr>
            <w:r>
              <w:rPr>
                <w:b/>
                <w:color w:val="1C3A36"/>
                <w:sz w:val="18"/>
              </w:rPr>
              <w:t>THE CENTRAL — the cash-flow lens, not an average</w:t>
            </w:r>
          </w:p>
        </w:tc>
        <w:tc>
          <w:tcPr>
            <w:tcW w:type="dxa" w:w="1224"/>
            <w:shd w:val="clear" w:color="auto" w:fill="F6F1E6"/>
          </w:tcPr>
          <w:p>
            <w:pPr>
              <w:spacing w:after="20"/>
              <w:jc w:val="right"/>
            </w:pPr>
            <w:r>
              <w:rPr>
                <w:b/>
                <w:color w:val="1C3A36"/>
                <w:sz w:val="18"/>
              </w:rPr>
              <w:t>79</w:t>
            </w:r>
          </w:p>
        </w:tc>
        <w:tc>
          <w:tcPr>
            <w:tcW w:type="dxa" w:w="1224"/>
            <w:shd w:val="clear" w:color="auto" w:fill="F6F1E6"/>
          </w:tcPr>
          <w:p>
            <w:pPr>
              <w:spacing w:after="20"/>
              <w:jc w:val="right"/>
            </w:pPr>
            <w:r>
              <w:rPr>
                <w:b/>
                <w:color w:val="1C3A36"/>
                <w:sz w:val="18"/>
              </w:rPr>
              <w:t>125</w:t>
            </w:r>
          </w:p>
        </w:tc>
        <w:tc>
          <w:tcPr>
            <w:tcW w:type="dxa" w:w="1224"/>
            <w:shd w:val="clear" w:color="auto" w:fill="F6F1E6"/>
          </w:tcPr>
          <w:p>
            <w:pPr>
              <w:spacing w:after="20"/>
              <w:jc w:val="right"/>
            </w:pPr>
            <w:r>
              <w:rPr>
                <w:b/>
                <w:color w:val="1C3A36"/>
                <w:sz w:val="18"/>
              </w:rPr>
              <w:t>193</w:t>
            </w:r>
          </w:p>
        </w:tc>
        <w:tc>
          <w:tcPr>
            <w:tcW w:type="dxa" w:w="1152"/>
            <w:shd w:val="clear" w:color="auto" w:fill="F6F1E6"/>
          </w:tcPr>
          <w:p>
            <w:pPr>
              <w:spacing w:after="20"/>
              <w:jc w:val="right"/>
            </w:pPr>
            <w:r>
              <w:rPr>
                <w:b/>
                <w:color w:val="1C3A36"/>
                <w:sz w:val="18"/>
              </w:rPr>
              <w:t>the class primary</w:t>
            </w:r>
          </w:p>
        </w:tc>
        <w:tc>
          <w:tcPr>
            <w:tcW w:type="dxa" w:w="1368"/>
            <w:shd w:val="clear" w:color="auto" w:fill="F6F1E6"/>
          </w:tcPr>
          <w:p>
            <w:pPr>
              <w:spacing w:after="20"/>
              <w:jc w:val="right"/>
            </w:pPr>
            <w:r>
              <w:rPr>
                <w:b/>
                <w:color w:val="1C3A36"/>
                <w:sz w:val="18"/>
              </w:rPr>
              <w:t>19%</w:t>
            </w:r>
          </w:p>
        </w:tc>
      </w:tr>
      <w:tr>
        <w:tc>
          <w:tcPr>
            <w:tcW w:type="dxa" w:w="2736"/>
          </w:tcPr>
          <w:p>
            <w:pPr>
              <w:spacing w:after="20"/>
            </w:pPr>
            <w:r>
              <w:rPr>
                <w:color w:val="1C3A36"/>
                <w:sz w:val="18"/>
              </w:rPr>
              <w:t>NOT AVERAGED — the retired blend, published unused</w:t>
            </w:r>
          </w:p>
        </w:tc>
        <w:tc>
          <w:tcPr>
            <w:tcW w:type="dxa" w:w="1224"/>
          </w:tcPr>
          <w:p>
            <w:pPr>
              <w:spacing w:after="20"/>
              <w:jc w:val="right"/>
            </w:pPr>
            <w:r>
              <w:rPr>
                <w:color w:val="1C3A36"/>
                <w:sz w:val="18"/>
              </w:rPr>
            </w:r>
          </w:p>
        </w:tc>
        <w:tc>
          <w:tcPr>
            <w:tcW w:type="dxa" w:w="1224"/>
          </w:tcPr>
          <w:p>
            <w:pPr>
              <w:spacing w:after="20"/>
              <w:jc w:val="right"/>
            </w:pPr>
            <w:r>
              <w:rPr>
                <w:color w:val="1C3A36"/>
                <w:sz w:val="18"/>
              </w:rPr>
              <w:t>108</w:t>
            </w:r>
          </w:p>
        </w:tc>
        <w:tc>
          <w:tcPr>
            <w:tcW w:type="dxa" w:w="1224"/>
          </w:tcPr>
          <w:p>
            <w:pPr>
              <w:spacing w:after="20"/>
              <w:jc w:val="right"/>
            </w:pPr>
            <w:r>
              <w:rPr>
                <w:color w:val="1C3A36"/>
                <w:sz w:val="18"/>
              </w:rPr>
            </w:r>
          </w:p>
        </w:tc>
        <w:tc>
          <w:tcPr>
            <w:tcW w:type="dxa" w:w="1152"/>
          </w:tcPr>
          <w:p>
            <w:pPr>
              <w:spacing w:after="20"/>
              <w:jc w:val="right"/>
            </w:pPr>
            <w:r>
              <w:rPr>
                <w:color w:val="1C3A36"/>
                <w:sz w:val="18"/>
              </w:rPr>
              <w:t>retired</w:t>
            </w:r>
          </w:p>
        </w:tc>
        <w:tc>
          <w:tcPr>
            <w:tcW w:type="dxa" w:w="1368"/>
          </w:tcPr>
          <w:p>
            <w:pPr>
              <w:spacing w:after="20"/>
              <w:jc w:val="right"/>
            </w:pPr>
            <w:r>
              <w:rPr>
                <w:color w:val="1C3A36"/>
                <w:sz w:val="18"/>
              </w:rPr>
              <w:t>3%</w:t>
            </w:r>
          </w:p>
        </w:tc>
      </w:tr>
      <w:tr>
        <w:tc>
          <w:tcPr>
            <w:tcW w:type="dxa" w:w="2736"/>
          </w:tcPr>
          <w:p>
            <w:pPr>
              <w:spacing w:after="20"/>
            </w:pPr>
            <w:r>
              <w:rPr>
                <w:color w:val="1C3A36"/>
                <w:sz w:val="18"/>
              </w:rPr>
              <w:t>Expert panel median</w:t>
            </w:r>
          </w:p>
        </w:tc>
        <w:tc>
          <w:tcPr>
            <w:tcW w:type="dxa" w:w="1224"/>
          </w:tcPr>
          <w:p>
            <w:pPr>
              <w:spacing w:after="20"/>
              <w:jc w:val="right"/>
            </w:pPr>
            <w:r>
              <w:rPr>
                <w:color w:val="1C3A36"/>
                <w:sz w:val="18"/>
              </w:rPr>
            </w:r>
          </w:p>
        </w:tc>
        <w:tc>
          <w:tcPr>
            <w:tcW w:type="dxa" w:w="1224"/>
          </w:tcPr>
          <w:p>
            <w:pPr>
              <w:spacing w:after="20"/>
              <w:jc w:val="right"/>
            </w:pPr>
            <w:r>
              <w:rPr>
                <w:color w:val="1C3A36"/>
                <w:sz w:val="18"/>
              </w:rPr>
              <w:t>126</w:t>
            </w:r>
          </w:p>
        </w:tc>
        <w:tc>
          <w:tcPr>
            <w:tcW w:type="dxa" w:w="1224"/>
          </w:tcPr>
          <w:p>
            <w:pPr>
              <w:spacing w:after="20"/>
              <w:jc w:val="right"/>
            </w:pPr>
            <w:r>
              <w:rPr>
                <w:color w:val="1C3A36"/>
                <w:sz w:val="18"/>
              </w:rPr>
            </w:r>
          </w:p>
        </w:tc>
        <w:tc>
          <w:tcPr>
            <w:tcW w:type="dxa" w:w="1152"/>
          </w:tcPr>
          <w:p>
            <w:pPr>
              <w:spacing w:after="20"/>
              <w:jc w:val="right"/>
            </w:pPr>
            <w:r>
              <w:rPr>
                <w:color w:val="1C3A36"/>
                <w:sz w:val="18"/>
              </w:rPr>
              <w:t>cross-read</w:t>
            </w:r>
          </w:p>
        </w:tc>
        <w:tc>
          <w:tcPr>
            <w:tcW w:type="dxa" w:w="1368"/>
          </w:tcPr>
          <w:p>
            <w:pPr>
              <w:spacing w:after="20"/>
              <w:jc w:val="right"/>
            </w:pPr>
            <w:r>
              <w:rPr>
                <w:color w:val="1C3A36"/>
                <w:sz w:val="18"/>
              </w:rPr>
              <w:t>20%</w:t>
            </w:r>
          </w:p>
        </w:tc>
      </w:tr>
      <w:tr>
        <w:tc>
          <w:tcPr>
            <w:tcW w:type="dxa" w:w="2736"/>
          </w:tcPr>
          <w:p>
            <w:pPr>
              <w:spacing w:after="20"/>
            </w:pPr>
            <w:r>
              <w:rPr>
                <w:color w:val="1C3A36"/>
                <w:sz w:val="18"/>
              </w:rPr>
              <w:t>Market price (anchor)</w:t>
            </w:r>
          </w:p>
        </w:tc>
        <w:tc>
          <w:tcPr>
            <w:tcW w:type="dxa" w:w="1224"/>
          </w:tcPr>
          <w:p>
            <w:pPr>
              <w:spacing w:after="20"/>
              <w:jc w:val="right"/>
            </w:pPr>
            <w:r>
              <w:rPr>
                <w:color w:val="1C3A36"/>
                <w:sz w:val="18"/>
              </w:rPr>
            </w:r>
          </w:p>
        </w:tc>
        <w:tc>
          <w:tcPr>
            <w:tcW w:type="dxa" w:w="1224"/>
          </w:tcPr>
          <w:p>
            <w:pPr>
              <w:spacing w:after="20"/>
              <w:jc w:val="right"/>
            </w:pPr>
            <w:r>
              <w:rPr>
                <w:color w:val="1C3A36"/>
                <w:sz w:val="18"/>
              </w:rPr>
              <w:t>104.80</w:t>
            </w:r>
          </w:p>
        </w:tc>
        <w:tc>
          <w:tcPr>
            <w:tcW w:type="dxa" w:w="1224"/>
          </w:tcPr>
          <w:p>
            <w:pPr>
              <w:spacing w:after="20"/>
              <w:jc w:val="right"/>
            </w:pPr>
            <w:r>
              <w:rPr>
                <w:color w:val="1C3A36"/>
                <w:sz w:val="18"/>
              </w:rPr>
            </w:r>
          </w:p>
        </w:tc>
        <w:tc>
          <w:tcPr>
            <w:tcW w:type="dxa" w:w="1152"/>
          </w:tcPr>
          <w:p>
            <w:pPr>
              <w:spacing w:after="20"/>
              <w:jc w:val="right"/>
            </w:pPr>
            <w:r>
              <w:rPr>
                <w:color w:val="1C3A36"/>
                <w:sz w:val="18"/>
              </w:rPr>
            </w:r>
          </w:p>
        </w:tc>
        <w:tc>
          <w:tcPr>
            <w:tcW w:type="dxa" w:w="1368"/>
          </w:tcPr>
          <w:p>
            <w:pPr>
              <w:spacing w:after="20"/>
              <w:jc w:val="right"/>
            </w:pPr>
            <w:r>
              <w:rPr>
                <w:color w:val="1C3A36"/>
                <w:sz w:val="18"/>
              </w:rPr>
              <w:t>—</w:t>
            </w:r>
          </w:p>
        </w:tc>
      </w:tr>
    </w:tbl>
    <w:p>
      <w:pPr>
        <w:spacing w:after="40"/>
      </w:pPr>
    </w:p>
    <w:p>
      <w:pPr>
        <w:spacing w:after="160" w:before="0"/>
      </w:pPr>
      <w:r>
        <w:rPr>
          <w:b w:val="0"/>
          <w:i w:val="0"/>
          <w:color w:val="1C3A36"/>
          <w:sz w:val="19"/>
        </w:rPr>
        <w:t xml:space="preserve">Terminal value as a share of the discounted-cash-flow enterprise value: </w:t>
      </w:r>
      <w:r>
        <w:rPr>
          <w:b/>
          <w:i w:val="0"/>
          <w:color w:val="896F36"/>
          <w:sz w:val="19"/>
        </w:rPr>
        <w:t>81%</w:t>
      </w:r>
      <w:r>
        <w:rPr>
          <w:b w:val="0"/>
          <w:i w:val="0"/>
          <w:color w:val="1C3A36"/>
          <w:sz w:val="19"/>
        </w:rPr>
        <w:t xml:space="preserve">.  Enterprise value / EBITDA (on FY2025 EBITDA) </w:t>
      </w:r>
      <w:r>
        <w:rPr>
          <w:b/>
          <w:i w:val="0"/>
          <w:color w:val="1C3A36"/>
          <w:sz w:val="19"/>
        </w:rPr>
        <w:t>11.9x</w:t>
      </w:r>
      <w:r>
        <w:rPr>
          <w:b w:val="0"/>
          <w:i w:val="0"/>
          <w:color w:val="1C3A36"/>
          <w:sz w:val="19"/>
        </w:rPr>
        <w:t>; price / FY2025 earnings 14.5x. Cost of capital 10.5% today, easing to 9.5% in perpetuity.</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The contested judgement, both ways.  </w:t>
            </w:r>
            <w:r>
              <w:rPr>
                <w:color w:val="1C3A36"/>
                <w:sz w:val="19"/>
              </w:rPr>
              <w:t>The sustained gross margin drives the cash-flow lens more than any other input. Anchored on the reviewed H1-2026 actual of 15.3%: SAR 125/share. On the 2025 full-year 16.0%: SAR 137. On a further compression to 14.5%: SAR 113. We publish the three side by side and do not average them into one number.</w:t>
            </w:r>
          </w:p>
        </w:tc>
      </w:tr>
    </w:tbl>
    <w:p>
      <w:pPr>
        <w:spacing w:after="40"/>
      </w:pPr>
    </w:p>
    <w:p>
      <w:pPr>
        <w:spacing w:after="120" w:before="280"/>
      </w:pPr>
      <w:r>
        <w:rPr>
          <w:b/>
          <w:i w:val="0"/>
          <w:color w:val="1C3A36"/>
          <w:sz w:val="30"/>
        </w:rPr>
        <w:t>Company overview</w:t>
      </w:r>
    </w:p>
    <w:p>
      <w:pPr>
        <w:spacing w:after="120" w:before="0"/>
      </w:pPr>
      <w:r>
        <w:rPr>
          <w:b w:val="0"/>
          <w:i w:val="0"/>
          <w:color w:val="1C3A36"/>
          <w:sz w:val="21"/>
        </w:rPr>
        <w:t>Riyadh Cables Group Company is a Saudi joint-stock company founded in 1984 and listed on the Saudi Exchange (Tadawul) in December 2022. It manufactures low-, medium-, high- and extra-high-voltage power cables, building wire, and telecommunications cable, from plants in Riyadh’s industrial cities. It is the largest cable maker in Saudi Arabia and a significant exporter into the wider Gulf.</w:t>
      </w:r>
    </w:p>
    <w:p>
      <w:pPr>
        <w:spacing w:after="120" w:before="0"/>
      </w:pPr>
      <w:r>
        <w:rPr>
          <w:b w:val="0"/>
          <w:i w:val="0"/>
          <w:color w:val="1C3A36"/>
          <w:sz w:val="21"/>
        </w:rPr>
        <w:t>Two 2025 acquisitions reshaped the group’s perimeter and explain the balance-sheet step-ups. In April 2025 it bought the remaining 50% of Qatar Cables, taking that subsidiary to full ownership; and with a control date of 28 November 2025 it acquired 51% of Artikul Aziya Kabel in Uzbekistan for SAR 147.7mn. The Uzbek deal added goodwill (group intangibles and goodwill rose from SAR 57mn to SAR 138mn) and brought in the SAR 63mn non-controlling interest now on the balance sheet — both deducted in the valuation bridge.</w:t>
      </w:r>
    </w:p>
    <w:p>
      <w:pPr>
        <w:spacing w:after="120" w:before="0"/>
      </w:pPr>
      <w:r>
        <w:rPr>
          <w:b w:val="0"/>
          <w:i w:val="0"/>
          <w:color w:val="1C3A36"/>
          <w:sz w:val="21"/>
        </w:rPr>
        <w:t>The business reports three segments. Cables and wire is by far the largest at SAR 10.4bn, 98% of 2025 revenue; high-voltage turnkey projects add SAR 231mn (2.2%); and other products — chiefly telephone cable and services — a further SAR 29mn. By destination, 73% of sales are inside Saudi Arabia and 27% are exports, predominantly to the United Arab Emirates (about SAR 2.2bn in 2025).</w:t>
      </w:r>
    </w:p>
    <w:p>
      <w:pPr>
        <w:spacing w:after="120" w:before="0"/>
      </w:pPr>
      <w:r>
        <w:rPr>
          <w:b w:val="0"/>
          <w:i w:val="0"/>
          <w:color w:val="1C3A36"/>
          <w:sz w:val="21"/>
        </w:rPr>
        <w:t>The balance sheet is that of a metal converter: inventory of copper and aluminium and a large trade-receivables book (together about 48% of revenue), part-funded by trade payables and a supplier-finance facility, with only modest interest-bearing debt. The company hedges copper, aluminium and lead through commodity forwards. It is not a bank, a developer or a holding company; it is an operating manufacturer, and it is valued as one — a discounted-cash-flow model first, cross-checked against multiples, earnings power and book value.</w:t>
      </w:r>
    </w:p>
    <w:p>
      <w:pPr>
        <w:spacing w:after="120" w:before="280"/>
      </w:pPr>
      <w:r>
        <w:rPr>
          <w:b/>
          <w:i w:val="0"/>
          <w:color w:val="1C3A36"/>
          <w:sz w:val="30"/>
        </w:rPr>
        <w:t>1  Fundamental valuation</w:t>
      </w:r>
    </w:p>
    <w:p>
      <w:pPr>
        <w:spacing w:after="80" w:before="200"/>
      </w:pPr>
      <w:r>
        <w:rPr>
          <w:b/>
          <w:i w:val="0"/>
          <w:color w:val="1C3A36"/>
          <w:sz w:val="24"/>
        </w:rPr>
        <w:t>1.1  Cash-flow model — the free-cash-flow waterfall and the value bridge</w:t>
      </w:r>
    </w:p>
    <w:p>
      <w:pPr>
        <w:spacing w:after="120" w:before="0"/>
      </w:pPr>
      <w:r>
        <w:rPr>
          <w:b w:val="0"/>
          <w:i w:val="0"/>
          <w:color w:val="1C3A36"/>
          <w:sz w:val="21"/>
        </w:rPr>
        <w:t>The primary lens is a five-year discounted cash flow to the firm. Operating profit is taxed at a forward zakat-and-tax rate of 9.5% — just above the 9.0% the group actually paid in 2025, allowing for a rising foreign-profit share — depreciation is added back, and capital expenditure and the investment in working capital are subtracted, to give free cash flow to the firm. Each year is discounted at its own cost of capital (at year-end), gliding from 10.5% to 9.5%.</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411"/>
        <w:gridCol w:w="1411"/>
        <w:gridCol w:w="1411"/>
        <w:gridCol w:w="1411"/>
        <w:gridCol w:w="1411"/>
      </w:tblGrid>
      <w:tr>
        <w:tc>
          <w:tcPr>
            <w:tcW w:type="dxa" w:w="3096"/>
            <w:shd w:val="clear" w:color="auto" w:fill="EAF0EE"/>
          </w:tcPr>
          <w:p>
            <w:pPr>
              <w:spacing w:after="20"/>
            </w:pPr>
            <w:r>
              <w:rPr>
                <w:b/>
                <w:color w:val="1C3A36"/>
                <w:sz w:val="17"/>
              </w:rPr>
              <w:t>SAR mn</w:t>
            </w:r>
          </w:p>
        </w:tc>
        <w:tc>
          <w:tcPr>
            <w:tcW w:type="dxa" w:w="1411"/>
            <w:shd w:val="clear" w:color="auto" w:fill="EAF0EE"/>
          </w:tcPr>
          <w:p>
            <w:pPr>
              <w:spacing w:after="20"/>
            </w:pPr>
            <w:r>
              <w:rPr>
                <w:b/>
                <w:color w:val="1C3A36"/>
                <w:sz w:val="17"/>
              </w:rPr>
              <w:t>FY26E</w:t>
            </w:r>
          </w:p>
        </w:tc>
        <w:tc>
          <w:tcPr>
            <w:tcW w:type="dxa" w:w="1411"/>
            <w:shd w:val="clear" w:color="auto" w:fill="EAF0EE"/>
          </w:tcPr>
          <w:p>
            <w:pPr>
              <w:spacing w:after="20"/>
            </w:pPr>
            <w:r>
              <w:rPr>
                <w:b/>
                <w:color w:val="1C3A36"/>
                <w:sz w:val="17"/>
              </w:rPr>
              <w:t>FY27E</w:t>
            </w:r>
          </w:p>
        </w:tc>
        <w:tc>
          <w:tcPr>
            <w:tcW w:type="dxa" w:w="1411"/>
            <w:shd w:val="clear" w:color="auto" w:fill="EAF0EE"/>
          </w:tcPr>
          <w:p>
            <w:pPr>
              <w:spacing w:after="20"/>
            </w:pPr>
            <w:r>
              <w:rPr>
                <w:b/>
                <w:color w:val="1C3A36"/>
                <w:sz w:val="17"/>
              </w:rPr>
              <w:t>FY28E</w:t>
            </w:r>
          </w:p>
        </w:tc>
        <w:tc>
          <w:tcPr>
            <w:tcW w:type="dxa" w:w="1411"/>
            <w:shd w:val="clear" w:color="auto" w:fill="EAF0EE"/>
          </w:tcPr>
          <w:p>
            <w:pPr>
              <w:spacing w:after="20"/>
            </w:pPr>
            <w:r>
              <w:rPr>
                <w:b/>
                <w:color w:val="1C3A36"/>
                <w:sz w:val="17"/>
              </w:rPr>
              <w:t>FY29E</w:t>
            </w:r>
          </w:p>
        </w:tc>
        <w:tc>
          <w:tcPr>
            <w:tcW w:type="dxa" w:w="1411"/>
            <w:shd w:val="clear" w:color="auto" w:fill="EAF0EE"/>
          </w:tcPr>
          <w:p>
            <w:pPr>
              <w:spacing w:after="20"/>
            </w:pPr>
            <w:r>
              <w:rPr>
                <w:b/>
                <w:color w:val="1C3A36"/>
                <w:sz w:val="17"/>
              </w:rPr>
              <w:t>FY30E</w:t>
            </w:r>
          </w:p>
        </w:tc>
      </w:tr>
      <w:tr>
        <w:tc>
          <w:tcPr>
            <w:tcW w:type="dxa" w:w="3096"/>
          </w:tcPr>
          <w:p>
            <w:pPr>
              <w:spacing w:after="20"/>
            </w:pPr>
            <w:r>
              <w:rPr>
                <w:color w:val="1C3A36"/>
                <w:sz w:val="17"/>
              </w:rPr>
              <w:t>Revenue</w:t>
            </w:r>
          </w:p>
        </w:tc>
        <w:tc>
          <w:tcPr>
            <w:tcW w:type="dxa" w:w="1411"/>
          </w:tcPr>
          <w:p>
            <w:pPr>
              <w:spacing w:after="20"/>
              <w:jc w:val="right"/>
            </w:pPr>
            <w:r>
              <w:rPr>
                <w:color w:val="1C3A36"/>
                <w:sz w:val="17"/>
              </w:rPr>
              <w:t>11,499</w:t>
            </w:r>
          </w:p>
        </w:tc>
        <w:tc>
          <w:tcPr>
            <w:tcW w:type="dxa" w:w="1411"/>
          </w:tcPr>
          <w:p>
            <w:pPr>
              <w:spacing w:after="20"/>
              <w:jc w:val="right"/>
            </w:pPr>
            <w:r>
              <w:rPr>
                <w:color w:val="1C3A36"/>
                <w:sz w:val="17"/>
              </w:rPr>
              <w:t>12,392</w:t>
            </w:r>
          </w:p>
        </w:tc>
        <w:tc>
          <w:tcPr>
            <w:tcW w:type="dxa" w:w="1411"/>
          </w:tcPr>
          <w:p>
            <w:pPr>
              <w:spacing w:after="20"/>
              <w:jc w:val="right"/>
            </w:pPr>
            <w:r>
              <w:rPr>
                <w:color w:val="1C3A36"/>
                <w:sz w:val="17"/>
              </w:rPr>
              <w:t>13,340</w:t>
            </w:r>
          </w:p>
        </w:tc>
        <w:tc>
          <w:tcPr>
            <w:tcW w:type="dxa" w:w="1411"/>
          </w:tcPr>
          <w:p>
            <w:pPr>
              <w:spacing w:after="20"/>
              <w:jc w:val="right"/>
            </w:pPr>
            <w:r>
              <w:rPr>
                <w:color w:val="1C3A36"/>
                <w:sz w:val="17"/>
              </w:rPr>
              <w:t>14,235</w:t>
            </w:r>
          </w:p>
        </w:tc>
        <w:tc>
          <w:tcPr>
            <w:tcW w:type="dxa" w:w="1411"/>
          </w:tcPr>
          <w:p>
            <w:pPr>
              <w:spacing w:after="20"/>
              <w:jc w:val="right"/>
            </w:pPr>
            <w:r>
              <w:rPr>
                <w:color w:val="1C3A36"/>
                <w:sz w:val="17"/>
              </w:rPr>
              <w:t>15,111</w:t>
            </w:r>
          </w:p>
        </w:tc>
      </w:tr>
      <w:tr>
        <w:tc>
          <w:tcPr>
            <w:tcW w:type="dxa" w:w="3096"/>
          </w:tcPr>
          <w:p>
            <w:pPr>
              <w:spacing w:after="20"/>
            </w:pPr>
            <w:r>
              <w:rPr>
                <w:color w:val="1C3A36"/>
                <w:sz w:val="17"/>
              </w:rPr>
              <w:t>EBITDA</w:t>
            </w:r>
          </w:p>
        </w:tc>
        <w:tc>
          <w:tcPr>
            <w:tcW w:type="dxa" w:w="1411"/>
          </w:tcPr>
          <w:p>
            <w:pPr>
              <w:spacing w:after="20"/>
              <w:jc w:val="right"/>
            </w:pPr>
            <w:r>
              <w:rPr>
                <w:color w:val="1C3A36"/>
                <w:sz w:val="17"/>
              </w:rPr>
              <w:t>1,354</w:t>
            </w:r>
          </w:p>
        </w:tc>
        <w:tc>
          <w:tcPr>
            <w:tcW w:type="dxa" w:w="1411"/>
          </w:tcPr>
          <w:p>
            <w:pPr>
              <w:spacing w:after="20"/>
              <w:jc w:val="right"/>
            </w:pPr>
            <w:r>
              <w:rPr>
                <w:color w:val="1C3A36"/>
                <w:sz w:val="17"/>
              </w:rPr>
              <w:t>1,471</w:t>
            </w:r>
          </w:p>
        </w:tc>
        <w:tc>
          <w:tcPr>
            <w:tcW w:type="dxa" w:w="1411"/>
          </w:tcPr>
          <w:p>
            <w:pPr>
              <w:spacing w:after="20"/>
              <w:jc w:val="right"/>
            </w:pPr>
            <w:r>
              <w:rPr>
                <w:color w:val="1C3A36"/>
                <w:sz w:val="17"/>
              </w:rPr>
              <w:t>1,589</w:t>
            </w:r>
          </w:p>
        </w:tc>
        <w:tc>
          <w:tcPr>
            <w:tcW w:type="dxa" w:w="1411"/>
          </w:tcPr>
          <w:p>
            <w:pPr>
              <w:spacing w:after="20"/>
              <w:jc w:val="right"/>
            </w:pPr>
            <w:r>
              <w:rPr>
                <w:color w:val="1C3A36"/>
                <w:sz w:val="17"/>
              </w:rPr>
              <w:t>1,710</w:t>
            </w:r>
          </w:p>
        </w:tc>
        <w:tc>
          <w:tcPr>
            <w:tcW w:type="dxa" w:w="1411"/>
          </w:tcPr>
          <w:p>
            <w:pPr>
              <w:spacing w:after="20"/>
              <w:jc w:val="right"/>
            </w:pPr>
            <w:r>
              <w:rPr>
                <w:color w:val="1C3A36"/>
                <w:sz w:val="17"/>
              </w:rPr>
              <w:t>1,814</w:t>
            </w:r>
          </w:p>
        </w:tc>
      </w:tr>
      <w:tr>
        <w:tc>
          <w:tcPr>
            <w:tcW w:type="dxa" w:w="3096"/>
          </w:tcPr>
          <w:p>
            <w:pPr>
              <w:spacing w:after="20"/>
            </w:pPr>
            <w:r>
              <w:rPr>
                <w:color w:val="1C3A36"/>
                <w:sz w:val="17"/>
              </w:rPr>
              <w:t xml:space="preserve">  EBITDA margin</w:t>
            </w:r>
          </w:p>
        </w:tc>
        <w:tc>
          <w:tcPr>
            <w:tcW w:type="dxa" w:w="1411"/>
          </w:tcPr>
          <w:p>
            <w:pPr>
              <w:spacing w:after="20"/>
              <w:jc w:val="right"/>
            </w:pPr>
            <w:r>
              <w:rPr>
                <w:color w:val="1C3A36"/>
                <w:sz w:val="17"/>
              </w:rPr>
              <w:t>11.8%</w:t>
            </w:r>
          </w:p>
        </w:tc>
        <w:tc>
          <w:tcPr>
            <w:tcW w:type="dxa" w:w="1411"/>
          </w:tcPr>
          <w:p>
            <w:pPr>
              <w:spacing w:after="20"/>
              <w:jc w:val="right"/>
            </w:pPr>
            <w:r>
              <w:rPr>
                <w:color w:val="1C3A36"/>
                <w:sz w:val="17"/>
              </w:rPr>
              <w:t>11.9%</w:t>
            </w:r>
          </w:p>
        </w:tc>
        <w:tc>
          <w:tcPr>
            <w:tcW w:type="dxa" w:w="1411"/>
          </w:tcPr>
          <w:p>
            <w:pPr>
              <w:spacing w:after="20"/>
              <w:jc w:val="right"/>
            </w:pPr>
            <w:r>
              <w:rPr>
                <w:color w:val="1C3A36"/>
                <w:sz w:val="17"/>
              </w:rPr>
              <w:t>11.9%</w:t>
            </w:r>
          </w:p>
        </w:tc>
        <w:tc>
          <w:tcPr>
            <w:tcW w:type="dxa" w:w="1411"/>
          </w:tcPr>
          <w:p>
            <w:pPr>
              <w:spacing w:after="20"/>
              <w:jc w:val="right"/>
            </w:pPr>
            <w:r>
              <w:rPr>
                <w:color w:val="1C3A36"/>
                <w:sz w:val="17"/>
              </w:rPr>
              <w:t>12.0%</w:t>
            </w:r>
          </w:p>
        </w:tc>
        <w:tc>
          <w:tcPr>
            <w:tcW w:type="dxa" w:w="1411"/>
          </w:tcPr>
          <w:p>
            <w:pPr>
              <w:spacing w:after="20"/>
              <w:jc w:val="right"/>
            </w:pPr>
            <w:r>
              <w:rPr>
                <w:color w:val="1C3A36"/>
                <w:sz w:val="17"/>
              </w:rPr>
              <w:t>12.0%</w:t>
            </w:r>
          </w:p>
        </w:tc>
      </w:tr>
      <w:tr>
        <w:tc>
          <w:tcPr>
            <w:tcW w:type="dxa" w:w="3096"/>
          </w:tcPr>
          <w:p>
            <w:pPr>
              <w:spacing w:after="20"/>
            </w:pPr>
            <w:r>
              <w:rPr>
                <w:color w:val="1C3A36"/>
                <w:sz w:val="17"/>
              </w:rPr>
              <w:t>Depreciation &amp; amortisation</w:t>
            </w:r>
          </w:p>
        </w:tc>
        <w:tc>
          <w:tcPr>
            <w:tcW w:type="dxa" w:w="1411"/>
          </w:tcPr>
          <w:p>
            <w:pPr>
              <w:spacing w:after="20"/>
              <w:jc w:val="right"/>
            </w:pPr>
            <w:r>
              <w:rPr>
                <w:color w:val="1C3A36"/>
                <w:sz w:val="17"/>
              </w:rPr>
              <w:t>98</w:t>
            </w:r>
          </w:p>
        </w:tc>
        <w:tc>
          <w:tcPr>
            <w:tcW w:type="dxa" w:w="1411"/>
          </w:tcPr>
          <w:p>
            <w:pPr>
              <w:spacing w:after="20"/>
              <w:jc w:val="right"/>
            </w:pPr>
            <w:r>
              <w:rPr>
                <w:color w:val="1C3A36"/>
                <w:sz w:val="17"/>
              </w:rPr>
              <w:t>105</w:t>
            </w:r>
          </w:p>
        </w:tc>
        <w:tc>
          <w:tcPr>
            <w:tcW w:type="dxa" w:w="1411"/>
          </w:tcPr>
          <w:p>
            <w:pPr>
              <w:spacing w:after="20"/>
              <w:jc w:val="right"/>
            </w:pPr>
            <w:r>
              <w:rPr>
                <w:color w:val="1C3A36"/>
                <w:sz w:val="17"/>
              </w:rPr>
              <w:t>113</w:t>
            </w:r>
          </w:p>
        </w:tc>
        <w:tc>
          <w:tcPr>
            <w:tcW w:type="dxa" w:w="1411"/>
          </w:tcPr>
          <w:p>
            <w:pPr>
              <w:spacing w:after="20"/>
              <w:jc w:val="right"/>
            </w:pPr>
            <w:r>
              <w:rPr>
                <w:color w:val="1C3A36"/>
                <w:sz w:val="17"/>
              </w:rPr>
              <w:t>121</w:t>
            </w:r>
          </w:p>
        </w:tc>
        <w:tc>
          <w:tcPr>
            <w:tcW w:type="dxa" w:w="1411"/>
          </w:tcPr>
          <w:p>
            <w:pPr>
              <w:spacing w:after="20"/>
              <w:jc w:val="right"/>
            </w:pPr>
            <w:r>
              <w:rPr>
                <w:color w:val="1C3A36"/>
                <w:sz w:val="17"/>
              </w:rPr>
              <w:t>128</w:t>
            </w:r>
          </w:p>
        </w:tc>
      </w:tr>
      <w:tr>
        <w:tc>
          <w:tcPr>
            <w:tcW w:type="dxa" w:w="3096"/>
          </w:tcPr>
          <w:p>
            <w:pPr>
              <w:spacing w:after="20"/>
            </w:pPr>
            <w:r>
              <w:rPr>
                <w:color w:val="1C3A36"/>
                <w:sz w:val="17"/>
              </w:rPr>
              <w:t>EBIT</w:t>
            </w:r>
          </w:p>
        </w:tc>
        <w:tc>
          <w:tcPr>
            <w:tcW w:type="dxa" w:w="1411"/>
          </w:tcPr>
          <w:p>
            <w:pPr>
              <w:spacing w:after="20"/>
              <w:jc w:val="right"/>
            </w:pPr>
            <w:r>
              <w:rPr>
                <w:color w:val="1C3A36"/>
                <w:sz w:val="17"/>
              </w:rPr>
              <w:t>1,256</w:t>
            </w:r>
          </w:p>
        </w:tc>
        <w:tc>
          <w:tcPr>
            <w:tcW w:type="dxa" w:w="1411"/>
          </w:tcPr>
          <w:p>
            <w:pPr>
              <w:spacing w:after="20"/>
              <w:jc w:val="right"/>
            </w:pPr>
            <w:r>
              <w:rPr>
                <w:color w:val="1C3A36"/>
                <w:sz w:val="17"/>
              </w:rPr>
              <w:t>1,365</w:t>
            </w:r>
          </w:p>
        </w:tc>
        <w:tc>
          <w:tcPr>
            <w:tcW w:type="dxa" w:w="1411"/>
          </w:tcPr>
          <w:p>
            <w:pPr>
              <w:spacing w:after="20"/>
              <w:jc w:val="right"/>
            </w:pPr>
            <w:r>
              <w:rPr>
                <w:color w:val="1C3A36"/>
                <w:sz w:val="17"/>
              </w:rPr>
              <w:t>1,476</w:t>
            </w:r>
          </w:p>
        </w:tc>
        <w:tc>
          <w:tcPr>
            <w:tcW w:type="dxa" w:w="1411"/>
          </w:tcPr>
          <w:p>
            <w:pPr>
              <w:spacing w:after="20"/>
              <w:jc w:val="right"/>
            </w:pPr>
            <w:r>
              <w:rPr>
                <w:color w:val="1C3A36"/>
                <w:sz w:val="17"/>
              </w:rPr>
              <w:t>1,589</w:t>
            </w:r>
          </w:p>
        </w:tc>
        <w:tc>
          <w:tcPr>
            <w:tcW w:type="dxa" w:w="1411"/>
          </w:tcPr>
          <w:p>
            <w:pPr>
              <w:spacing w:after="20"/>
              <w:jc w:val="right"/>
            </w:pPr>
            <w:r>
              <w:rPr>
                <w:color w:val="1C3A36"/>
                <w:sz w:val="17"/>
              </w:rPr>
              <w:t>1,686</w:t>
            </w:r>
          </w:p>
        </w:tc>
      </w:tr>
      <w:tr>
        <w:tc>
          <w:tcPr>
            <w:tcW w:type="dxa" w:w="3096"/>
          </w:tcPr>
          <w:p>
            <w:pPr>
              <w:spacing w:after="20"/>
            </w:pPr>
            <w:r>
              <w:rPr>
                <w:color w:val="1C3A36"/>
                <w:sz w:val="17"/>
              </w:rPr>
              <w:t>NOPAT (EBIT×(1−t))</w:t>
            </w:r>
          </w:p>
        </w:tc>
        <w:tc>
          <w:tcPr>
            <w:tcW w:type="dxa" w:w="1411"/>
          </w:tcPr>
          <w:p>
            <w:pPr>
              <w:spacing w:after="20"/>
              <w:jc w:val="right"/>
            </w:pPr>
            <w:r>
              <w:rPr>
                <w:color w:val="1C3A36"/>
                <w:sz w:val="17"/>
              </w:rPr>
              <w:t>1,137</w:t>
            </w:r>
          </w:p>
        </w:tc>
        <w:tc>
          <w:tcPr>
            <w:tcW w:type="dxa" w:w="1411"/>
          </w:tcPr>
          <w:p>
            <w:pPr>
              <w:spacing w:after="20"/>
              <w:jc w:val="right"/>
            </w:pPr>
            <w:r>
              <w:rPr>
                <w:color w:val="1C3A36"/>
                <w:sz w:val="17"/>
              </w:rPr>
              <w:t>1,236</w:t>
            </w:r>
          </w:p>
        </w:tc>
        <w:tc>
          <w:tcPr>
            <w:tcW w:type="dxa" w:w="1411"/>
          </w:tcPr>
          <w:p>
            <w:pPr>
              <w:spacing w:after="20"/>
              <w:jc w:val="right"/>
            </w:pPr>
            <w:r>
              <w:rPr>
                <w:color w:val="1C3A36"/>
                <w:sz w:val="17"/>
              </w:rPr>
              <w:t>1,336</w:t>
            </w:r>
          </w:p>
        </w:tc>
        <w:tc>
          <w:tcPr>
            <w:tcW w:type="dxa" w:w="1411"/>
          </w:tcPr>
          <w:p>
            <w:pPr>
              <w:spacing w:after="20"/>
              <w:jc w:val="right"/>
            </w:pPr>
            <w:r>
              <w:rPr>
                <w:color w:val="1C3A36"/>
                <w:sz w:val="17"/>
              </w:rPr>
              <w:t>1,438</w:t>
            </w:r>
          </w:p>
        </w:tc>
        <w:tc>
          <w:tcPr>
            <w:tcW w:type="dxa" w:w="1411"/>
          </w:tcPr>
          <w:p>
            <w:pPr>
              <w:spacing w:after="20"/>
              <w:jc w:val="right"/>
            </w:pPr>
            <w:r>
              <w:rPr>
                <w:color w:val="1C3A36"/>
                <w:sz w:val="17"/>
              </w:rPr>
              <w:t>1,526</w:t>
            </w:r>
          </w:p>
        </w:tc>
      </w:tr>
      <w:tr>
        <w:tc>
          <w:tcPr>
            <w:tcW w:type="dxa" w:w="3096"/>
          </w:tcPr>
          <w:p>
            <w:pPr>
              <w:spacing w:after="20"/>
            </w:pPr>
            <w:r>
              <w:rPr>
                <w:color w:val="1C3A36"/>
                <w:sz w:val="17"/>
              </w:rPr>
              <w:t xml:space="preserve">  + Depreciation &amp; amortisation</w:t>
            </w:r>
          </w:p>
        </w:tc>
        <w:tc>
          <w:tcPr>
            <w:tcW w:type="dxa" w:w="1411"/>
          </w:tcPr>
          <w:p>
            <w:pPr>
              <w:spacing w:after="20"/>
              <w:jc w:val="right"/>
            </w:pPr>
            <w:r>
              <w:rPr>
                <w:color w:val="1C3A36"/>
                <w:sz w:val="17"/>
              </w:rPr>
              <w:t>98</w:t>
            </w:r>
          </w:p>
        </w:tc>
        <w:tc>
          <w:tcPr>
            <w:tcW w:type="dxa" w:w="1411"/>
          </w:tcPr>
          <w:p>
            <w:pPr>
              <w:spacing w:after="20"/>
              <w:jc w:val="right"/>
            </w:pPr>
            <w:r>
              <w:rPr>
                <w:color w:val="1C3A36"/>
                <w:sz w:val="17"/>
              </w:rPr>
              <w:t>105</w:t>
            </w:r>
          </w:p>
        </w:tc>
        <w:tc>
          <w:tcPr>
            <w:tcW w:type="dxa" w:w="1411"/>
          </w:tcPr>
          <w:p>
            <w:pPr>
              <w:spacing w:after="20"/>
              <w:jc w:val="right"/>
            </w:pPr>
            <w:r>
              <w:rPr>
                <w:color w:val="1C3A36"/>
                <w:sz w:val="17"/>
              </w:rPr>
              <w:t>113</w:t>
            </w:r>
          </w:p>
        </w:tc>
        <w:tc>
          <w:tcPr>
            <w:tcW w:type="dxa" w:w="1411"/>
          </w:tcPr>
          <w:p>
            <w:pPr>
              <w:spacing w:after="20"/>
              <w:jc w:val="right"/>
            </w:pPr>
            <w:r>
              <w:rPr>
                <w:color w:val="1C3A36"/>
                <w:sz w:val="17"/>
              </w:rPr>
              <w:t>121</w:t>
            </w:r>
          </w:p>
        </w:tc>
        <w:tc>
          <w:tcPr>
            <w:tcW w:type="dxa" w:w="1411"/>
          </w:tcPr>
          <w:p>
            <w:pPr>
              <w:spacing w:after="20"/>
              <w:jc w:val="right"/>
            </w:pPr>
            <w:r>
              <w:rPr>
                <w:color w:val="1C3A36"/>
                <w:sz w:val="17"/>
              </w:rPr>
              <w:t>128</w:t>
            </w:r>
          </w:p>
        </w:tc>
      </w:tr>
      <w:tr>
        <w:tc>
          <w:tcPr>
            <w:tcW w:type="dxa" w:w="3096"/>
          </w:tcPr>
          <w:p>
            <w:pPr>
              <w:spacing w:after="20"/>
            </w:pPr>
            <w:r>
              <w:rPr>
                <w:color w:val="1C3A36"/>
                <w:sz w:val="17"/>
              </w:rPr>
              <w:t xml:space="preserve">  − Capital expenditure</w:t>
            </w:r>
          </w:p>
        </w:tc>
        <w:tc>
          <w:tcPr>
            <w:tcW w:type="dxa" w:w="1411"/>
          </w:tcPr>
          <w:p>
            <w:pPr>
              <w:spacing w:after="20"/>
              <w:jc w:val="right"/>
            </w:pPr>
            <w:r>
              <w:rPr>
                <w:color w:val="1C3A36"/>
                <w:sz w:val="17"/>
              </w:rPr>
              <w:t>218</w:t>
            </w:r>
          </w:p>
        </w:tc>
        <w:tc>
          <w:tcPr>
            <w:tcW w:type="dxa" w:w="1411"/>
          </w:tcPr>
          <w:p>
            <w:pPr>
              <w:spacing w:after="20"/>
              <w:jc w:val="right"/>
            </w:pPr>
            <w:r>
              <w:rPr>
                <w:color w:val="1C3A36"/>
                <w:sz w:val="17"/>
              </w:rPr>
              <w:t>223</w:t>
            </w:r>
          </w:p>
        </w:tc>
        <w:tc>
          <w:tcPr>
            <w:tcW w:type="dxa" w:w="1411"/>
          </w:tcPr>
          <w:p>
            <w:pPr>
              <w:spacing w:after="20"/>
              <w:jc w:val="right"/>
            </w:pPr>
            <w:r>
              <w:rPr>
                <w:color w:val="1C3A36"/>
                <w:sz w:val="17"/>
              </w:rPr>
              <w:t>227</w:t>
            </w:r>
          </w:p>
        </w:tc>
        <w:tc>
          <w:tcPr>
            <w:tcW w:type="dxa" w:w="1411"/>
          </w:tcPr>
          <w:p>
            <w:pPr>
              <w:spacing w:after="20"/>
              <w:jc w:val="right"/>
            </w:pPr>
            <w:r>
              <w:rPr>
                <w:color w:val="1C3A36"/>
                <w:sz w:val="17"/>
              </w:rPr>
              <w:t>228</w:t>
            </w:r>
          </w:p>
        </w:tc>
        <w:tc>
          <w:tcPr>
            <w:tcW w:type="dxa" w:w="1411"/>
          </w:tcPr>
          <w:p>
            <w:pPr>
              <w:spacing w:after="20"/>
              <w:jc w:val="right"/>
            </w:pPr>
            <w:r>
              <w:rPr>
                <w:color w:val="1C3A36"/>
                <w:sz w:val="17"/>
              </w:rPr>
              <w:t>242</w:t>
            </w:r>
          </w:p>
        </w:tc>
      </w:tr>
      <w:tr>
        <w:tc>
          <w:tcPr>
            <w:tcW w:type="dxa" w:w="3096"/>
          </w:tcPr>
          <w:p>
            <w:pPr>
              <w:spacing w:after="20"/>
            </w:pPr>
            <w:r>
              <w:rPr>
                <w:color w:val="1C3A36"/>
                <w:sz w:val="17"/>
              </w:rPr>
              <w:t xml:space="preserve">  − Change in working capital</w:t>
            </w:r>
          </w:p>
        </w:tc>
        <w:tc>
          <w:tcPr>
            <w:tcW w:type="dxa" w:w="1411"/>
          </w:tcPr>
          <w:p>
            <w:pPr>
              <w:spacing w:after="20"/>
              <w:jc w:val="right"/>
            </w:pPr>
            <w:r>
              <w:rPr>
                <w:color w:val="1C3A36"/>
                <w:sz w:val="17"/>
              </w:rPr>
              <w:t>286</w:t>
            </w:r>
          </w:p>
        </w:tc>
        <w:tc>
          <w:tcPr>
            <w:tcW w:type="dxa" w:w="1411"/>
          </w:tcPr>
          <w:p>
            <w:pPr>
              <w:spacing w:after="20"/>
              <w:jc w:val="right"/>
            </w:pPr>
            <w:r>
              <w:rPr>
                <w:color w:val="1C3A36"/>
                <w:sz w:val="17"/>
              </w:rPr>
              <w:t>250</w:t>
            </w:r>
          </w:p>
        </w:tc>
        <w:tc>
          <w:tcPr>
            <w:tcW w:type="dxa" w:w="1411"/>
          </w:tcPr>
          <w:p>
            <w:pPr>
              <w:spacing w:after="20"/>
              <w:jc w:val="right"/>
            </w:pPr>
            <w:r>
              <w:rPr>
                <w:color w:val="1C3A36"/>
                <w:sz w:val="17"/>
              </w:rPr>
              <w:t>266</w:t>
            </w:r>
          </w:p>
        </w:tc>
        <w:tc>
          <w:tcPr>
            <w:tcW w:type="dxa" w:w="1411"/>
          </w:tcPr>
          <w:p>
            <w:pPr>
              <w:spacing w:after="20"/>
              <w:jc w:val="right"/>
            </w:pPr>
            <w:r>
              <w:rPr>
                <w:color w:val="1C3A36"/>
                <w:sz w:val="17"/>
              </w:rPr>
              <w:t>251</w:t>
            </w:r>
          </w:p>
        </w:tc>
        <w:tc>
          <w:tcPr>
            <w:tcW w:type="dxa" w:w="1411"/>
          </w:tcPr>
          <w:p>
            <w:pPr>
              <w:spacing w:after="20"/>
              <w:jc w:val="right"/>
            </w:pPr>
            <w:r>
              <w:rPr>
                <w:color w:val="1C3A36"/>
                <w:sz w:val="17"/>
              </w:rPr>
              <w:t>245</w:t>
            </w:r>
          </w:p>
        </w:tc>
      </w:tr>
      <w:tr>
        <w:tc>
          <w:tcPr>
            <w:tcW w:type="dxa" w:w="3096"/>
          </w:tcPr>
          <w:p>
            <w:pPr>
              <w:spacing w:after="20"/>
            </w:pPr>
            <w:r>
              <w:rPr>
                <w:color w:val="1C3A36"/>
                <w:sz w:val="17"/>
              </w:rPr>
              <w:t>Free cash flow to firm</w:t>
            </w:r>
          </w:p>
        </w:tc>
        <w:tc>
          <w:tcPr>
            <w:tcW w:type="dxa" w:w="1411"/>
          </w:tcPr>
          <w:p>
            <w:pPr>
              <w:spacing w:after="20"/>
              <w:jc w:val="right"/>
            </w:pPr>
            <w:r>
              <w:rPr>
                <w:color w:val="1C3A36"/>
                <w:sz w:val="17"/>
              </w:rPr>
              <w:t>730</w:t>
            </w:r>
          </w:p>
        </w:tc>
        <w:tc>
          <w:tcPr>
            <w:tcW w:type="dxa" w:w="1411"/>
          </w:tcPr>
          <w:p>
            <w:pPr>
              <w:spacing w:after="20"/>
              <w:jc w:val="right"/>
            </w:pPr>
            <w:r>
              <w:rPr>
                <w:color w:val="1C3A36"/>
                <w:sz w:val="17"/>
              </w:rPr>
              <w:t>868</w:t>
            </w:r>
          </w:p>
        </w:tc>
        <w:tc>
          <w:tcPr>
            <w:tcW w:type="dxa" w:w="1411"/>
          </w:tcPr>
          <w:p>
            <w:pPr>
              <w:spacing w:after="20"/>
              <w:jc w:val="right"/>
            </w:pPr>
            <w:r>
              <w:rPr>
                <w:color w:val="1C3A36"/>
                <w:sz w:val="17"/>
              </w:rPr>
              <w:t>957</w:t>
            </w:r>
          </w:p>
        </w:tc>
        <w:tc>
          <w:tcPr>
            <w:tcW w:type="dxa" w:w="1411"/>
          </w:tcPr>
          <w:p>
            <w:pPr>
              <w:spacing w:after="20"/>
              <w:jc w:val="right"/>
            </w:pPr>
            <w:r>
              <w:rPr>
                <w:color w:val="1C3A36"/>
                <w:sz w:val="17"/>
              </w:rPr>
              <w:t>1,080</w:t>
            </w:r>
          </w:p>
        </w:tc>
        <w:tc>
          <w:tcPr>
            <w:tcW w:type="dxa" w:w="1411"/>
          </w:tcPr>
          <w:p>
            <w:pPr>
              <w:spacing w:after="20"/>
              <w:jc w:val="right"/>
            </w:pPr>
            <w:r>
              <w:rPr>
                <w:color w:val="1C3A36"/>
                <w:sz w:val="17"/>
              </w:rPr>
              <w:t>1,167</w:t>
            </w:r>
          </w:p>
        </w:tc>
      </w:tr>
      <w:tr>
        <w:tc>
          <w:tcPr>
            <w:tcW w:type="dxa" w:w="3096"/>
          </w:tcPr>
          <w:p>
            <w:pPr>
              <w:spacing w:after="20"/>
            </w:pPr>
            <w:r>
              <w:rPr>
                <w:color w:val="1C3A36"/>
                <w:sz w:val="17"/>
              </w:rPr>
              <w:t>Discount factor</w:t>
            </w:r>
          </w:p>
        </w:tc>
        <w:tc>
          <w:tcPr>
            <w:tcW w:type="dxa" w:w="1411"/>
          </w:tcPr>
          <w:p>
            <w:pPr>
              <w:spacing w:after="20"/>
              <w:jc w:val="right"/>
            </w:pPr>
            <w:r>
              <w:rPr>
                <w:color w:val="1C3A36"/>
                <w:sz w:val="17"/>
              </w:rPr>
              <w:t>0.9052</w:t>
            </w:r>
          </w:p>
        </w:tc>
        <w:tc>
          <w:tcPr>
            <w:tcW w:type="dxa" w:w="1411"/>
          </w:tcPr>
          <w:p>
            <w:pPr>
              <w:spacing w:after="20"/>
              <w:jc w:val="right"/>
            </w:pPr>
            <w:r>
              <w:rPr>
                <w:color w:val="1C3A36"/>
                <w:sz w:val="17"/>
              </w:rPr>
              <w:t>0.8212</w:t>
            </w:r>
          </w:p>
        </w:tc>
        <w:tc>
          <w:tcPr>
            <w:tcW w:type="dxa" w:w="1411"/>
          </w:tcPr>
          <w:p>
            <w:pPr>
              <w:spacing w:after="20"/>
              <w:jc w:val="right"/>
            </w:pPr>
            <w:r>
              <w:rPr>
                <w:color w:val="1C3A36"/>
                <w:sz w:val="17"/>
              </w:rPr>
              <w:t>0.7467</w:t>
            </w:r>
          </w:p>
        </w:tc>
        <w:tc>
          <w:tcPr>
            <w:tcW w:type="dxa" w:w="1411"/>
          </w:tcPr>
          <w:p>
            <w:pPr>
              <w:spacing w:after="20"/>
              <w:jc w:val="right"/>
            </w:pPr>
            <w:r>
              <w:rPr>
                <w:color w:val="1C3A36"/>
                <w:sz w:val="17"/>
              </w:rPr>
              <w:t>0.6805</w:t>
            </w:r>
          </w:p>
        </w:tc>
        <w:tc>
          <w:tcPr>
            <w:tcW w:type="dxa" w:w="1411"/>
          </w:tcPr>
          <w:p>
            <w:pPr>
              <w:spacing w:after="20"/>
              <w:jc w:val="right"/>
            </w:pPr>
            <w:r>
              <w:rPr>
                <w:color w:val="1C3A36"/>
                <w:sz w:val="17"/>
              </w:rPr>
              <w:t>0.6216</w:t>
            </w:r>
          </w:p>
        </w:tc>
      </w:tr>
      <w:tr>
        <w:tc>
          <w:tcPr>
            <w:tcW w:type="dxa" w:w="3096"/>
          </w:tcPr>
          <w:p>
            <w:pPr>
              <w:spacing w:after="20"/>
            </w:pPr>
            <w:r>
              <w:rPr>
                <w:color w:val="1C3A36"/>
                <w:sz w:val="17"/>
              </w:rPr>
              <w:t>PV of FCFF</w:t>
            </w:r>
          </w:p>
        </w:tc>
        <w:tc>
          <w:tcPr>
            <w:tcW w:type="dxa" w:w="1411"/>
          </w:tcPr>
          <w:p>
            <w:pPr>
              <w:spacing w:after="20"/>
              <w:jc w:val="right"/>
            </w:pPr>
            <w:r>
              <w:rPr>
                <w:color w:val="1C3A36"/>
                <w:sz w:val="17"/>
              </w:rPr>
              <w:t>660</w:t>
            </w:r>
          </w:p>
        </w:tc>
        <w:tc>
          <w:tcPr>
            <w:tcW w:type="dxa" w:w="1411"/>
          </w:tcPr>
          <w:p>
            <w:pPr>
              <w:spacing w:after="20"/>
              <w:jc w:val="right"/>
            </w:pPr>
            <w:r>
              <w:rPr>
                <w:color w:val="1C3A36"/>
                <w:sz w:val="17"/>
              </w:rPr>
              <w:t>713</w:t>
            </w:r>
          </w:p>
        </w:tc>
        <w:tc>
          <w:tcPr>
            <w:tcW w:type="dxa" w:w="1411"/>
          </w:tcPr>
          <w:p>
            <w:pPr>
              <w:spacing w:after="20"/>
              <w:jc w:val="right"/>
            </w:pPr>
            <w:r>
              <w:rPr>
                <w:color w:val="1C3A36"/>
                <w:sz w:val="17"/>
              </w:rPr>
              <w:t>714</w:t>
            </w:r>
          </w:p>
        </w:tc>
        <w:tc>
          <w:tcPr>
            <w:tcW w:type="dxa" w:w="1411"/>
          </w:tcPr>
          <w:p>
            <w:pPr>
              <w:spacing w:after="20"/>
              <w:jc w:val="right"/>
            </w:pPr>
            <w:r>
              <w:rPr>
                <w:color w:val="1C3A36"/>
                <w:sz w:val="17"/>
              </w:rPr>
              <w:t>735</w:t>
            </w:r>
          </w:p>
        </w:tc>
        <w:tc>
          <w:tcPr>
            <w:tcW w:type="dxa" w:w="1411"/>
          </w:tcPr>
          <w:p>
            <w:pPr>
              <w:spacing w:after="20"/>
              <w:jc w:val="right"/>
            </w:pPr>
            <w:r>
              <w:rPr>
                <w:color w:val="1C3A36"/>
                <w:sz w:val="17"/>
              </w:rPr>
              <w:t>726</w:t>
            </w:r>
          </w:p>
        </w:tc>
      </w:tr>
    </w:tbl>
    <w:p>
      <w:pPr>
        <w:spacing w:after="40"/>
      </w:pPr>
    </w:p>
    <w:p>
      <w:pPr>
        <w:spacing w:after="120" w:before="0"/>
      </w:pPr>
      <w:r>
        <w:rPr>
          <w:b w:val="0"/>
          <w:i w:val="0"/>
          <w:color w:val="1C3A36"/>
          <w:sz w:val="19"/>
        </w:rPr>
        <w:t xml:space="preserve">Sum of the present values of the five explicit years is SAR </w:t>
      </w:r>
      <w:r>
        <w:rPr>
          <w:b/>
          <w:i w:val="0"/>
          <w:color w:val="1C3A36"/>
          <w:sz w:val="19"/>
        </w:rPr>
        <w:t>3,548mn</w:t>
      </w:r>
      <w:r>
        <w:rPr>
          <w:b w:val="0"/>
          <w:i w:val="0"/>
          <w:color w:val="1C3A36"/>
          <w:sz w:val="19"/>
        </w:rPr>
        <w:t xml:space="preserve">; the present value of the terminal value is SAR </w:t>
      </w:r>
      <w:r>
        <w:rPr>
          <w:b/>
          <w:i w:val="0"/>
          <w:color w:val="1C3A36"/>
          <w:sz w:val="19"/>
        </w:rPr>
        <w:t>14,713mn</w:t>
      </w:r>
      <w:r>
        <w:rPr>
          <w:b w:val="0"/>
          <w:i w:val="0"/>
          <w:color w:val="1C3A36"/>
          <w:sz w:val="19"/>
        </w:rPr>
        <w:t xml:space="preserve"> (81% of enterprise value); together the enterprise value is SAR </w:t>
      </w:r>
      <w:r>
        <w:rPr>
          <w:b/>
          <w:i w:val="0"/>
          <w:color w:val="896F36"/>
          <w:sz w:val="19"/>
        </w:rPr>
        <w:t>18,261mn</w:t>
      </w:r>
      <w:r>
        <w:rPr>
          <w:b w:val="0"/>
          <w:i w:val="0"/>
          <w:color w:val="1C3A36"/>
          <w:sz w:val="19"/>
        </w:rPr>
        <w: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016"/>
      </w:tblGrid>
      <w:tr>
        <w:tc>
          <w:tcPr>
            <w:tcW w:type="dxa" w:w="6624"/>
            <w:shd w:val="clear" w:color="auto" w:fill="EAF0EE"/>
          </w:tcPr>
          <w:p>
            <w:pPr>
              <w:spacing w:after="20"/>
            </w:pPr>
            <w:r>
              <w:rPr>
                <w:b/>
                <w:color w:val="1C3A36"/>
                <w:sz w:val="18"/>
              </w:rPr>
              <w:t>Building the terminal (SAR mn, FY2030)</w:t>
            </w:r>
          </w:p>
        </w:tc>
        <w:tc>
          <w:tcPr>
            <w:tcW w:type="dxa" w:w="2016"/>
            <w:shd w:val="clear" w:color="auto" w:fill="EAF0EE"/>
          </w:tcPr>
          <w:p>
            <w:pPr>
              <w:spacing w:after="20"/>
            </w:pPr>
            <w:r>
              <w:rPr>
                <w:b/>
                <w:color w:val="1C3A36"/>
                <w:sz w:val="18"/>
              </w:rPr>
            </w:r>
          </w:p>
        </w:tc>
      </w:tr>
      <w:tr>
        <w:tc>
          <w:tcPr>
            <w:tcW w:type="dxa" w:w="6624"/>
          </w:tcPr>
          <w:p>
            <w:pPr>
              <w:spacing w:after="20"/>
            </w:pPr>
            <w:r>
              <w:rPr>
                <w:color w:val="1C3A36"/>
                <w:sz w:val="18"/>
              </w:rPr>
              <w:t>Operating profit after tax</w:t>
            </w:r>
          </w:p>
        </w:tc>
        <w:tc>
          <w:tcPr>
            <w:tcW w:type="dxa" w:w="2016"/>
          </w:tcPr>
          <w:p>
            <w:pPr>
              <w:spacing w:after="20"/>
              <w:jc w:val="right"/>
            </w:pPr>
            <w:r>
              <w:rPr>
                <w:color w:val="1C3A36"/>
                <w:sz w:val="18"/>
              </w:rPr>
              <w:t>1,526</w:t>
            </w:r>
          </w:p>
        </w:tc>
      </w:tr>
      <w:tr>
        <w:tc>
          <w:tcPr>
            <w:tcW w:type="dxa" w:w="6624"/>
          </w:tcPr>
          <w:p>
            <w:pPr>
              <w:spacing w:after="20"/>
            </w:pPr>
            <w:r>
              <w:rPr>
                <w:color w:val="1C3A36"/>
                <w:sz w:val="18"/>
              </w:rPr>
              <w:t>Plus depreciation and amortisation charged inside it</w:t>
            </w:r>
          </w:p>
        </w:tc>
        <w:tc>
          <w:tcPr>
            <w:tcW w:type="dxa" w:w="2016"/>
          </w:tcPr>
          <w:p>
            <w:pPr>
              <w:spacing w:after="20"/>
              <w:jc w:val="right"/>
            </w:pPr>
            <w:r>
              <w:rPr>
                <w:color w:val="1C3A36"/>
                <w:sz w:val="18"/>
              </w:rPr>
              <w:t>128</w:t>
            </w:r>
          </w:p>
        </w:tc>
      </w:tr>
      <w:tr>
        <w:tc>
          <w:tcPr>
            <w:tcW w:type="dxa" w:w="6624"/>
          </w:tcPr>
          <w:p>
            <w:pPr>
              <w:spacing w:after="20"/>
            </w:pPr>
            <w:r>
              <w:rPr>
                <w:color w:val="1C3A36"/>
                <w:sz w:val="18"/>
              </w:rPr>
              <w:t>Less capital maintenance, at what replacement costs today</w:t>
            </w:r>
          </w:p>
        </w:tc>
        <w:tc>
          <w:tcPr>
            <w:tcW w:type="dxa" w:w="2016"/>
          </w:tcPr>
          <w:p>
            <w:pPr>
              <w:spacing w:after="20"/>
              <w:jc w:val="right"/>
            </w:pPr>
            <w:r>
              <w:rPr>
                <w:color w:val="1C3A36"/>
                <w:sz w:val="18"/>
              </w:rPr>
              <w:t>-198</w:t>
            </w:r>
          </w:p>
        </w:tc>
      </w:tr>
      <w:tr>
        <w:tc>
          <w:tcPr>
            <w:tcW w:type="dxa" w:w="6624"/>
          </w:tcPr>
          <w:p>
            <w:pPr>
              <w:spacing w:after="20"/>
            </w:pPr>
            <w:r>
              <w:rPr>
                <w:color w:val="1C3A36"/>
                <w:sz w:val="18"/>
              </w:rPr>
              <w:t>Less the capital that real growth needs</w:t>
            </w:r>
          </w:p>
        </w:tc>
        <w:tc>
          <w:tcPr>
            <w:tcW w:type="dxa" w:w="2016"/>
          </w:tcPr>
          <w:p>
            <w:pPr>
              <w:spacing w:after="20"/>
              <w:jc w:val="right"/>
            </w:pPr>
            <w:r>
              <w:rPr>
                <w:color w:val="1C3A36"/>
                <w:sz w:val="18"/>
              </w:rPr>
              <w:t>-123</w:t>
            </w:r>
          </w:p>
        </w:tc>
      </w:tr>
      <w:tr>
        <w:tc>
          <w:tcPr>
            <w:tcW w:type="dxa" w:w="6624"/>
          </w:tcPr>
          <w:p>
            <w:pPr>
              <w:spacing w:after="20"/>
            </w:pPr>
            <w:r>
              <w:rPr>
                <w:color w:val="1C3A36"/>
                <w:sz w:val="18"/>
              </w:rPr>
              <w:t>Less inflation on working capital</w:t>
            </w:r>
          </w:p>
        </w:tc>
        <w:tc>
          <w:tcPr>
            <w:tcW w:type="dxa" w:w="2016"/>
          </w:tcPr>
          <w:p>
            <w:pPr>
              <w:spacing w:after="20"/>
              <w:jc w:val="right"/>
            </w:pPr>
            <w:r>
              <w:rPr>
                <w:color w:val="1C3A36"/>
                <w:sz w:val="18"/>
              </w:rPr>
              <w:t>-85</w:t>
            </w:r>
          </w:p>
        </w:tc>
      </w:tr>
      <w:tr>
        <w:tc>
          <w:tcPr>
            <w:tcW w:type="dxa" w:w="6624"/>
            <w:shd w:val="clear" w:color="auto" w:fill="F6F1E6"/>
          </w:tcPr>
          <w:p>
            <w:pPr>
              <w:spacing w:after="20"/>
            </w:pPr>
            <w:r>
              <w:rPr>
                <w:b/>
                <w:color w:val="1C3A36"/>
                <w:sz w:val="18"/>
              </w:rPr>
              <w:t>Terminal free cash flow</w:t>
            </w:r>
          </w:p>
        </w:tc>
        <w:tc>
          <w:tcPr>
            <w:tcW w:type="dxa" w:w="2016"/>
            <w:shd w:val="clear" w:color="auto" w:fill="F6F1E6"/>
          </w:tcPr>
          <w:p>
            <w:pPr>
              <w:spacing w:after="20"/>
              <w:jc w:val="right"/>
            </w:pPr>
            <w:r>
              <w:rPr>
                <w:b/>
                <w:color w:val="1C3A36"/>
                <w:sz w:val="18"/>
              </w:rPr>
              <w:t>1,248</w:t>
            </w:r>
          </w:p>
        </w:tc>
      </w:tr>
      <w:tr>
        <w:tc>
          <w:tcPr>
            <w:tcW w:type="dxa" w:w="6624"/>
            <w:shd w:val="clear" w:color="auto" w:fill="F6F1E6"/>
          </w:tcPr>
          <w:p>
            <w:pPr>
              <w:spacing w:after="20"/>
            </w:pPr>
            <w:r>
              <w:rPr>
                <w:b/>
                <w:color w:val="1C3A36"/>
                <w:sz w:val="18"/>
              </w:rPr>
              <w:t>Grown one year and capitalised at the cost of capital less growth</w:t>
            </w:r>
          </w:p>
        </w:tc>
        <w:tc>
          <w:tcPr>
            <w:tcW w:type="dxa" w:w="2016"/>
            <w:shd w:val="clear" w:color="auto" w:fill="F6F1E6"/>
          </w:tcPr>
          <w:p>
            <w:pPr>
              <w:spacing w:after="20"/>
              <w:jc w:val="right"/>
            </w:pPr>
            <w:r>
              <w:rPr>
                <w:b/>
                <w:color w:val="1C3A36"/>
                <w:sz w:val="18"/>
              </w:rPr>
              <w:t>23,669</w:t>
            </w:r>
          </w:p>
        </w:tc>
      </w:tr>
    </w:tbl>
    <w:p>
      <w:pPr>
        <w:spacing w:after="40"/>
      </w:pPr>
    </w:p>
    <w:p>
      <w:pPr>
        <w:spacing w:after="200" w:before="0"/>
      </w:pPr>
      <w:r>
        <w:rPr>
          <w:b w:val="0"/>
          <w:i/>
          <w:color w:val="6E7B77"/>
          <w:sz w:val="17"/>
        </w:rPr>
        <w:t>How the terminal is built, on the LAST EXPLICIT YEAR — the perpetuity grows this flow once, so the figures here are FY2030’s and not the first perpetuity year’s. Profit after tax is already net of book depreciation, so that charge is added back and the CASH cost of keeping the plant intact is charged instead — the book charge escalated over half the 35.8-year life the company’s own notes imply, which is SAR 198mn against a book charge of SAR 128mn. Growth capital is charged only for the 1.96% of REAL growth the forecast claims; inflation alone buys no capacity and is not charged as though it did. What is left, SAR 1,248mn, is 82% of that year’s profit.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016"/>
      </w:tblGrid>
      <w:tr>
        <w:tc>
          <w:tcPr>
            <w:tcW w:type="dxa" w:w="6624"/>
            <w:shd w:val="clear" w:color="auto" w:fill="EAF0EE"/>
          </w:tcPr>
          <w:p>
            <w:pPr>
              <w:spacing w:after="20"/>
            </w:pPr>
            <w:r>
              <w:rPr>
                <w:b/>
                <w:color w:val="1C3A36"/>
                <w:sz w:val="18"/>
              </w:rPr>
              <w:t>Enterprise value to equity (SAR mn)</w:t>
            </w:r>
          </w:p>
        </w:tc>
        <w:tc>
          <w:tcPr>
            <w:tcW w:type="dxa" w:w="2016"/>
            <w:shd w:val="clear" w:color="auto" w:fill="EAF0EE"/>
          </w:tcPr>
          <w:p>
            <w:pPr>
              <w:spacing w:after="20"/>
            </w:pPr>
            <w:r>
              <w:rPr>
                <w:b/>
                <w:color w:val="1C3A36"/>
                <w:sz w:val="18"/>
              </w:rPr>
            </w:r>
          </w:p>
        </w:tc>
      </w:tr>
      <w:tr>
        <w:tc>
          <w:tcPr>
            <w:tcW w:type="dxa" w:w="6624"/>
          </w:tcPr>
          <w:p>
            <w:pPr>
              <w:spacing w:after="20"/>
            </w:pPr>
            <w:r>
              <w:rPr>
                <w:color w:val="1C3A36"/>
                <w:sz w:val="18"/>
              </w:rPr>
              <w:t>Enterprise value</w:t>
            </w:r>
          </w:p>
        </w:tc>
        <w:tc>
          <w:tcPr>
            <w:tcW w:type="dxa" w:w="2016"/>
          </w:tcPr>
          <w:p>
            <w:pPr>
              <w:spacing w:after="20"/>
              <w:jc w:val="right"/>
            </w:pPr>
            <w:r>
              <w:rPr>
                <w:color w:val="1C3A36"/>
                <w:sz w:val="18"/>
              </w:rPr>
              <w:t>18,261</w:t>
            </w:r>
          </w:p>
        </w:tc>
      </w:tr>
      <w:tr>
        <w:tc>
          <w:tcPr>
            <w:tcW w:type="dxa" w:w="6624"/>
          </w:tcPr>
          <w:p>
            <w:pPr>
              <w:spacing w:after="20"/>
            </w:pPr>
            <w:r>
              <w:rPr>
                <w:color w:val="1C3A36"/>
                <w:sz w:val="18"/>
              </w:rPr>
              <w:t xml:space="preserve">   of which terminal value (81% of EV)</w:t>
            </w:r>
          </w:p>
        </w:tc>
        <w:tc>
          <w:tcPr>
            <w:tcW w:type="dxa" w:w="2016"/>
          </w:tcPr>
          <w:p>
            <w:pPr>
              <w:spacing w:after="20"/>
              <w:jc w:val="right"/>
            </w:pPr>
            <w:r>
              <w:rPr>
                <w:color w:val="1C3A36"/>
                <w:sz w:val="18"/>
              </w:rPr>
              <w:t>14,713</w:t>
            </w:r>
          </w:p>
        </w:tc>
      </w:tr>
      <w:tr>
        <w:tc>
          <w:tcPr>
            <w:tcW w:type="dxa" w:w="6624"/>
          </w:tcPr>
          <w:p>
            <w:pPr>
              <w:spacing w:after="20"/>
            </w:pPr>
            <w:r>
              <w:rPr>
                <w:color w:val="1C3A36"/>
                <w:sz w:val="18"/>
              </w:rPr>
              <w:t>Less: net financial debt</w:t>
            </w:r>
          </w:p>
        </w:tc>
        <w:tc>
          <w:tcPr>
            <w:tcW w:type="dxa" w:w="2016"/>
          </w:tcPr>
          <w:p>
            <w:pPr>
              <w:spacing w:after="20"/>
              <w:jc w:val="right"/>
            </w:pPr>
            <w:r>
              <w:rPr>
                <w:color w:val="1C3A36"/>
                <w:sz w:val="18"/>
              </w:rPr>
              <w:t>-385</w:t>
            </w:r>
          </w:p>
        </w:tc>
      </w:tr>
      <w:tr>
        <w:tc>
          <w:tcPr>
            <w:tcW w:type="dxa" w:w="6624"/>
          </w:tcPr>
          <w:p>
            <w:pPr>
              <w:spacing w:after="20"/>
            </w:pPr>
            <w:r>
              <w:rPr>
                <w:color w:val="1C3A36"/>
                <w:sz w:val="18"/>
              </w:rPr>
              <w:t>Add: associates + non-operating assets</w:t>
            </w:r>
          </w:p>
        </w:tc>
        <w:tc>
          <w:tcPr>
            <w:tcW w:type="dxa" w:w="2016"/>
          </w:tcPr>
          <w:p>
            <w:pPr>
              <w:spacing w:after="20"/>
              <w:jc w:val="right"/>
            </w:pPr>
            <w:r>
              <w:rPr>
                <w:color w:val="1C3A36"/>
                <w:sz w:val="18"/>
              </w:rPr>
              <w:t>52</w:t>
            </w:r>
          </w:p>
        </w:tc>
      </w:tr>
      <w:tr>
        <w:tc>
          <w:tcPr>
            <w:tcW w:type="dxa" w:w="6624"/>
          </w:tcPr>
          <w:p>
            <w:pPr>
              <w:spacing w:after="20"/>
            </w:pPr>
            <w:r>
              <w:rPr>
                <w:color w:val="1C3A36"/>
                <w:sz w:val="18"/>
              </w:rPr>
              <w:t>Less: non-controlling interests</w:t>
            </w:r>
          </w:p>
        </w:tc>
        <w:tc>
          <w:tcPr>
            <w:tcW w:type="dxa" w:w="2016"/>
          </w:tcPr>
          <w:p>
            <w:pPr>
              <w:spacing w:after="20"/>
              <w:jc w:val="right"/>
            </w:pPr>
            <w:r>
              <w:rPr>
                <w:color w:val="1C3A36"/>
                <w:sz w:val="18"/>
              </w:rPr>
              <w:t>-63</w:t>
            </w:r>
          </w:p>
        </w:tc>
      </w:tr>
      <w:tr>
        <w:tc>
          <w:tcPr>
            <w:tcW w:type="dxa" w:w="6624"/>
            <w:shd w:val="clear" w:color="auto" w:fill="F6F1E6"/>
          </w:tcPr>
          <w:p>
            <w:pPr>
              <w:spacing w:after="20"/>
            </w:pPr>
            <w:r>
              <w:rPr>
                <w:b/>
                <w:color w:val="1C3A36"/>
                <w:sz w:val="18"/>
              </w:rPr>
              <w:t>Equity value attributable</w:t>
            </w:r>
          </w:p>
        </w:tc>
        <w:tc>
          <w:tcPr>
            <w:tcW w:type="dxa" w:w="2016"/>
            <w:shd w:val="clear" w:color="auto" w:fill="F6F1E6"/>
          </w:tcPr>
          <w:p>
            <w:pPr>
              <w:spacing w:after="20"/>
              <w:jc w:val="right"/>
            </w:pPr>
            <w:r>
              <w:rPr>
                <w:b/>
                <w:color w:val="1C3A36"/>
                <w:sz w:val="18"/>
              </w:rPr>
              <w:t>17,865</w:t>
            </w:r>
          </w:p>
        </w:tc>
      </w:tr>
      <w:tr>
        <w:tc>
          <w:tcPr>
            <w:tcW w:type="dxa" w:w="6624"/>
          </w:tcPr>
          <w:p>
            <w:pPr>
              <w:spacing w:after="20"/>
            </w:pPr>
            <w:r>
              <w:rPr>
                <w:color w:val="1C3A36"/>
                <w:sz w:val="18"/>
              </w:rPr>
              <w:t>Value per share at 31-Dec-2025 (SAR)</w:t>
            </w:r>
          </w:p>
        </w:tc>
        <w:tc>
          <w:tcPr>
            <w:tcW w:type="dxa" w:w="2016"/>
          </w:tcPr>
          <w:p>
            <w:pPr>
              <w:spacing w:after="20"/>
              <w:jc w:val="right"/>
            </w:pPr>
            <w:r>
              <w:rPr>
                <w:color w:val="1C3A36"/>
                <w:sz w:val="18"/>
              </w:rPr>
              <w:t>119.33</w:t>
            </w:r>
          </w:p>
        </w:tc>
      </w:tr>
      <w:tr>
        <w:tc>
          <w:tcPr>
            <w:tcW w:type="dxa" w:w="6624"/>
            <w:shd w:val="clear" w:color="auto" w:fill="F6F1E6"/>
          </w:tcPr>
          <w:p>
            <w:pPr>
              <w:spacing w:after="20"/>
            </w:pPr>
            <w:r>
              <w:rPr>
                <w:b/>
                <w:color w:val="1C3A36"/>
                <w:sz w:val="18"/>
              </w:rPr>
              <w:t>Rolled to the 18-Aug-2026 anchor, net of dividend (SAR)</w:t>
            </w:r>
          </w:p>
        </w:tc>
        <w:tc>
          <w:tcPr>
            <w:tcW w:type="dxa" w:w="2016"/>
            <w:shd w:val="clear" w:color="auto" w:fill="F6F1E6"/>
          </w:tcPr>
          <w:p>
            <w:pPr>
              <w:spacing w:after="20"/>
              <w:jc w:val="right"/>
            </w:pPr>
            <w:r>
              <w:rPr>
                <w:b/>
                <w:color w:val="1C3A36"/>
                <w:sz w:val="18"/>
              </w:rPr>
              <w:t>124.89</w:t>
            </w:r>
          </w:p>
        </w:tc>
      </w:tr>
    </w:tbl>
    <w:p>
      <w:pPr>
        <w:spacing w:after="40"/>
      </w:pPr>
    </w:p>
    <w:p>
      <w:pPr>
        <w:spacing w:after="200" w:before="0"/>
      </w:pPr>
      <w:r>
        <w:rPr>
          <w:b w:val="0"/>
          <w:i/>
          <w:color w:val="6E7B77"/>
          <w:sz w:val="17"/>
        </w:rPr>
        <w:t>The enterprise-to-equity bridge. The terminal-value share is shown on its own line, and again in the summary table and the companion workbook, where it is a live formula.</w:t>
      </w:r>
    </w:p>
    <w:p>
      <w:pPr>
        <w:spacing w:after="80" w:before="200"/>
      </w:pPr>
      <w:r>
        <w:rPr>
          <w:b/>
          <w:i w:val="0"/>
          <w:color w:val="1C3A36"/>
          <w:sz w:val="24"/>
        </w:rPr>
        <w:t>1.2  Book value and sustainable return</w:t>
      </w:r>
    </w:p>
    <w:p>
      <w:pPr>
        <w:spacing w:after="120" w:before="0"/>
      </w:pPr>
      <w:r>
        <w:rPr>
          <w:b w:val="0"/>
          <w:i w:val="0"/>
          <w:color w:val="1C3A36"/>
          <w:sz w:val="21"/>
        </w:rPr>
        <w:t>Equity attributable to shareholders was SAR 3.25bn at end-2025, or SAR 21.68 per share. Trailing return on average equity is about 37% — very high, but flattered by the 2024–25 metal tailwind and a large receivables book. We take a sustainable return of 28%. Capitalised against a terminal cost of equity of 9.7% and 4% growth, that supports a justified price-to-book of 4.2x and a value of SAR 95 per share.</w:t>
      </w:r>
    </w:p>
    <w:p>
      <w:pPr>
        <w:spacing w:after="80" w:before="200"/>
      </w:pPr>
      <w:r>
        <w:rPr>
          <w:b/>
          <w:i w:val="0"/>
          <w:color w:val="1C3A36"/>
          <w:sz w:val="24"/>
        </w:rPr>
        <w:t>1.3  Relative multiples</w:t>
      </w:r>
    </w:p>
    <w:p>
      <w:pPr>
        <w:spacing w:after="120" w:before="0"/>
      </w:pPr>
      <w:r>
        <w:rPr>
          <w:b w:val="0"/>
          <w:i w:val="0"/>
          <w:color w:val="1C3A36"/>
          <w:sz w:val="21"/>
        </w:rPr>
        <w:t>Riyadh Cables trades at about 11.9x enterprise value to FY2025 EBITDA and 14.5x FY2025 earnings. Developed-market cable majors (Prysmian, Nexans) trade around 7–9x forward EBITDA; fast-growing emerging-market peers (Polycab, KEI in India) carry a large growth premium at 20–30x. Applying a 9.5x multiple — with the developed majors, a deliberate discount to Riyadh Cables’ own trailing multiple — to 2027 EBITDA of SAR 1,471mn, discounting it, and adding the interim cash flows, gives SAR 86 per share — the most cautious lens, reflecting a single-country base and a market that already prices in quality.</w:t>
      </w:r>
    </w:p>
    <w:p>
      <w:pPr>
        <w:spacing w:after="80" w:before="200"/>
      </w:pPr>
      <w:r>
        <w:rPr>
          <w:b/>
          <w:i w:val="0"/>
          <w:color w:val="1C3A36"/>
          <w:sz w:val="24"/>
        </w:rPr>
        <w:t>1.4  Normalised earnings power</w:t>
      </w:r>
    </w:p>
    <w:p>
      <w:pPr>
        <w:spacing w:after="120" w:before="0"/>
      </w:pPr>
      <w:r>
        <w:rPr>
          <w:b w:val="0"/>
          <w:i w:val="0"/>
          <w:color w:val="1C3A36"/>
          <w:sz w:val="21"/>
        </w:rPr>
        <w:t>Stripping cycle from the earnings, a mid-cycle EBITDA margin of 11.9% on current-scale revenue of SAR 11,499mn, after depreciation, financing and tax, yields normalised earnings of about SAR 7.50 per share. At a through-cycle 13x — appropriate for a high-return, low-leverage regional leader with a roughly 11% cost of equity — that is SAR 102 per share.</w:t>
      </w:r>
    </w:p>
    <w:p>
      <w:pPr>
        <w:spacing w:after="80" w:before="200"/>
      </w:pPr>
      <w:r>
        <w:rPr>
          <w:b/>
          <w:i w:val="0"/>
          <w:color w:val="1C3A36"/>
          <w:sz w:val="24"/>
        </w:rPr>
        <w:t>1.5  Synthesis — four lenses, one field</w:t>
      </w:r>
    </w:p>
    <w:p>
      <w:pPr>
        <w:spacing w:after="120" w:before="0"/>
      </w:pPr>
      <w:r>
        <w:rPr>
          <w:b w:val="0"/>
          <w:i w:val="0"/>
          <w:color w:val="1C3A36"/>
          <w:sz w:val="21"/>
        </w:rPr>
        <w:t>The four lenses span SAR 86 to SAR 125. We weight the discounted cash flow most (45%) because the company’s cash flows are directly modelled from a disclosed cost structure; the relative and earnings-power lenses each 20%; and book value least (15%), because book understates a business earning a return on equity near 37%. The central is SAR 125.</w:t>
      </w:r>
    </w:p>
    <w:p>
      <w:pPr>
        <w:spacing w:after="80" w:before="200"/>
      </w:pPr>
      <w:r>
        <w:rPr>
          <w:b/>
          <w:i w:val="0"/>
          <w:color w:val="1C3A36"/>
          <w:sz w:val="24"/>
        </w:rPr>
        <w:t>1.6  The drivers — each segment on its own driver, margin as an output</w:t>
      </w:r>
    </w:p>
    <w:p>
      <w:pPr>
        <w:spacing w:after="120" w:before="0"/>
      </w:pPr>
      <w:r>
        <w:rPr>
          <w:b w:val="0"/>
          <w:i w:val="0"/>
          <w:color w:val="1C3A36"/>
          <w:sz w:val="21"/>
        </w:rPr>
        <w:t>Revenue is not grown at one rate, and it is not grown as one business. The model is built on the three disclosed reporting segments, each on its own driver, and summed. Cables and wires — 98% of revenue — is the metal converter: a cable-tonnage index priced as metal content (on its own copper-and-aluminium path) plus a conversion cost (on domestic inflation) plus a conversion spread, with volume growing 10.0% in 2026 tapering to 5.0%, anchored on the reviewed half-year statement that 2026 revenue rose 9.5% "due to the increase in the volume of quantities sold." High-voltage turnkey projects — a lumpy project business — grow on their own path at their disclosed 8% segment margin, and the small Other leg likewise. Metal prices are held broadly flat. The group gross margin is then the blended OUTPUT of the three legs — 15.2% in 2026 rising gently to 15.4%, never back to the 2024–25 peak. Along that expected metal path the cable leg’s conversion spread is set to earn the target margin, so the reported margin holds; an unexpected metal move — the one the sensitivity prices — is not repriced in the spread and therefore dilutes the margin, exactly as the first half of 2026 showed. (The cost-by-nature split is disclosed only at group level, so the group metal is carried in the cable leg and the two small legs carry their disclosed segment margins — immaterial at 2.4% of revenue.)</w:t>
      </w:r>
    </w:p>
    <w:p>
      <w:pPr>
        <w:spacing w:after="40"/>
        <w:jc w:val="center"/>
      </w:pPr>
      <w:r>
        <w:drawing>
          <wp:inline xmlns:a="http://schemas.openxmlformats.org/drawingml/2006/main" xmlns:pic="http://schemas.openxmlformats.org/drawingml/2006/picture">
            <wp:extent cx="6126480" cy="2652703"/>
            <wp:docPr id="2" name="Picture 2"/>
            <wp:cNvGraphicFramePr>
              <a:graphicFrameLocks noChangeAspect="1"/>
            </wp:cNvGraphicFramePr>
            <a:graphic>
              <a:graphicData uri="http://schemas.openxmlformats.org/drawingml/2006/picture">
                <pic:pic>
                  <pic:nvPicPr>
                    <pic:cNvPr id="0" name="fig7_stack.png"/>
                    <pic:cNvPicPr/>
                  </pic:nvPicPr>
                  <pic:blipFill>
                    <a:blip r:embed="rId10"/>
                    <a:stretch>
                      <a:fillRect/>
                    </a:stretch>
                  </pic:blipFill>
                  <pic:spPr>
                    <a:xfrm>
                      <a:off x="0" y="0"/>
                      <a:ext cx="6126480" cy="2652703"/>
                    </a:xfrm>
                    <a:prstGeom prst="rect"/>
                  </pic:spPr>
                </pic:pic>
              </a:graphicData>
            </a:graphic>
          </wp:inline>
        </w:drawing>
      </w:r>
    </w:p>
    <w:p>
      <w:pPr>
        <w:spacing w:after="200" w:before="0"/>
      </w:pPr>
      <w:r>
        <w:rPr>
          <w:b w:val="0"/>
          <w:i/>
          <w:color w:val="6E7B77"/>
          <w:sz w:val="17"/>
        </w:rPr>
        <w:t>Figure 2. The cost stack. Materials (copper and aluminium) are about 95% of cost of sales; the gross margin, shown on the right axis, is what is left after materials and conversion cost — an output, not an input.</w:t>
      </w:r>
    </w:p>
    <w:p>
      <w:pPr>
        <w:spacing w:after="80" w:before="200"/>
      </w:pPr>
      <w:r>
        <w:rPr>
          <w:b/>
          <w:i w:val="0"/>
          <w:color w:val="1C3A36"/>
          <w:sz w:val="24"/>
        </w:rPr>
        <w:t>1.7  The crux — the sustained gross margin</w:t>
      </w:r>
    </w:p>
    <w:p>
      <w:pPr>
        <w:spacing w:after="120" w:before="0"/>
      </w:pPr>
      <w:r>
        <w:rPr>
          <w:b w:val="0"/>
          <w:i w:val="0"/>
          <w:color w:val="1C3A36"/>
          <w:sz w:val="21"/>
        </w:rPr>
        <w:t>The crux is simple to state and consequential. Gross margin rose from 12.4% in 2023 to a 16.2% peak in 2025 as metal prices moved the company’s way. In the first half of 2026, on a 9.5% rise in revenue, gross profit was essentially flat — margin fell to 15.3%, and within the half it was still easing: the second quarter’s 15.0% sat below the first quarter’s 15.6%. That is the metal pass-through working in reverse: volume-led growth at a normalising per-tonne spread. We anchor the forecast on that reviewed half-year (15.3%), not the higher full-year 2025 print, and we show the value both ways.</w:t>
      </w:r>
    </w:p>
    <w:p>
      <w:pPr>
        <w:spacing w:after="40"/>
        <w:jc w:val="center"/>
      </w:pPr>
      <w:r>
        <w:drawing>
          <wp:inline xmlns:a="http://schemas.openxmlformats.org/drawingml/2006/main" xmlns:pic="http://schemas.openxmlformats.org/drawingml/2006/picture">
            <wp:extent cx="6217920" cy="2637905"/>
            <wp:docPr id="3" name="Picture 3"/>
            <wp:cNvGraphicFramePr>
              <a:graphicFrameLocks noChangeAspect="1"/>
            </wp:cNvGraphicFramePr>
            <a:graphic>
              <a:graphicData uri="http://schemas.openxmlformats.org/drawingml/2006/picture">
                <pic:pic>
                  <pic:nvPicPr>
                    <pic:cNvPr id="0" name="fig8_margin.png"/>
                    <pic:cNvPicPr/>
                  </pic:nvPicPr>
                  <pic:blipFill>
                    <a:blip r:embed="rId11"/>
                    <a:stretch>
                      <a:fillRect/>
                    </a:stretch>
                  </pic:blipFill>
                  <pic:spPr>
                    <a:xfrm>
                      <a:off x="0" y="0"/>
                      <a:ext cx="6217920" cy="2637905"/>
                    </a:xfrm>
                    <a:prstGeom prst="rect"/>
                  </pic:spPr>
                </pic:pic>
              </a:graphicData>
            </a:graphic>
          </wp:inline>
        </w:drawing>
      </w:r>
    </w:p>
    <w:p>
      <w:pPr>
        <w:spacing w:after="200" w:before="0"/>
      </w:pPr>
      <w:r>
        <w:rPr>
          <w:b w:val="0"/>
          <w:i/>
          <w:color w:val="6E7B77"/>
          <w:sz w:val="17"/>
        </w:rPr>
        <w:t>Figure 3. The gross-margin story: the 2024–25 metal-tailwind peak, the first-half-2026 normalisation to 15.3%, and a forecast that recovers only gently and stays below the peak. The shaded band is the contested range carried through the valuation.</w:t>
      </w:r>
    </w:p>
    <w:p>
      <w:pPr>
        <w:spacing w:after="80" w:before="200"/>
      </w:pPr>
      <w:r>
        <w:rPr>
          <w:b/>
          <w:i w:val="0"/>
          <w:color w:val="1C3A36"/>
          <w:sz w:val="24"/>
        </w:rPr>
        <w:t>1.8  Macro and country — the cost of capital, built up</w:t>
      </w:r>
    </w:p>
    <w:p>
      <w:pPr>
        <w:spacing w:after="120" w:before="0"/>
      </w:pPr>
      <w:r>
        <w:rPr>
          <w:b w:val="0"/>
          <w:i w:val="0"/>
          <w:color w:val="1C3A36"/>
          <w:sz w:val="21"/>
        </w:rPr>
        <w:t>The cost of capital is built from sourced components. Saudi Arabia is rated Aa3; its adjusted sovereign default spread is 0.48% and its equity risk premium 4.94% (a 4.20% mature-market base plus a 0.74% country premium). We take the ten-year Saudi sukuk yield at 5.50% — re-derived this edition from the published SAR government-sukuk curve after an earlier estimate sat below it — subtract the sovereign’s own default spread to avoid charging country risk twice, and add beta times the premium. Beta is 1.129, from Riyadh Cables’ own weekly returns against the Tadawul All Share Index over its 185-week listed history; it is a noisy estimate (R-squared about 0.15, standard error 0.31, a 90% confidence interval of roughly 0.6 to 1.6), which the sensitivity carries. That gives a cost of equity of 10.6%. Debt is marginal — Islamic Murabaha at about 5.9%, above the sovereign as a same-currency corporate must be — and its weight is struck on NET financial debt (borrowings less cash); with an almost all-equity balance sheet the weighted cost is 10.5%, easing to 9.5% in perpetuity as the country premium narrows and beta reverts toward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1944"/>
        <w:gridCol w:w="1944"/>
      </w:tblGrid>
      <w:tr>
        <w:tc>
          <w:tcPr>
            <w:tcW w:type="dxa" w:w="4608"/>
            <w:shd w:val="clear" w:color="auto" w:fill="EAF0EE"/>
          </w:tcPr>
          <w:p>
            <w:pPr>
              <w:spacing w:after="20"/>
            </w:pPr>
            <w:r>
              <w:rPr>
                <w:b/>
                <w:color w:val="1C3A36"/>
                <w:sz w:val="18"/>
              </w:rPr>
              <w:t>Cost of capital</w:t>
            </w:r>
          </w:p>
        </w:tc>
        <w:tc>
          <w:tcPr>
            <w:tcW w:type="dxa" w:w="1944"/>
            <w:shd w:val="clear" w:color="auto" w:fill="EAF0EE"/>
          </w:tcPr>
          <w:p>
            <w:pPr>
              <w:spacing w:after="20"/>
            </w:pPr>
            <w:r>
              <w:rPr>
                <w:b/>
                <w:color w:val="1C3A36"/>
                <w:sz w:val="18"/>
              </w:rPr>
              <w:t>Explicit</w:t>
            </w:r>
          </w:p>
        </w:tc>
        <w:tc>
          <w:tcPr>
            <w:tcW w:type="dxa" w:w="1944"/>
            <w:shd w:val="clear" w:color="auto" w:fill="EAF0EE"/>
          </w:tcPr>
          <w:p>
            <w:pPr>
              <w:spacing w:after="20"/>
            </w:pPr>
            <w:r>
              <w:rPr>
                <w:b/>
                <w:color w:val="1C3A36"/>
                <w:sz w:val="18"/>
              </w:rPr>
              <w:t>Terminal</w:t>
            </w:r>
          </w:p>
        </w:tc>
      </w:tr>
      <w:tr>
        <w:tc>
          <w:tcPr>
            <w:tcW w:type="dxa" w:w="4608"/>
          </w:tcPr>
          <w:p>
            <w:pPr>
              <w:spacing w:after="20"/>
            </w:pPr>
            <w:r>
              <w:rPr>
                <w:color w:val="1C3A36"/>
                <w:sz w:val="18"/>
              </w:rPr>
              <w:t>Risk-free rate (SAR 10-year), normalised</w:t>
            </w:r>
          </w:p>
        </w:tc>
        <w:tc>
          <w:tcPr>
            <w:tcW w:type="dxa" w:w="1944"/>
          </w:tcPr>
          <w:p>
            <w:pPr>
              <w:spacing w:after="20"/>
              <w:jc w:val="right"/>
            </w:pPr>
            <w:r>
              <w:rPr>
                <w:color w:val="1C3A36"/>
                <w:sz w:val="18"/>
              </w:rPr>
              <w:t>5.02%</w:t>
            </w:r>
          </w:p>
        </w:tc>
        <w:tc>
          <w:tcPr>
            <w:tcW w:type="dxa" w:w="1944"/>
          </w:tcPr>
          <w:p>
            <w:pPr>
              <w:spacing w:after="20"/>
              <w:jc w:val="right"/>
            </w:pPr>
            <w:r>
              <w:rPr>
                <w:color w:val="1C3A36"/>
                <w:sz w:val="18"/>
              </w:rPr>
              <w:t>5.02%</w:t>
            </w:r>
          </w:p>
        </w:tc>
      </w:tr>
      <w:tr>
        <w:tc>
          <w:tcPr>
            <w:tcW w:type="dxa" w:w="4608"/>
          </w:tcPr>
          <w:p>
            <w:pPr>
              <w:spacing w:after="20"/>
            </w:pPr>
            <w:r>
              <w:rPr>
                <w:color w:val="1C3A36"/>
                <w:sz w:val="18"/>
              </w:rPr>
              <w:t>Equity risk premium</w:t>
            </w:r>
          </w:p>
        </w:tc>
        <w:tc>
          <w:tcPr>
            <w:tcW w:type="dxa" w:w="1944"/>
          </w:tcPr>
          <w:p>
            <w:pPr>
              <w:spacing w:after="20"/>
              <w:jc w:val="right"/>
            </w:pPr>
            <w:r>
              <w:rPr>
                <w:color w:val="1C3A36"/>
                <w:sz w:val="18"/>
              </w:rPr>
              <w:t>4.94%</w:t>
            </w:r>
          </w:p>
        </w:tc>
        <w:tc>
          <w:tcPr>
            <w:tcW w:type="dxa" w:w="1944"/>
          </w:tcPr>
          <w:p>
            <w:pPr>
              <w:spacing w:after="20"/>
              <w:jc w:val="right"/>
            </w:pPr>
            <w:r>
              <w:rPr>
                <w:color w:val="1C3A36"/>
                <w:sz w:val="18"/>
              </w:rPr>
              <w:t>4.70%</w:t>
            </w:r>
          </w:p>
        </w:tc>
      </w:tr>
      <w:tr>
        <w:tc>
          <w:tcPr>
            <w:tcW w:type="dxa" w:w="4608"/>
          </w:tcPr>
          <w:p>
            <w:pPr>
              <w:spacing w:after="20"/>
            </w:pPr>
            <w:r>
              <w:rPr>
                <w:color w:val="1C3A36"/>
                <w:sz w:val="18"/>
              </w:rPr>
              <w:t>Beta</w:t>
            </w:r>
          </w:p>
        </w:tc>
        <w:tc>
          <w:tcPr>
            <w:tcW w:type="dxa" w:w="1944"/>
          </w:tcPr>
          <w:p>
            <w:pPr>
              <w:spacing w:after="20"/>
              <w:jc w:val="right"/>
            </w:pPr>
            <w:r>
              <w:rPr>
                <w:color w:val="1C3A36"/>
                <w:sz w:val="18"/>
              </w:rPr>
              <w:t>1.129</w:t>
            </w:r>
          </w:p>
        </w:tc>
        <w:tc>
          <w:tcPr>
            <w:tcW w:type="dxa" w:w="1944"/>
          </w:tcPr>
          <w:p>
            <w:pPr>
              <w:spacing w:after="20"/>
              <w:jc w:val="right"/>
            </w:pPr>
            <w:r>
              <w:rPr>
                <w:color w:val="1C3A36"/>
                <w:sz w:val="18"/>
              </w:rPr>
              <w:t>1.00</w:t>
            </w:r>
          </w:p>
        </w:tc>
      </w:tr>
      <w:tr>
        <w:tc>
          <w:tcPr>
            <w:tcW w:type="dxa" w:w="4608"/>
            <w:shd w:val="clear" w:color="auto" w:fill="F6F1E6"/>
          </w:tcPr>
          <w:p>
            <w:pPr>
              <w:spacing w:after="20"/>
            </w:pPr>
            <w:r>
              <w:rPr>
                <w:b/>
                <w:color w:val="1C3A36"/>
                <w:sz w:val="18"/>
              </w:rPr>
              <w:t>Cost of equity</w:t>
            </w:r>
          </w:p>
        </w:tc>
        <w:tc>
          <w:tcPr>
            <w:tcW w:type="dxa" w:w="1944"/>
            <w:shd w:val="clear" w:color="auto" w:fill="F6F1E6"/>
          </w:tcPr>
          <w:p>
            <w:pPr>
              <w:spacing w:after="20"/>
              <w:jc w:val="right"/>
            </w:pPr>
            <w:r>
              <w:rPr>
                <w:b/>
                <w:color w:val="1C3A36"/>
                <w:sz w:val="18"/>
              </w:rPr>
              <w:t>10.60%</w:t>
            </w:r>
          </w:p>
        </w:tc>
        <w:tc>
          <w:tcPr>
            <w:tcW w:type="dxa" w:w="1944"/>
            <w:shd w:val="clear" w:color="auto" w:fill="F6F1E6"/>
          </w:tcPr>
          <w:p>
            <w:pPr>
              <w:spacing w:after="20"/>
              <w:jc w:val="right"/>
            </w:pPr>
            <w:r>
              <w:rPr>
                <w:b/>
                <w:color w:val="1C3A36"/>
                <w:sz w:val="18"/>
              </w:rPr>
              <w:t>9.72%</w:t>
            </w:r>
          </w:p>
        </w:tc>
      </w:tr>
      <w:tr>
        <w:tc>
          <w:tcPr>
            <w:tcW w:type="dxa" w:w="4608"/>
          </w:tcPr>
          <w:p>
            <w:pPr>
              <w:spacing w:after="20"/>
            </w:pPr>
            <w:r>
              <w:rPr>
                <w:color w:val="1C3A36"/>
                <w:sz w:val="18"/>
              </w:rPr>
              <w:t>Cost of debt (after tax)</w:t>
            </w:r>
          </w:p>
        </w:tc>
        <w:tc>
          <w:tcPr>
            <w:tcW w:type="dxa" w:w="1944"/>
          </w:tcPr>
          <w:p>
            <w:pPr>
              <w:spacing w:after="20"/>
              <w:jc w:val="right"/>
            </w:pPr>
            <w:r>
              <w:rPr>
                <w:color w:val="1C3A36"/>
                <w:sz w:val="18"/>
              </w:rPr>
              <w:t>5.34%</w:t>
            </w:r>
          </w:p>
        </w:tc>
        <w:tc>
          <w:tcPr>
            <w:tcW w:type="dxa" w:w="1944"/>
          </w:tcPr>
          <w:p>
            <w:pPr>
              <w:spacing w:after="20"/>
              <w:jc w:val="right"/>
            </w:pPr>
            <w:r>
              <w:rPr>
                <w:color w:val="1C3A36"/>
                <w:sz w:val="18"/>
              </w:rPr>
              <w:t>4.98%</w:t>
            </w:r>
          </w:p>
        </w:tc>
      </w:tr>
      <w:tr>
        <w:tc>
          <w:tcPr>
            <w:tcW w:type="dxa" w:w="4608"/>
          </w:tcPr>
          <w:p>
            <w:pPr>
              <w:spacing w:after="20"/>
            </w:pPr>
            <w:r>
              <w:rPr>
                <w:color w:val="1C3A36"/>
                <w:sz w:val="18"/>
              </w:rPr>
              <w:t>Net-debt weight</w:t>
            </w:r>
          </w:p>
        </w:tc>
        <w:tc>
          <w:tcPr>
            <w:tcW w:type="dxa" w:w="1944"/>
          </w:tcPr>
          <w:p>
            <w:pPr>
              <w:spacing w:after="20"/>
              <w:jc w:val="right"/>
            </w:pPr>
            <w:r>
              <w:rPr>
                <w:color w:val="1C3A36"/>
                <w:sz w:val="18"/>
              </w:rPr>
              <w:t>2.4%</w:t>
            </w:r>
          </w:p>
        </w:tc>
        <w:tc>
          <w:tcPr>
            <w:tcW w:type="dxa" w:w="1944"/>
          </w:tcPr>
          <w:p>
            <w:pPr>
              <w:spacing w:after="20"/>
              <w:jc w:val="right"/>
            </w:pPr>
            <w:r>
              <w:rPr>
                <w:color w:val="1C3A36"/>
                <w:sz w:val="18"/>
              </w:rPr>
              <w:t>5%</w:t>
            </w:r>
          </w:p>
        </w:tc>
      </w:tr>
      <w:tr>
        <w:tc>
          <w:tcPr>
            <w:tcW w:type="dxa" w:w="4608"/>
            <w:shd w:val="clear" w:color="auto" w:fill="F6F1E6"/>
          </w:tcPr>
          <w:p>
            <w:pPr>
              <w:spacing w:after="20"/>
            </w:pPr>
            <w:r>
              <w:rPr>
                <w:b/>
                <w:color w:val="1C3A36"/>
                <w:sz w:val="18"/>
              </w:rPr>
              <w:t>Weighted cost of capital</w:t>
            </w:r>
          </w:p>
        </w:tc>
        <w:tc>
          <w:tcPr>
            <w:tcW w:type="dxa" w:w="1944"/>
            <w:shd w:val="clear" w:color="auto" w:fill="F6F1E6"/>
          </w:tcPr>
          <w:p>
            <w:pPr>
              <w:spacing w:after="20"/>
              <w:jc w:val="right"/>
            </w:pPr>
            <w:r>
              <w:rPr>
                <w:b/>
                <w:color w:val="1C3A36"/>
                <w:sz w:val="18"/>
              </w:rPr>
              <w:t>10.47%</w:t>
            </w:r>
          </w:p>
        </w:tc>
        <w:tc>
          <w:tcPr>
            <w:tcW w:type="dxa" w:w="1944"/>
            <w:shd w:val="clear" w:color="auto" w:fill="F6F1E6"/>
          </w:tcPr>
          <w:p>
            <w:pPr>
              <w:spacing w:after="20"/>
              <w:jc w:val="right"/>
            </w:pPr>
            <w:r>
              <w:rPr>
                <w:b/>
                <w:color w:val="1C3A36"/>
                <w:sz w:val="18"/>
              </w:rPr>
              <w:t>9.48%</w:t>
            </w:r>
          </w:p>
        </w:tc>
      </w:tr>
    </w:tbl>
    <w:p>
      <w:pPr>
        <w:spacing w:after="40"/>
      </w:pPr>
    </w:p>
    <w:p>
      <w:pPr>
        <w:spacing w:after="120" w:before="0"/>
      </w:pPr>
      <w:r>
        <w:rPr>
          <w:b w:val="0"/>
          <w:i w:val="0"/>
          <w:color w:val="6E7B77"/>
          <w:sz w:val="18"/>
        </w:rPr>
        <w:t>Two terminal conventions are worth flagging. The terminal structure carries a 5% net-debt weight, modestly above today’s 2.4%, to acknowledge the structural working-capital leverage a cable maker runs — a small lever, not a geared structure the company has ever operated. And the terminal risk-free rate is held flat at its normalised current level rather than marked down, so the terminal cost of equity falls only as beta reverts to one and the country premium compresses, never by cutting the risk-free to lift value.</w:t>
      </w:r>
    </w:p>
    <w:p>
      <w:pPr>
        <w:spacing w:after="80" w:before="200"/>
      </w:pPr>
      <w:r>
        <w:rPr>
          <w:b/>
          <w:i w:val="0"/>
          <w:color w:val="1C3A36"/>
          <w:sz w:val="24"/>
        </w:rPr>
        <w:t>1.9  Sensitivity</w:t>
      </w:r>
    </w:p>
    <w:p>
      <w:pPr>
        <w:spacing w:after="120" w:before="0"/>
      </w:pPr>
      <w:r>
        <w:rPr>
          <w:b w:val="0"/>
          <w:i w:val="0"/>
          <w:color w:val="1C3A36"/>
          <w:sz w:val="21"/>
        </w:rPr>
        <w:t>Fair value is most sensitive to the terminal growth rate and the terminal cost of capital, then to the sustained margin, beta and working-capital intensity. The grid below revalues the cash-flow lens across the terminal cost of capital and terminal growth; the companion workbook carries the full set.</w:t>
      </w:r>
    </w:p>
    <w:p>
      <w:pPr>
        <w:spacing w:after="40"/>
        <w:jc w:val="center"/>
      </w:pPr>
      <w:r>
        <w:drawing>
          <wp:inline xmlns:a="http://schemas.openxmlformats.org/drawingml/2006/main" xmlns:pic="http://schemas.openxmlformats.org/drawingml/2006/picture">
            <wp:extent cx="5669280" cy="2726995"/>
            <wp:docPr id="4" name="Picture 4"/>
            <wp:cNvGraphicFramePr>
              <a:graphicFrameLocks noChangeAspect="1"/>
            </wp:cNvGraphicFramePr>
            <a:graphic>
              <a:graphicData uri="http://schemas.openxmlformats.org/drawingml/2006/picture">
                <pic:pic>
                  <pic:nvPicPr>
                    <pic:cNvPr id="0" name="fig2_sens.png"/>
                    <pic:cNvPicPr/>
                  </pic:nvPicPr>
                  <pic:blipFill>
                    <a:blip r:embed="rId12"/>
                    <a:stretch>
                      <a:fillRect/>
                    </a:stretch>
                  </pic:blipFill>
                  <pic:spPr>
                    <a:xfrm>
                      <a:off x="0" y="0"/>
                      <a:ext cx="5669280" cy="2726995"/>
                    </a:xfrm>
                    <a:prstGeom prst="rect"/>
                  </pic:spPr>
                </pic:pic>
              </a:graphicData>
            </a:graphic>
          </wp:inline>
        </w:drawing>
      </w:r>
    </w:p>
    <w:p>
      <w:pPr>
        <w:spacing w:after="200" w:before="0"/>
      </w:pPr>
      <w:r>
        <w:rPr>
          <w:b w:val="0"/>
          <w:i/>
          <w:color w:val="6E7B77"/>
          <w:sz w:val="17"/>
        </w:rPr>
        <w:t>Figure 4. Cash-flow fair value (SAR/share) across the terminal cost of capital and terminal growth; the bold cells sit closest to the current price.</w:t>
      </w:r>
    </w:p>
    <w:p>
      <w:pPr>
        <w:spacing w:after="120" w:before="280"/>
      </w:pPr>
      <w:r>
        <w:rPr>
          <w:b/>
          <w:i w:val="0"/>
          <w:color w:val="1C3A36"/>
          <w:sz w:val="30"/>
        </w:rPr>
        <w:t>2  Technical and price structure</w:t>
      </w:r>
    </w:p>
    <w:p>
      <w:pPr>
        <w:spacing w:after="120" w:before="0"/>
      </w:pPr>
      <w:r>
        <w:rPr>
          <w:b w:val="0"/>
          <w:i w:val="0"/>
          <w:color w:val="1C3A36"/>
          <w:sz w:val="21"/>
        </w:rPr>
        <w:t>The shares last traded at SAR 104.80, near the low of their 52-week range (about SAR 100 to SAR 143) and below all four of their moving averages — roughly 1% under the 20-session average, 8% under the 50-session and 14% under the 200-session — after retracing much of the multi-year advance that followed the December 2022 listing. The moving-average stack below places the current price in that context. This section is descriptive; it carries no fundamental claim.</w:t>
      </w:r>
    </w:p>
    <w:p>
      <w:pPr>
        <w:spacing w:after="40"/>
        <w:jc w:val="center"/>
      </w:pPr>
      <w:r>
        <w:drawing>
          <wp:inline xmlns:a="http://schemas.openxmlformats.org/drawingml/2006/main" xmlns:pic="http://schemas.openxmlformats.org/drawingml/2006/picture">
            <wp:extent cx="6309360" cy="2463654"/>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309360" cy="2463654"/>
                    </a:xfrm>
                    <a:prstGeom prst="rect"/>
                  </pic:spPr>
                </pic:pic>
              </a:graphicData>
            </a:graphic>
          </wp:inline>
        </w:drawing>
      </w:r>
    </w:p>
    <w:p>
      <w:pPr>
        <w:spacing w:after="200" w:before="0"/>
      </w:pPr>
      <w:r>
        <w:rPr>
          <w:b w:val="0"/>
          <w:i/>
          <w:color w:val="6E7B77"/>
          <w:sz w:val="17"/>
        </w:rPr>
        <w:t>Figure 5. Price against its 20-, 50-, 100- and 200-session moving averages, last 260 sessions.</w:t>
      </w:r>
    </w:p>
    <w:p>
      <w:pPr>
        <w:spacing w:after="120" w:before="280"/>
      </w:pPr>
      <w:r>
        <w:rPr>
          <w:b/>
          <w:i w:val="0"/>
          <w:color w:val="1C3A36"/>
          <w:sz w:val="30"/>
        </w:rPr>
        <w:t>3  A probabilistic price map</w:t>
      </w:r>
    </w:p>
    <w:p>
      <w:pPr>
        <w:spacing w:after="120" w:before="0"/>
      </w:pPr>
      <w:r>
        <w:rPr>
          <w:b w:val="0"/>
          <w:i w:val="0"/>
          <w:color w:val="1C3A36"/>
          <w:sz w:val="21"/>
        </w:rPr>
        <w:t>Separately from the fundamental value, we map the range of prices the shares could plausibly reach over the next one and three months, from 50,000 simulated paths calibrated to the stock’s own volatility. This is a statement about price risk, not about fair value.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2160"/>
        <w:gridCol w:w="2160"/>
      </w:tblGrid>
      <w:tr>
        <w:tc>
          <w:tcPr>
            <w:tcW w:type="dxa" w:w="3744"/>
            <w:shd w:val="clear" w:color="auto" w:fill="EAF0EE"/>
          </w:tcPr>
          <w:p>
            <w:pPr>
              <w:spacing w:after="20"/>
            </w:pPr>
            <w:r>
              <w:rPr>
                <w:b/>
                <w:color w:val="1C3A36"/>
                <w:sz w:val="18"/>
              </w:rPr>
              <w:t>Percentile</w:t>
            </w:r>
          </w:p>
        </w:tc>
        <w:tc>
          <w:tcPr>
            <w:tcW w:type="dxa" w:w="2160"/>
            <w:shd w:val="clear" w:color="auto" w:fill="EAF0EE"/>
          </w:tcPr>
          <w:p>
            <w:pPr>
              <w:spacing w:after="20"/>
            </w:pPr>
            <w:r>
              <w:rPr>
                <w:b/>
                <w:color w:val="1C3A36"/>
                <w:sz w:val="18"/>
              </w:rPr>
              <w:t>One month</w:t>
            </w:r>
          </w:p>
        </w:tc>
        <w:tc>
          <w:tcPr>
            <w:tcW w:type="dxa" w:w="2160"/>
            <w:shd w:val="clear" w:color="auto" w:fill="EAF0EE"/>
          </w:tcPr>
          <w:p>
            <w:pPr>
              <w:spacing w:after="20"/>
            </w:pPr>
            <w:r>
              <w:rPr>
                <w:b/>
                <w:color w:val="1C3A36"/>
                <w:sz w:val="18"/>
              </w:rPr>
              <w:t>Three months</w:t>
            </w:r>
          </w:p>
        </w:tc>
      </w:tr>
      <w:tr>
        <w:tc>
          <w:tcPr>
            <w:tcW w:type="dxa" w:w="3744"/>
          </w:tcPr>
          <w:p>
            <w:pPr>
              <w:spacing w:after="20"/>
            </w:pPr>
            <w:r>
              <w:rPr>
                <w:color w:val="1C3A36"/>
                <w:sz w:val="18"/>
              </w:rPr>
              <w:t>95th (upper)</w:t>
            </w:r>
          </w:p>
        </w:tc>
        <w:tc>
          <w:tcPr>
            <w:tcW w:type="dxa" w:w="2160"/>
          </w:tcPr>
          <w:p>
            <w:pPr>
              <w:spacing w:after="20"/>
              <w:jc w:val="right"/>
            </w:pPr>
            <w:r>
              <w:rPr>
                <w:color w:val="1C3A36"/>
                <w:sz w:val="18"/>
              </w:rPr>
              <w:t>126.2</w:t>
            </w:r>
          </w:p>
        </w:tc>
        <w:tc>
          <w:tcPr>
            <w:tcW w:type="dxa" w:w="2160"/>
          </w:tcPr>
          <w:p>
            <w:pPr>
              <w:spacing w:after="20"/>
              <w:jc w:val="right"/>
            </w:pPr>
            <w:r>
              <w:rPr>
                <w:color w:val="1C3A36"/>
                <w:sz w:val="18"/>
              </w:rPr>
              <w:t>144.1</w:t>
            </w:r>
          </w:p>
        </w:tc>
      </w:tr>
      <w:tr>
        <w:tc>
          <w:tcPr>
            <w:tcW w:type="dxa" w:w="3744"/>
          </w:tcPr>
          <w:p>
            <w:pPr>
              <w:spacing w:after="20"/>
            </w:pPr>
            <w:r>
              <w:rPr>
                <w:color w:val="1C3A36"/>
                <w:sz w:val="18"/>
              </w:rPr>
              <w:t>75th</w:t>
            </w:r>
          </w:p>
        </w:tc>
        <w:tc>
          <w:tcPr>
            <w:tcW w:type="dxa" w:w="2160"/>
          </w:tcPr>
          <w:p>
            <w:pPr>
              <w:spacing w:after="20"/>
              <w:jc w:val="right"/>
            </w:pPr>
            <w:r>
              <w:rPr>
                <w:color w:val="1C3A36"/>
                <w:sz w:val="18"/>
              </w:rPr>
              <w:t>112.6</w:t>
            </w:r>
          </w:p>
        </w:tc>
        <w:tc>
          <w:tcPr>
            <w:tcW w:type="dxa" w:w="2160"/>
          </w:tcPr>
          <w:p>
            <w:pPr>
              <w:spacing w:after="20"/>
              <w:jc w:val="right"/>
            </w:pPr>
            <w:r>
              <w:rPr>
                <w:color w:val="1C3A36"/>
                <w:sz w:val="18"/>
              </w:rPr>
              <w:t>118.7</w:t>
            </w:r>
          </w:p>
        </w:tc>
      </w:tr>
      <w:tr>
        <w:tc>
          <w:tcPr>
            <w:tcW w:type="dxa" w:w="3744"/>
          </w:tcPr>
          <w:p>
            <w:pPr>
              <w:spacing w:after="20"/>
            </w:pPr>
            <w:r>
              <w:rPr>
                <w:color w:val="1C3A36"/>
                <w:sz w:val="18"/>
              </w:rPr>
              <w:t>50th (median)</w:t>
            </w:r>
          </w:p>
        </w:tc>
        <w:tc>
          <w:tcPr>
            <w:tcW w:type="dxa" w:w="2160"/>
          </w:tcPr>
          <w:p>
            <w:pPr>
              <w:spacing w:after="20"/>
              <w:jc w:val="right"/>
            </w:pPr>
            <w:r>
              <w:rPr>
                <w:color w:val="1C3A36"/>
                <w:sz w:val="18"/>
              </w:rPr>
              <w:t>104.8</w:t>
            </w:r>
          </w:p>
        </w:tc>
        <w:tc>
          <w:tcPr>
            <w:tcW w:type="dxa" w:w="2160"/>
          </w:tcPr>
          <w:p>
            <w:pPr>
              <w:spacing w:after="20"/>
              <w:jc w:val="right"/>
            </w:pPr>
            <w:r>
              <w:rPr>
                <w:color w:val="1C3A36"/>
                <w:sz w:val="18"/>
              </w:rPr>
              <w:t>105.1</w:t>
            </w:r>
          </w:p>
        </w:tc>
      </w:tr>
      <w:tr>
        <w:tc>
          <w:tcPr>
            <w:tcW w:type="dxa" w:w="3744"/>
          </w:tcPr>
          <w:p>
            <w:pPr>
              <w:spacing w:after="20"/>
            </w:pPr>
            <w:r>
              <w:rPr>
                <w:color w:val="1C3A36"/>
                <w:sz w:val="18"/>
              </w:rPr>
              <w:t>25th</w:t>
            </w:r>
          </w:p>
        </w:tc>
        <w:tc>
          <w:tcPr>
            <w:tcW w:type="dxa" w:w="2160"/>
          </w:tcPr>
          <w:p>
            <w:pPr>
              <w:spacing w:after="20"/>
              <w:jc w:val="right"/>
            </w:pPr>
            <w:r>
              <w:rPr>
                <w:color w:val="1C3A36"/>
                <w:sz w:val="18"/>
              </w:rPr>
              <w:t>97.6</w:t>
            </w:r>
          </w:p>
        </w:tc>
        <w:tc>
          <w:tcPr>
            <w:tcW w:type="dxa" w:w="2160"/>
          </w:tcPr>
          <w:p>
            <w:pPr>
              <w:spacing w:after="20"/>
              <w:jc w:val="right"/>
            </w:pPr>
            <w:r>
              <w:rPr>
                <w:color w:val="1C3A36"/>
                <w:sz w:val="18"/>
              </w:rPr>
              <w:t>92.9</w:t>
            </w:r>
          </w:p>
        </w:tc>
      </w:tr>
      <w:tr>
        <w:tc>
          <w:tcPr>
            <w:tcW w:type="dxa" w:w="3744"/>
          </w:tcPr>
          <w:p>
            <w:pPr>
              <w:spacing w:after="20"/>
            </w:pPr>
            <w:r>
              <w:rPr>
                <w:color w:val="1C3A36"/>
                <w:sz w:val="18"/>
              </w:rPr>
              <w:t>5th (lower)</w:t>
            </w:r>
          </w:p>
        </w:tc>
        <w:tc>
          <w:tcPr>
            <w:tcW w:type="dxa" w:w="2160"/>
          </w:tcPr>
          <w:p>
            <w:pPr>
              <w:spacing w:after="20"/>
              <w:jc w:val="right"/>
            </w:pPr>
            <w:r>
              <w:rPr>
                <w:color w:val="1C3A36"/>
                <w:sz w:val="18"/>
              </w:rPr>
              <w:t>87.2</w:t>
            </w:r>
          </w:p>
        </w:tc>
        <w:tc>
          <w:tcPr>
            <w:tcW w:type="dxa" w:w="2160"/>
          </w:tcPr>
          <w:p>
            <w:pPr>
              <w:spacing w:after="20"/>
              <w:jc w:val="right"/>
            </w:pPr>
            <w:r>
              <w:rPr>
                <w:color w:val="1C3A36"/>
                <w:sz w:val="18"/>
              </w:rPr>
              <w:t>76.5</w:t>
            </w:r>
          </w:p>
        </w:tc>
      </w:tr>
      <w:tr>
        <w:tc>
          <w:tcPr>
            <w:tcW w:type="dxa" w:w="3744"/>
          </w:tcPr>
          <w:p>
            <w:pPr>
              <w:spacing w:after="20"/>
            </w:pPr>
            <w:r>
              <w:rPr>
                <w:color w:val="1C3A36"/>
                <w:sz w:val="18"/>
              </w:rPr>
              <w:t>Chance of finishing above today</w:t>
            </w:r>
          </w:p>
        </w:tc>
        <w:tc>
          <w:tcPr>
            <w:tcW w:type="dxa" w:w="2160"/>
          </w:tcPr>
          <w:p>
            <w:pPr>
              <w:spacing w:after="20"/>
              <w:jc w:val="right"/>
            </w:pPr>
            <w:r>
              <w:rPr>
                <w:color w:val="1C3A36"/>
                <w:sz w:val="18"/>
              </w:rPr>
              <w:t>50%</w:t>
            </w:r>
          </w:p>
        </w:tc>
        <w:tc>
          <w:tcPr>
            <w:tcW w:type="dxa" w:w="2160"/>
          </w:tcPr>
          <w:p>
            <w:pPr>
              <w:spacing w:after="20"/>
              <w:jc w:val="right"/>
            </w:pPr>
            <w:r>
              <w:rPr>
                <w:color w:val="1C3A36"/>
                <w:sz w:val="18"/>
              </w:rPr>
              <w:t>51%</w:t>
            </w:r>
          </w:p>
        </w:tc>
      </w:tr>
    </w:tbl>
    <w:p>
      <w:pPr>
        <w:spacing w:after="40"/>
      </w:pP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The forward price cone to three months — the shaded bands are the 25–75% and 5–95% ranges; the dashed brass line marks the fundamental central estimate.</w:t>
      </w:r>
    </w:p>
    <w:p>
      <w:pPr>
        <w:spacing w:after="120" w:before="0"/>
      </w:pPr>
      <w:r>
        <w:rPr>
          <w:b w:val="0"/>
          <w:i w:val="0"/>
          <w:color w:val="1C3A36"/>
          <w:sz w:val="21"/>
        </w:rPr>
        <w:t>The cone is well-calibrated in its outer bands and conservative in its inner one. Tested across the stock’s full trading history, its 80% and 90% bands contained 80% and 90% of actual outcomes — on target — while the 50% band contained 70%, wider than its label, so the inner band overstates the likely dispersion rather than understating it. The model’s implied ranks were close to uniform (a mean of 0.49 against an ideal of 0.50). On scored accuracy the cone was statistically indistinguishable from simply assuming the price follows a random walk over the roughly three and a half years the shares have been listed; it neither reliably beat that nor lagged it, which for a liquid large-cap is the honest result. Because the company only listed in December 2022, the calibration rests on that shorter own history together with the broader Saudi-market evidence behind the same simulation model; a five-year single-name record will exist in time. The level-touch chances above are read directly from the simulated paths.</w:t>
      </w:r>
    </w:p>
    <w:p>
      <w:pPr>
        <w:spacing w:after="120" w:before="280"/>
      </w:pPr>
      <w:r>
        <w:rPr>
          <w:b/>
          <w:i w:val="0"/>
          <w:color w:val="1C3A36"/>
          <w:sz w:val="30"/>
        </w:rPr>
        <w:t>4  Comparison of the lenses</w:t>
      </w:r>
    </w:p>
    <w:p>
      <w:pPr>
        <w:spacing w:after="120" w:before="0"/>
      </w:pPr>
      <w:r>
        <w:rPr>
          <w:b w:val="0"/>
          <w:i w:val="0"/>
          <w:color w:val="1C3A36"/>
          <w:sz w:val="21"/>
        </w:rPr>
        <w:t>The lenses disagree by design, and the disagreement is informative. The intrinsic discounted-cash-flow value (SAR 125) is the highest: it rewards a high return on capital, durable mid-single-digit growth and a low Saudi cost of capital, and it is terminal-heavy (81% of value beyond year five). The relative lens (SAR 86) is the most cautious: it holds the company to a mid-range exit multiple below where it trades today. Earnings power (SAR 102) and book value (SAR 95) sit between. Read together, the market price sits below the cash-flow lens and above the earnings-power, book and exit-multiple lenses; the reading depends entirely on how much weight one puts on the intrinsic economics versus the exit multiple. The central of SAR 125 is 19% above the market price.</w:t>
      </w:r>
    </w:p>
    <w:p>
      <w:pPr>
        <w:spacing w:after="120" w:before="280"/>
      </w:pPr>
      <w:r>
        <w:rPr>
          <w:b/>
          <w:i w:val="0"/>
          <w:color w:val="1C3A36"/>
          <w:sz w:val="30"/>
        </w:rPr>
        <w:t>5  Catalysts to watch</w:t>
      </w:r>
    </w:p>
    <w:p>
      <w:pPr>
        <w:pStyle w:val="ListBullet"/>
        <w:spacing w:after="60"/>
      </w:pPr>
      <w:r>
        <w:rPr>
          <w:b/>
          <w:color w:val="1C3A36"/>
          <w:sz w:val="21"/>
        </w:rPr>
        <w:t>Margin prints —</w:t>
      </w:r>
      <w:r>
        <w:rPr>
          <w:color w:val="1C3A36"/>
          <w:sz w:val="21"/>
        </w:rPr>
        <w:t xml:space="preserve"> the quarterly gross margin. The single most important number. Each quarter’s reviewed margin tests the sustained-spread judgement directly.</w:t>
      </w:r>
    </w:p>
    <w:p>
      <w:pPr>
        <w:pStyle w:val="ListBullet"/>
        <w:spacing w:after="60"/>
      </w:pPr>
      <w:r>
        <w:rPr>
          <w:b/>
          <w:color w:val="1C3A36"/>
          <w:sz w:val="21"/>
        </w:rPr>
        <w:t>Metal prices —</w:t>
      </w:r>
      <w:r>
        <w:rPr>
          <w:color w:val="1C3A36"/>
          <w:sz w:val="21"/>
        </w:rPr>
        <w:t xml:space="preserve"> copper and aluminium. A sustained metal move changes revenue and the reported margin; watch that gross profit per tonne, not the headline margin, holds.</w:t>
      </w:r>
    </w:p>
    <w:p>
      <w:pPr>
        <w:pStyle w:val="ListBullet"/>
        <w:spacing w:after="60"/>
      </w:pPr>
      <w:r>
        <w:rPr>
          <w:b/>
          <w:color w:val="1C3A36"/>
          <w:sz w:val="21"/>
        </w:rPr>
        <w:t>Volume —</w:t>
      </w:r>
      <w:r>
        <w:rPr>
          <w:color w:val="1C3A36"/>
          <w:sz w:val="21"/>
        </w:rPr>
        <w:t xml:space="preserve"> Saudi grid and construction spend (Saudi Electricity Company, giga-projects, housing) drives domestic volume, about three-quarters of sales.</w:t>
      </w:r>
    </w:p>
    <w:p>
      <w:pPr>
        <w:pStyle w:val="ListBullet"/>
        <w:spacing w:after="60"/>
      </w:pPr>
      <w:r>
        <w:rPr>
          <w:b/>
          <w:color w:val="1C3A36"/>
          <w:sz w:val="21"/>
        </w:rPr>
        <w:t>Exports —</w:t>
      </w:r>
      <w:r>
        <w:rPr>
          <w:color w:val="1C3A36"/>
          <w:sz w:val="21"/>
        </w:rPr>
        <w:t xml:space="preserve"> the export share (about a quarter of sales, mostly the UAE) and any new-market wins, including the early-stage Syrian memorandum of understanding disclosed in 2026.</w:t>
      </w:r>
    </w:p>
    <w:p>
      <w:pPr>
        <w:pStyle w:val="ListBullet"/>
        <w:spacing w:after="60"/>
      </w:pPr>
      <w:r>
        <w:rPr>
          <w:b/>
          <w:color w:val="1C3A36"/>
          <w:sz w:val="21"/>
        </w:rPr>
        <w:t>Capital —</w:t>
      </w:r>
      <w:r>
        <w:rPr>
          <w:color w:val="1C3A36"/>
          <w:sz w:val="21"/>
        </w:rPr>
        <w:t xml:space="preserve"> semi-annual dividends (the FY2025 final was SAR 2.25/share), the small treasury holding of 282,500 bought-back shares, and any change in payout or the completion of the current capacity build.</w:t>
      </w:r>
    </w:p>
    <w:p>
      <w:pPr>
        <w:spacing w:after="120" w:before="280"/>
      </w:pPr>
      <w:r>
        <w:rPr>
          <w:b/>
          <w:i w:val="0"/>
          <w:color w:val="1C3A36"/>
          <w:sz w:val="30"/>
        </w:rPr>
        <w:t>6  Reading the probability zones</w:t>
      </w:r>
    </w:p>
    <w:p>
      <w:pPr>
        <w:spacing w:after="120" w:before="0"/>
      </w:pPr>
      <w:r>
        <w:rPr>
          <w:b w:val="0"/>
          <w:i w:val="0"/>
          <w:color w:val="1C3A36"/>
          <w:sz w:val="21"/>
        </w:rPr>
        <w:t>The fundamental range and the price cone answer different questions. The fundamental central (SAR 125) is where the business is worth on its cash flows; the price cone (a three-month 5–95% range of about SAR 77 to SAR 144) is where the price could travel on volatility alone. When the fundamental estimate sits above the price, as here, the gap is the potential the intrinsic lens sees; the cone is a reminder that the path is wide and the outcome uncertain over any short horizon.</w:t>
      </w:r>
    </w:p>
    <w:p>
      <w:pPr>
        <w:spacing w:after="120" w:before="280"/>
      </w:pPr>
      <w:r>
        <w:rPr>
          <w:b/>
          <w:i w:val="0"/>
          <w:color w:val="1C3A36"/>
          <w:sz w:val="30"/>
        </w:rPr>
        <w:t>7  Caveats and what would change our mind</w:t>
      </w:r>
    </w:p>
    <w:p>
      <w:pPr>
        <w:pStyle w:val="ListBullet"/>
        <w:spacing w:after="60"/>
      </w:pPr>
      <w:r>
        <w:rPr>
          <w:b/>
          <w:color w:val="1C3A36"/>
          <w:sz w:val="21"/>
        </w:rPr>
        <w:t>The margin —</w:t>
      </w:r>
      <w:r>
        <w:rPr>
          <w:color w:val="1C3A36"/>
          <w:sz w:val="21"/>
        </w:rPr>
        <w:t xml:space="preserve"> if the sustained gross margin settles below 14.5% — a competitive or metal-driven squeeze on the conversion spread — the cash-flow lens falls toward SAR 113.</w:t>
      </w:r>
    </w:p>
    <w:p>
      <w:pPr>
        <w:pStyle w:val="ListBullet"/>
        <w:spacing w:after="60"/>
      </w:pPr>
      <w:r>
        <w:rPr>
          <w:b/>
          <w:color w:val="1C3A36"/>
          <w:sz w:val="21"/>
        </w:rPr>
        <w:t>Terminal reliance —</w:t>
      </w:r>
      <w:r>
        <w:rPr>
          <w:color w:val="1C3A36"/>
          <w:sz w:val="21"/>
        </w:rPr>
        <w:t xml:space="preserve"> the value is terminal-heavy (81% of enterprise value). A higher terminal cost of capital or lower growth cuts it materially, as the sensitivity grid shows.</w:t>
      </w:r>
    </w:p>
    <w:p>
      <w:pPr>
        <w:pStyle w:val="ListBullet"/>
        <w:spacing w:after="60"/>
      </w:pPr>
      <w:r>
        <w:rPr>
          <w:b/>
          <w:color w:val="1C3A36"/>
          <w:sz w:val="21"/>
        </w:rPr>
        <w:t>Concentration —</w:t>
      </w:r>
      <w:r>
        <w:rPr>
          <w:color w:val="1C3A36"/>
          <w:sz w:val="21"/>
        </w:rPr>
        <w:t xml:space="preserve"> revenue is single-country-concentrated and customer-concentrated (one customer was about 19% of 2025 revenue); the beta is estimated on a short listed history with a wide confidence interval.</w:t>
      </w:r>
    </w:p>
    <w:p>
      <w:pPr>
        <w:pStyle w:val="ListBullet"/>
        <w:spacing w:after="60"/>
      </w:pPr>
      <w:r>
        <w:rPr>
          <w:b/>
          <w:color w:val="1C3A36"/>
          <w:sz w:val="21"/>
        </w:rPr>
        <w:t>Working capital —</w:t>
      </w:r>
      <w:r>
        <w:rPr>
          <w:color w:val="1C3A36"/>
          <w:sz w:val="21"/>
        </w:rPr>
        <w:t xml:space="preserve"> a working-capital-heavy model ties cash in copper inventory and receivables; a stretch in either absorbs the cash the cash-flow lens counts.</w:t>
      </w:r>
    </w:p>
    <w:p>
      <w:pPr>
        <w:pStyle w:val="ListBullet"/>
        <w:spacing w:after="60"/>
      </w:pPr>
      <w:r>
        <w:rPr>
          <w:b/>
          <w:color w:val="1C3A36"/>
          <w:sz w:val="21"/>
        </w:rPr>
        <w:t>Short record —</w:t>
      </w:r>
      <w:r>
        <w:rPr>
          <w:color w:val="1C3A36"/>
          <w:sz w:val="21"/>
        </w:rPr>
        <w:t xml:space="preserve"> the price cone rests on a three-and-a-half-year listed history, shorter than the five-year ideal.</w:t>
      </w:r>
    </w:p>
    <w:p>
      <w:r>
        <w:br w:type="page"/>
      </w:r>
    </w:p>
    <w:p>
      <w:pPr>
        <w:spacing w:after="120" w:before="280"/>
      </w:pPr>
      <w:r>
        <w:rPr>
          <w:b/>
          <w:i w:val="0"/>
          <w:color w:val="1C3A36"/>
          <w:sz w:val="30"/>
        </w:rPr>
        <w:t>Appendix A  Financial statements</w:t>
      </w:r>
    </w:p>
    <w:p>
      <w:pPr>
        <w:spacing w:after="80" w:before="200"/>
      </w:pPr>
      <w:r>
        <w:rPr>
          <w:b/>
          <w:i w:val="0"/>
          <w:color w:val="1C3A36"/>
          <w:sz w:val="24"/>
        </w:rPr>
        <w:t>A.1  Income statement — three years actual, five years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152"/>
        <w:gridCol w:w="1152"/>
        <w:gridCol w:w="1152"/>
        <w:gridCol w:w="1152"/>
        <w:gridCol w:w="1152"/>
        <w:gridCol w:w="1152"/>
        <w:gridCol w:w="1152"/>
        <w:gridCol w:w="1152"/>
      </w:tblGrid>
      <w:tr>
        <w:tc>
          <w:tcPr>
            <w:tcW w:type="dxa" w:w="2448"/>
            <w:shd w:val="clear" w:color="auto" w:fill="EAF0EE"/>
          </w:tcPr>
          <w:p>
            <w:pPr>
              <w:spacing w:after="20"/>
            </w:pPr>
            <w:r>
              <w:rPr>
                <w:b/>
                <w:color w:val="1C3A36"/>
                <w:sz w:val="16"/>
              </w:rPr>
              <w:t>SAR mn</w:t>
            </w:r>
          </w:p>
        </w:tc>
        <w:tc>
          <w:tcPr>
            <w:tcW w:type="dxa" w:w="1152"/>
            <w:shd w:val="clear" w:color="auto" w:fill="EAF0EE"/>
          </w:tcPr>
          <w:p>
            <w:pPr>
              <w:spacing w:after="20"/>
            </w:pPr>
            <w:r>
              <w:rPr>
                <w:b/>
                <w:color w:val="1C3A36"/>
                <w:sz w:val="16"/>
              </w:rPr>
              <w:t>2023</w:t>
            </w:r>
          </w:p>
        </w:tc>
        <w:tc>
          <w:tcPr>
            <w:tcW w:type="dxa" w:w="1152"/>
            <w:shd w:val="clear" w:color="auto" w:fill="EAF0EE"/>
          </w:tcPr>
          <w:p>
            <w:pPr>
              <w:spacing w:after="20"/>
            </w:pPr>
            <w:r>
              <w:rPr>
                <w:b/>
                <w:color w:val="1C3A36"/>
                <w:sz w:val="16"/>
              </w:rPr>
              <w:t>2024</w:t>
            </w:r>
          </w:p>
        </w:tc>
        <w:tc>
          <w:tcPr>
            <w:tcW w:type="dxa" w:w="1152"/>
            <w:shd w:val="clear" w:color="auto" w:fill="EAF0EE"/>
          </w:tcPr>
          <w:p>
            <w:pPr>
              <w:spacing w:after="20"/>
            </w:pPr>
            <w:r>
              <w:rPr>
                <w:b/>
                <w:color w:val="1C3A36"/>
                <w:sz w:val="16"/>
              </w:rPr>
              <w:t>2025</w:t>
            </w:r>
          </w:p>
        </w:tc>
        <w:tc>
          <w:tcPr>
            <w:tcW w:type="dxa" w:w="1152"/>
            <w:shd w:val="clear" w:color="auto" w:fill="EAF0EE"/>
          </w:tcPr>
          <w:p>
            <w:pPr>
              <w:spacing w:after="20"/>
            </w:pPr>
            <w:r>
              <w:rPr>
                <w:b/>
                <w:color w:val="1C3A36"/>
                <w:sz w:val="16"/>
              </w:rPr>
              <w:t>FY26E</w:t>
            </w:r>
          </w:p>
        </w:tc>
        <w:tc>
          <w:tcPr>
            <w:tcW w:type="dxa" w:w="1152"/>
            <w:shd w:val="clear" w:color="auto" w:fill="EAF0EE"/>
          </w:tcPr>
          <w:p>
            <w:pPr>
              <w:spacing w:after="20"/>
            </w:pPr>
            <w:r>
              <w:rPr>
                <w:b/>
                <w:color w:val="1C3A36"/>
                <w:sz w:val="16"/>
              </w:rPr>
              <w:t>FY27E</w:t>
            </w:r>
          </w:p>
        </w:tc>
        <w:tc>
          <w:tcPr>
            <w:tcW w:type="dxa" w:w="1152"/>
            <w:shd w:val="clear" w:color="auto" w:fill="EAF0EE"/>
          </w:tcPr>
          <w:p>
            <w:pPr>
              <w:spacing w:after="20"/>
            </w:pPr>
            <w:r>
              <w:rPr>
                <w:b/>
                <w:color w:val="1C3A36"/>
                <w:sz w:val="16"/>
              </w:rPr>
              <w:t>FY28E</w:t>
            </w:r>
          </w:p>
        </w:tc>
        <w:tc>
          <w:tcPr>
            <w:tcW w:type="dxa" w:w="1152"/>
            <w:shd w:val="clear" w:color="auto" w:fill="EAF0EE"/>
          </w:tcPr>
          <w:p>
            <w:pPr>
              <w:spacing w:after="20"/>
            </w:pPr>
            <w:r>
              <w:rPr>
                <w:b/>
                <w:color w:val="1C3A36"/>
                <w:sz w:val="16"/>
              </w:rPr>
              <w:t>FY29E</w:t>
            </w:r>
          </w:p>
        </w:tc>
        <w:tc>
          <w:tcPr>
            <w:tcW w:type="dxa" w:w="1152"/>
            <w:shd w:val="clear" w:color="auto" w:fill="EAF0EE"/>
          </w:tcPr>
          <w:p>
            <w:pPr>
              <w:spacing w:after="20"/>
            </w:pPr>
            <w:r>
              <w:rPr>
                <w:b/>
                <w:color w:val="1C3A36"/>
                <w:sz w:val="16"/>
              </w:rPr>
              <w:t>FY30E</w:t>
            </w:r>
          </w:p>
        </w:tc>
      </w:tr>
      <w:tr>
        <w:tc>
          <w:tcPr>
            <w:tcW w:type="dxa" w:w="2448"/>
          </w:tcPr>
          <w:p>
            <w:pPr>
              <w:spacing w:after="20"/>
            </w:pPr>
            <w:r>
              <w:rPr>
                <w:color w:val="1C3A36"/>
                <w:sz w:val="16"/>
              </w:rPr>
              <w:t>Revenue</w:t>
            </w:r>
          </w:p>
        </w:tc>
        <w:tc>
          <w:tcPr>
            <w:tcW w:type="dxa" w:w="1152"/>
          </w:tcPr>
          <w:p>
            <w:pPr>
              <w:spacing w:after="20"/>
              <w:jc w:val="right"/>
            </w:pPr>
            <w:r>
              <w:rPr>
                <w:color w:val="1C3A36"/>
                <w:sz w:val="16"/>
              </w:rPr>
              <w:t>7,825</w:t>
            </w:r>
          </w:p>
        </w:tc>
        <w:tc>
          <w:tcPr>
            <w:tcW w:type="dxa" w:w="1152"/>
          </w:tcPr>
          <w:p>
            <w:pPr>
              <w:spacing w:after="20"/>
              <w:jc w:val="right"/>
            </w:pPr>
            <w:r>
              <w:rPr>
                <w:color w:val="1C3A36"/>
                <w:sz w:val="16"/>
              </w:rPr>
              <w:t>9,007</w:t>
            </w:r>
          </w:p>
        </w:tc>
        <w:tc>
          <w:tcPr>
            <w:tcW w:type="dxa" w:w="1152"/>
          </w:tcPr>
          <w:p>
            <w:pPr>
              <w:spacing w:after="20"/>
              <w:jc w:val="right"/>
            </w:pPr>
            <w:r>
              <w:rPr>
                <w:color w:val="1C3A36"/>
                <w:sz w:val="16"/>
              </w:rPr>
              <w:t>10,674</w:t>
            </w:r>
          </w:p>
        </w:tc>
        <w:tc>
          <w:tcPr>
            <w:tcW w:type="dxa" w:w="1152"/>
          </w:tcPr>
          <w:p>
            <w:pPr>
              <w:spacing w:after="20"/>
              <w:jc w:val="right"/>
            </w:pPr>
            <w:r>
              <w:rPr>
                <w:color w:val="1C3A36"/>
                <w:sz w:val="16"/>
              </w:rPr>
              <w:t>11,499</w:t>
            </w:r>
          </w:p>
        </w:tc>
        <w:tc>
          <w:tcPr>
            <w:tcW w:type="dxa" w:w="1152"/>
          </w:tcPr>
          <w:p>
            <w:pPr>
              <w:spacing w:after="20"/>
              <w:jc w:val="right"/>
            </w:pPr>
            <w:r>
              <w:rPr>
                <w:color w:val="1C3A36"/>
                <w:sz w:val="16"/>
              </w:rPr>
              <w:t>12,392</w:t>
            </w:r>
          </w:p>
        </w:tc>
        <w:tc>
          <w:tcPr>
            <w:tcW w:type="dxa" w:w="1152"/>
          </w:tcPr>
          <w:p>
            <w:pPr>
              <w:spacing w:after="20"/>
              <w:jc w:val="right"/>
            </w:pPr>
            <w:r>
              <w:rPr>
                <w:color w:val="1C3A36"/>
                <w:sz w:val="16"/>
              </w:rPr>
              <w:t>13,340</w:t>
            </w:r>
          </w:p>
        </w:tc>
        <w:tc>
          <w:tcPr>
            <w:tcW w:type="dxa" w:w="1152"/>
          </w:tcPr>
          <w:p>
            <w:pPr>
              <w:spacing w:after="20"/>
              <w:jc w:val="right"/>
            </w:pPr>
            <w:r>
              <w:rPr>
                <w:color w:val="1C3A36"/>
                <w:sz w:val="16"/>
              </w:rPr>
              <w:t>14,235</w:t>
            </w:r>
          </w:p>
        </w:tc>
        <w:tc>
          <w:tcPr>
            <w:tcW w:type="dxa" w:w="1152"/>
          </w:tcPr>
          <w:p>
            <w:pPr>
              <w:spacing w:after="20"/>
              <w:jc w:val="right"/>
            </w:pPr>
            <w:r>
              <w:rPr>
                <w:color w:val="1C3A36"/>
                <w:sz w:val="16"/>
              </w:rPr>
              <w:t>15,111</w:t>
            </w:r>
          </w:p>
        </w:tc>
      </w:tr>
      <w:tr>
        <w:tc>
          <w:tcPr>
            <w:tcW w:type="dxa" w:w="2448"/>
          </w:tcPr>
          <w:p>
            <w:pPr>
              <w:spacing w:after="20"/>
            </w:pPr>
            <w:r>
              <w:rPr>
                <w:color w:val="1C3A36"/>
                <w:sz w:val="16"/>
              </w:rPr>
              <w:t>Gross profit</w:t>
            </w:r>
          </w:p>
        </w:tc>
        <w:tc>
          <w:tcPr>
            <w:tcW w:type="dxa" w:w="1152"/>
          </w:tcPr>
          <w:p>
            <w:pPr>
              <w:spacing w:after="20"/>
              <w:jc w:val="right"/>
            </w:pPr>
            <w:r>
              <w:rPr>
                <w:color w:val="1C3A36"/>
                <w:sz w:val="16"/>
              </w:rPr>
              <w:t>973</w:t>
            </w:r>
          </w:p>
        </w:tc>
        <w:tc>
          <w:tcPr>
            <w:tcW w:type="dxa" w:w="1152"/>
          </w:tcPr>
          <w:p>
            <w:pPr>
              <w:spacing w:after="20"/>
              <w:jc w:val="right"/>
            </w:pPr>
            <w:r>
              <w:rPr>
                <w:color w:val="1C3A36"/>
                <w:sz w:val="16"/>
              </w:rPr>
              <w:t>1,287</w:t>
            </w:r>
          </w:p>
        </w:tc>
        <w:tc>
          <w:tcPr>
            <w:tcW w:type="dxa" w:w="1152"/>
          </w:tcPr>
          <w:p>
            <w:pPr>
              <w:spacing w:after="20"/>
              <w:jc w:val="right"/>
            </w:pPr>
            <w:r>
              <w:rPr>
                <w:color w:val="1C3A36"/>
                <w:sz w:val="16"/>
              </w:rPr>
              <w:t>1,733</w:t>
            </w:r>
          </w:p>
        </w:tc>
        <w:tc>
          <w:tcPr>
            <w:tcW w:type="dxa" w:w="1152"/>
          </w:tcPr>
          <w:p>
            <w:pPr>
              <w:spacing w:after="20"/>
              <w:jc w:val="right"/>
            </w:pPr>
            <w:r>
              <w:rPr>
                <w:color w:val="1C3A36"/>
                <w:sz w:val="16"/>
              </w:rPr>
              <w:t>1,750</w:t>
            </w:r>
          </w:p>
        </w:tc>
        <w:tc>
          <w:tcPr>
            <w:tcW w:type="dxa" w:w="1152"/>
          </w:tcPr>
          <w:p>
            <w:pPr>
              <w:spacing w:after="20"/>
              <w:jc w:val="right"/>
            </w:pPr>
            <w:r>
              <w:rPr>
                <w:color w:val="1C3A36"/>
                <w:sz w:val="16"/>
              </w:rPr>
              <w:t>1,898</w:t>
            </w:r>
          </w:p>
        </w:tc>
        <w:tc>
          <w:tcPr>
            <w:tcW w:type="dxa" w:w="1152"/>
          </w:tcPr>
          <w:p>
            <w:pPr>
              <w:spacing w:after="20"/>
              <w:jc w:val="right"/>
            </w:pPr>
            <w:r>
              <w:rPr>
                <w:color w:val="1C3A36"/>
                <w:sz w:val="16"/>
              </w:rPr>
              <w:t>2,043</w:t>
            </w:r>
          </w:p>
        </w:tc>
        <w:tc>
          <w:tcPr>
            <w:tcW w:type="dxa" w:w="1152"/>
          </w:tcPr>
          <w:p>
            <w:pPr>
              <w:spacing w:after="20"/>
              <w:jc w:val="right"/>
            </w:pPr>
            <w:r>
              <w:rPr>
                <w:color w:val="1C3A36"/>
                <w:sz w:val="16"/>
              </w:rPr>
              <w:t>2,187</w:t>
            </w:r>
          </w:p>
        </w:tc>
        <w:tc>
          <w:tcPr>
            <w:tcW w:type="dxa" w:w="1152"/>
          </w:tcPr>
          <w:p>
            <w:pPr>
              <w:spacing w:after="20"/>
              <w:jc w:val="right"/>
            </w:pPr>
            <w:r>
              <w:rPr>
                <w:color w:val="1C3A36"/>
                <w:sz w:val="16"/>
              </w:rPr>
              <w:t>2,321</w:t>
            </w:r>
          </w:p>
        </w:tc>
      </w:tr>
      <w:tr>
        <w:tc>
          <w:tcPr>
            <w:tcW w:type="dxa" w:w="2448"/>
          </w:tcPr>
          <w:p>
            <w:pPr>
              <w:spacing w:after="20"/>
            </w:pPr>
            <w:r>
              <w:rPr>
                <w:color w:val="1C3A36"/>
                <w:sz w:val="16"/>
              </w:rPr>
              <w:t xml:space="preserve">  Gross margin</w:t>
            </w:r>
          </w:p>
        </w:tc>
        <w:tc>
          <w:tcPr>
            <w:tcW w:type="dxa" w:w="1152"/>
          </w:tcPr>
          <w:p>
            <w:pPr>
              <w:spacing w:after="20"/>
              <w:jc w:val="right"/>
            </w:pPr>
            <w:r>
              <w:rPr>
                <w:color w:val="1C3A36"/>
                <w:sz w:val="16"/>
              </w:rPr>
              <w:t>12.4%</w:t>
            </w:r>
          </w:p>
        </w:tc>
        <w:tc>
          <w:tcPr>
            <w:tcW w:type="dxa" w:w="1152"/>
          </w:tcPr>
          <w:p>
            <w:pPr>
              <w:spacing w:after="20"/>
              <w:jc w:val="right"/>
            </w:pPr>
            <w:r>
              <w:rPr>
                <w:color w:val="1C3A36"/>
                <w:sz w:val="16"/>
              </w:rPr>
              <w:t>14.3%</w:t>
            </w:r>
          </w:p>
        </w:tc>
        <w:tc>
          <w:tcPr>
            <w:tcW w:type="dxa" w:w="1152"/>
          </w:tcPr>
          <w:p>
            <w:pPr>
              <w:spacing w:after="20"/>
              <w:jc w:val="right"/>
            </w:pPr>
            <w:r>
              <w:rPr>
                <w:color w:val="1C3A36"/>
                <w:sz w:val="16"/>
              </w:rPr>
              <w:t>16.2%</w:t>
            </w:r>
          </w:p>
        </w:tc>
        <w:tc>
          <w:tcPr>
            <w:tcW w:type="dxa" w:w="1152"/>
          </w:tcPr>
          <w:p>
            <w:pPr>
              <w:spacing w:after="20"/>
              <w:jc w:val="right"/>
            </w:pPr>
            <w:r>
              <w:rPr>
                <w:color w:val="1C3A36"/>
                <w:sz w:val="16"/>
              </w:rPr>
              <w:t>15.2%</w:t>
            </w:r>
          </w:p>
        </w:tc>
        <w:tc>
          <w:tcPr>
            <w:tcW w:type="dxa" w:w="1152"/>
          </w:tcPr>
          <w:p>
            <w:pPr>
              <w:spacing w:after="20"/>
              <w:jc w:val="right"/>
            </w:pPr>
            <w:r>
              <w:rPr>
                <w:color w:val="1C3A36"/>
                <w:sz w:val="16"/>
              </w:rPr>
              <w:t>15.3%</w:t>
            </w:r>
          </w:p>
        </w:tc>
        <w:tc>
          <w:tcPr>
            <w:tcW w:type="dxa" w:w="1152"/>
          </w:tcPr>
          <w:p>
            <w:pPr>
              <w:spacing w:after="20"/>
              <w:jc w:val="right"/>
            </w:pPr>
            <w:r>
              <w:rPr>
                <w:color w:val="1C3A36"/>
                <w:sz w:val="16"/>
              </w:rPr>
              <w:t>15.3%</w:t>
            </w:r>
          </w:p>
        </w:tc>
        <w:tc>
          <w:tcPr>
            <w:tcW w:type="dxa" w:w="1152"/>
          </w:tcPr>
          <w:p>
            <w:pPr>
              <w:spacing w:after="20"/>
              <w:jc w:val="right"/>
            </w:pPr>
            <w:r>
              <w:rPr>
                <w:color w:val="1C3A36"/>
                <w:sz w:val="16"/>
              </w:rPr>
              <w:t>15.4%</w:t>
            </w:r>
          </w:p>
        </w:tc>
        <w:tc>
          <w:tcPr>
            <w:tcW w:type="dxa" w:w="1152"/>
          </w:tcPr>
          <w:p>
            <w:pPr>
              <w:spacing w:after="20"/>
              <w:jc w:val="right"/>
            </w:pPr>
            <w:r>
              <w:rPr>
                <w:color w:val="1C3A36"/>
                <w:sz w:val="16"/>
              </w:rPr>
              <w:t>15.4%</w:t>
            </w:r>
          </w:p>
        </w:tc>
      </w:tr>
      <w:tr>
        <w:tc>
          <w:tcPr>
            <w:tcW w:type="dxa" w:w="2448"/>
          </w:tcPr>
          <w:p>
            <w:pPr>
              <w:spacing w:after="20"/>
            </w:pPr>
            <w:r>
              <w:rPr>
                <w:color w:val="1C3A36"/>
                <w:sz w:val="16"/>
              </w:rPr>
              <w:t>EBITDA</w:t>
            </w:r>
          </w:p>
        </w:tc>
        <w:tc>
          <w:tcPr>
            <w:tcW w:type="dxa" w:w="1152"/>
          </w:tcPr>
          <w:p>
            <w:pPr>
              <w:spacing w:after="20"/>
              <w:jc w:val="right"/>
            </w:pPr>
            <w:r>
              <w:rPr>
                <w:color w:val="1C3A36"/>
                <w:sz w:val="16"/>
              </w:rPr>
              <w:t>714</w:t>
            </w:r>
          </w:p>
        </w:tc>
        <w:tc>
          <w:tcPr>
            <w:tcW w:type="dxa" w:w="1152"/>
          </w:tcPr>
          <w:p>
            <w:pPr>
              <w:spacing w:after="20"/>
              <w:jc w:val="right"/>
            </w:pPr>
            <w:r>
              <w:rPr>
                <w:color w:val="1C3A36"/>
                <w:sz w:val="16"/>
              </w:rPr>
              <w:t>1,037</w:t>
            </w:r>
          </w:p>
        </w:tc>
        <w:tc>
          <w:tcPr>
            <w:tcW w:type="dxa" w:w="1152"/>
          </w:tcPr>
          <w:p>
            <w:pPr>
              <w:spacing w:after="20"/>
              <w:jc w:val="right"/>
            </w:pPr>
            <w:r>
              <w:rPr>
                <w:color w:val="1C3A36"/>
                <w:sz w:val="16"/>
              </w:rPr>
              <w:t>1,352</w:t>
            </w:r>
          </w:p>
        </w:tc>
        <w:tc>
          <w:tcPr>
            <w:tcW w:type="dxa" w:w="1152"/>
          </w:tcPr>
          <w:p>
            <w:pPr>
              <w:spacing w:after="20"/>
              <w:jc w:val="right"/>
            </w:pPr>
            <w:r>
              <w:rPr>
                <w:color w:val="1C3A36"/>
                <w:sz w:val="16"/>
              </w:rPr>
              <w:t>1,354</w:t>
            </w:r>
          </w:p>
        </w:tc>
        <w:tc>
          <w:tcPr>
            <w:tcW w:type="dxa" w:w="1152"/>
          </w:tcPr>
          <w:p>
            <w:pPr>
              <w:spacing w:after="20"/>
              <w:jc w:val="right"/>
            </w:pPr>
            <w:r>
              <w:rPr>
                <w:color w:val="1C3A36"/>
                <w:sz w:val="16"/>
              </w:rPr>
              <w:t>1,471</w:t>
            </w:r>
          </w:p>
        </w:tc>
        <w:tc>
          <w:tcPr>
            <w:tcW w:type="dxa" w:w="1152"/>
          </w:tcPr>
          <w:p>
            <w:pPr>
              <w:spacing w:after="20"/>
              <w:jc w:val="right"/>
            </w:pPr>
            <w:r>
              <w:rPr>
                <w:color w:val="1C3A36"/>
                <w:sz w:val="16"/>
              </w:rPr>
              <w:t>1,589</w:t>
            </w:r>
          </w:p>
        </w:tc>
        <w:tc>
          <w:tcPr>
            <w:tcW w:type="dxa" w:w="1152"/>
          </w:tcPr>
          <w:p>
            <w:pPr>
              <w:spacing w:after="20"/>
              <w:jc w:val="right"/>
            </w:pPr>
            <w:r>
              <w:rPr>
                <w:color w:val="1C3A36"/>
                <w:sz w:val="16"/>
              </w:rPr>
              <w:t>1,710</w:t>
            </w:r>
          </w:p>
        </w:tc>
        <w:tc>
          <w:tcPr>
            <w:tcW w:type="dxa" w:w="1152"/>
          </w:tcPr>
          <w:p>
            <w:pPr>
              <w:spacing w:after="20"/>
              <w:jc w:val="right"/>
            </w:pPr>
            <w:r>
              <w:rPr>
                <w:color w:val="1C3A36"/>
                <w:sz w:val="16"/>
              </w:rPr>
              <w:t>1,814</w:t>
            </w:r>
          </w:p>
        </w:tc>
      </w:tr>
      <w:tr>
        <w:tc>
          <w:tcPr>
            <w:tcW w:type="dxa" w:w="2448"/>
          </w:tcPr>
          <w:p>
            <w:pPr>
              <w:spacing w:after="20"/>
            </w:pPr>
            <w:r>
              <w:rPr>
                <w:color w:val="1C3A36"/>
                <w:sz w:val="16"/>
              </w:rPr>
              <w:t>EBIT</w:t>
            </w:r>
          </w:p>
        </w:tc>
        <w:tc>
          <w:tcPr>
            <w:tcW w:type="dxa" w:w="1152"/>
          </w:tcPr>
          <w:p>
            <w:pPr>
              <w:spacing w:after="20"/>
              <w:jc w:val="right"/>
            </w:pPr>
            <w:r>
              <w:rPr>
                <w:color w:val="1C3A36"/>
                <w:sz w:val="16"/>
              </w:rPr>
              <w:t>648</w:t>
            </w:r>
          </w:p>
        </w:tc>
        <w:tc>
          <w:tcPr>
            <w:tcW w:type="dxa" w:w="1152"/>
          </w:tcPr>
          <w:p>
            <w:pPr>
              <w:spacing w:after="20"/>
              <w:jc w:val="right"/>
            </w:pPr>
            <w:r>
              <w:rPr>
                <w:color w:val="1C3A36"/>
                <w:sz w:val="16"/>
              </w:rPr>
              <w:t>968</w:t>
            </w:r>
          </w:p>
        </w:tc>
        <w:tc>
          <w:tcPr>
            <w:tcW w:type="dxa" w:w="1152"/>
          </w:tcPr>
          <w:p>
            <w:pPr>
              <w:spacing w:after="20"/>
              <w:jc w:val="right"/>
            </w:pPr>
            <w:r>
              <w:rPr>
                <w:color w:val="1C3A36"/>
                <w:sz w:val="16"/>
              </w:rPr>
              <w:t>1,267</w:t>
            </w:r>
          </w:p>
        </w:tc>
        <w:tc>
          <w:tcPr>
            <w:tcW w:type="dxa" w:w="1152"/>
          </w:tcPr>
          <w:p>
            <w:pPr>
              <w:spacing w:after="20"/>
              <w:jc w:val="right"/>
            </w:pPr>
            <w:r>
              <w:rPr>
                <w:color w:val="1C3A36"/>
                <w:sz w:val="16"/>
              </w:rPr>
              <w:t>1,256</w:t>
            </w:r>
          </w:p>
        </w:tc>
        <w:tc>
          <w:tcPr>
            <w:tcW w:type="dxa" w:w="1152"/>
          </w:tcPr>
          <w:p>
            <w:pPr>
              <w:spacing w:after="20"/>
              <w:jc w:val="right"/>
            </w:pPr>
            <w:r>
              <w:rPr>
                <w:color w:val="1C3A36"/>
                <w:sz w:val="16"/>
              </w:rPr>
              <w:t>1,365</w:t>
            </w:r>
          </w:p>
        </w:tc>
        <w:tc>
          <w:tcPr>
            <w:tcW w:type="dxa" w:w="1152"/>
          </w:tcPr>
          <w:p>
            <w:pPr>
              <w:spacing w:after="20"/>
              <w:jc w:val="right"/>
            </w:pPr>
            <w:r>
              <w:rPr>
                <w:color w:val="1C3A36"/>
                <w:sz w:val="16"/>
              </w:rPr>
              <w:t>1,476</w:t>
            </w:r>
          </w:p>
        </w:tc>
        <w:tc>
          <w:tcPr>
            <w:tcW w:type="dxa" w:w="1152"/>
          </w:tcPr>
          <w:p>
            <w:pPr>
              <w:spacing w:after="20"/>
              <w:jc w:val="right"/>
            </w:pPr>
            <w:r>
              <w:rPr>
                <w:color w:val="1C3A36"/>
                <w:sz w:val="16"/>
              </w:rPr>
              <w:t>1,589</w:t>
            </w:r>
          </w:p>
        </w:tc>
        <w:tc>
          <w:tcPr>
            <w:tcW w:type="dxa" w:w="1152"/>
          </w:tcPr>
          <w:p>
            <w:pPr>
              <w:spacing w:after="20"/>
              <w:jc w:val="right"/>
            </w:pPr>
            <w:r>
              <w:rPr>
                <w:color w:val="1C3A36"/>
                <w:sz w:val="16"/>
              </w:rPr>
              <w:t>1,686</w:t>
            </w:r>
          </w:p>
        </w:tc>
      </w:tr>
      <w:tr>
        <w:tc>
          <w:tcPr>
            <w:tcW w:type="dxa" w:w="2448"/>
          </w:tcPr>
          <w:p>
            <w:pPr>
              <w:spacing w:after="20"/>
            </w:pPr>
            <w:r>
              <w:rPr>
                <w:color w:val="1C3A36"/>
                <w:sz w:val="16"/>
              </w:rPr>
              <w:t>Net finance cost</w:t>
            </w:r>
          </w:p>
        </w:tc>
        <w:tc>
          <w:tcPr>
            <w:tcW w:type="dxa" w:w="1152"/>
          </w:tcPr>
          <w:p>
            <w:pPr>
              <w:spacing w:after="20"/>
              <w:jc w:val="right"/>
            </w:pPr>
            <w:r>
              <w:rPr>
                <w:color w:val="1C3A36"/>
                <w:sz w:val="16"/>
              </w:rPr>
              <w:t>-89</w:t>
            </w:r>
          </w:p>
        </w:tc>
        <w:tc>
          <w:tcPr>
            <w:tcW w:type="dxa" w:w="1152"/>
          </w:tcPr>
          <w:p>
            <w:pPr>
              <w:spacing w:after="20"/>
              <w:jc w:val="right"/>
            </w:pPr>
            <w:r>
              <w:rPr>
                <w:color w:val="1C3A36"/>
                <w:sz w:val="16"/>
              </w:rPr>
              <w:t>-88</w:t>
            </w:r>
          </w:p>
        </w:tc>
        <w:tc>
          <w:tcPr>
            <w:tcW w:type="dxa" w:w="1152"/>
          </w:tcPr>
          <w:p>
            <w:pPr>
              <w:spacing w:after="20"/>
              <w:jc w:val="right"/>
            </w:pPr>
            <w:r>
              <w:rPr>
                <w:color w:val="1C3A36"/>
                <w:sz w:val="16"/>
              </w:rPr>
              <w:t>-74</w:t>
            </w:r>
          </w:p>
        </w:tc>
        <w:tc>
          <w:tcPr>
            <w:tcW w:type="dxa" w:w="1152"/>
          </w:tcPr>
          <w:p>
            <w:pPr>
              <w:spacing w:after="20"/>
              <w:jc w:val="right"/>
            </w:pPr>
            <w:r>
              <w:rPr>
                <w:color w:val="1C3A36"/>
                <w:sz w:val="16"/>
              </w:rPr>
              <w:t>-27</w:t>
            </w:r>
          </w:p>
        </w:tc>
        <w:tc>
          <w:tcPr>
            <w:tcW w:type="dxa" w:w="1152"/>
          </w:tcPr>
          <w:p>
            <w:pPr>
              <w:spacing w:after="20"/>
              <w:jc w:val="right"/>
            </w:pPr>
            <w:r>
              <w:rPr>
                <w:color w:val="1C3A36"/>
                <w:sz w:val="16"/>
              </w:rPr>
              <w:t>-23</w:t>
            </w:r>
          </w:p>
        </w:tc>
        <w:tc>
          <w:tcPr>
            <w:tcW w:type="dxa" w:w="1152"/>
          </w:tcPr>
          <w:p>
            <w:pPr>
              <w:spacing w:after="20"/>
              <w:jc w:val="right"/>
            </w:pPr>
            <w:r>
              <w:rPr>
                <w:color w:val="1C3A36"/>
                <w:sz w:val="16"/>
              </w:rPr>
              <w:t>-15</w:t>
            </w:r>
          </w:p>
        </w:tc>
        <w:tc>
          <w:tcPr>
            <w:tcW w:type="dxa" w:w="1152"/>
          </w:tcPr>
          <w:p>
            <w:pPr>
              <w:spacing w:after="20"/>
              <w:jc w:val="right"/>
            </w:pPr>
            <w:r>
              <w:rPr>
                <w:color w:val="1C3A36"/>
                <w:sz w:val="16"/>
              </w:rPr>
              <w:t>-5</w:t>
            </w:r>
          </w:p>
        </w:tc>
        <w:tc>
          <w:tcPr>
            <w:tcW w:type="dxa" w:w="1152"/>
          </w:tcPr>
          <w:p>
            <w:pPr>
              <w:spacing w:after="20"/>
              <w:jc w:val="right"/>
            </w:pPr>
            <w:r>
              <w:rPr>
                <w:color w:val="1C3A36"/>
                <w:sz w:val="16"/>
              </w:rPr>
              <w:t>7</w:t>
            </w:r>
          </w:p>
        </w:tc>
      </w:tr>
      <w:tr>
        <w:tc>
          <w:tcPr>
            <w:tcW w:type="dxa" w:w="2448"/>
          </w:tcPr>
          <w:p>
            <w:pPr>
              <w:spacing w:after="20"/>
            </w:pPr>
            <w:r>
              <w:rPr>
                <w:color w:val="1C3A36"/>
                <w:sz w:val="16"/>
              </w:rPr>
              <w:t>Profit before zakat</w:t>
            </w:r>
          </w:p>
        </w:tc>
        <w:tc>
          <w:tcPr>
            <w:tcW w:type="dxa" w:w="1152"/>
          </w:tcPr>
          <w:p>
            <w:pPr>
              <w:spacing w:after="20"/>
              <w:jc w:val="right"/>
            </w:pPr>
            <w:r>
              <w:rPr>
                <w:color w:val="1C3A36"/>
                <w:sz w:val="16"/>
              </w:rPr>
              <w:t>559</w:t>
            </w:r>
          </w:p>
        </w:tc>
        <w:tc>
          <w:tcPr>
            <w:tcW w:type="dxa" w:w="1152"/>
          </w:tcPr>
          <w:p>
            <w:pPr>
              <w:spacing w:after="20"/>
              <w:jc w:val="right"/>
            </w:pPr>
            <w:r>
              <w:rPr>
                <w:color w:val="1C3A36"/>
                <w:sz w:val="16"/>
              </w:rPr>
              <w:t>881</w:t>
            </w:r>
          </w:p>
        </w:tc>
        <w:tc>
          <w:tcPr>
            <w:tcW w:type="dxa" w:w="1152"/>
          </w:tcPr>
          <w:p>
            <w:pPr>
              <w:spacing w:after="20"/>
              <w:jc w:val="right"/>
            </w:pPr>
            <w:r>
              <w:rPr>
                <w:color w:val="1C3A36"/>
                <w:sz w:val="16"/>
              </w:rPr>
              <w:t>1,192</w:t>
            </w:r>
          </w:p>
        </w:tc>
        <w:tc>
          <w:tcPr>
            <w:tcW w:type="dxa" w:w="1152"/>
          </w:tcPr>
          <w:p>
            <w:pPr>
              <w:spacing w:after="20"/>
              <w:jc w:val="right"/>
            </w:pPr>
            <w:r>
              <w:rPr>
                <w:color w:val="1C3A36"/>
                <w:sz w:val="16"/>
              </w:rPr>
              <w:t>1,229</w:t>
            </w:r>
          </w:p>
        </w:tc>
        <w:tc>
          <w:tcPr>
            <w:tcW w:type="dxa" w:w="1152"/>
          </w:tcPr>
          <w:p>
            <w:pPr>
              <w:spacing w:after="20"/>
              <w:jc w:val="right"/>
            </w:pPr>
            <w:r>
              <w:rPr>
                <w:color w:val="1C3A36"/>
                <w:sz w:val="16"/>
              </w:rPr>
              <w:t>1,342</w:t>
            </w:r>
          </w:p>
        </w:tc>
        <w:tc>
          <w:tcPr>
            <w:tcW w:type="dxa" w:w="1152"/>
          </w:tcPr>
          <w:p>
            <w:pPr>
              <w:spacing w:after="20"/>
              <w:jc w:val="right"/>
            </w:pPr>
            <w:r>
              <w:rPr>
                <w:color w:val="1C3A36"/>
                <w:sz w:val="16"/>
              </w:rPr>
              <w:t>1,461</w:t>
            </w:r>
          </w:p>
        </w:tc>
        <w:tc>
          <w:tcPr>
            <w:tcW w:type="dxa" w:w="1152"/>
          </w:tcPr>
          <w:p>
            <w:pPr>
              <w:spacing w:after="20"/>
              <w:jc w:val="right"/>
            </w:pPr>
            <w:r>
              <w:rPr>
                <w:color w:val="1C3A36"/>
                <w:sz w:val="16"/>
              </w:rPr>
              <w:t>1,583</w:t>
            </w:r>
          </w:p>
        </w:tc>
        <w:tc>
          <w:tcPr>
            <w:tcW w:type="dxa" w:w="1152"/>
          </w:tcPr>
          <w:p>
            <w:pPr>
              <w:spacing w:after="20"/>
              <w:jc w:val="right"/>
            </w:pPr>
            <w:r>
              <w:rPr>
                <w:color w:val="1C3A36"/>
                <w:sz w:val="16"/>
              </w:rPr>
              <w:t>1,693</w:t>
            </w:r>
          </w:p>
        </w:tc>
      </w:tr>
      <w:tr>
        <w:tc>
          <w:tcPr>
            <w:tcW w:type="dxa" w:w="2448"/>
          </w:tcPr>
          <w:p>
            <w:pPr>
              <w:spacing w:after="20"/>
            </w:pPr>
            <w:r>
              <w:rPr>
                <w:color w:val="1C3A36"/>
                <w:sz w:val="16"/>
              </w:rPr>
              <w:t>Net profit</w:t>
            </w:r>
          </w:p>
        </w:tc>
        <w:tc>
          <w:tcPr>
            <w:tcW w:type="dxa" w:w="1152"/>
          </w:tcPr>
          <w:p>
            <w:pPr>
              <w:spacing w:after="20"/>
              <w:jc w:val="right"/>
            </w:pPr>
            <w:r>
              <w:rPr>
                <w:color w:val="1C3A36"/>
                <w:sz w:val="16"/>
              </w:rPr>
              <w:t>518</w:t>
            </w:r>
          </w:p>
        </w:tc>
        <w:tc>
          <w:tcPr>
            <w:tcW w:type="dxa" w:w="1152"/>
          </w:tcPr>
          <w:p>
            <w:pPr>
              <w:spacing w:after="20"/>
              <w:jc w:val="right"/>
            </w:pPr>
            <w:r>
              <w:rPr>
                <w:color w:val="1C3A36"/>
                <w:sz w:val="16"/>
              </w:rPr>
              <w:t>817</w:t>
            </w:r>
          </w:p>
        </w:tc>
        <w:tc>
          <w:tcPr>
            <w:tcW w:type="dxa" w:w="1152"/>
          </w:tcPr>
          <w:p>
            <w:pPr>
              <w:spacing w:after="20"/>
              <w:jc w:val="right"/>
            </w:pPr>
            <w:r>
              <w:rPr>
                <w:color w:val="1C3A36"/>
                <w:sz w:val="16"/>
              </w:rPr>
              <w:t>1,085</w:t>
            </w:r>
          </w:p>
        </w:tc>
        <w:tc>
          <w:tcPr>
            <w:tcW w:type="dxa" w:w="1152"/>
          </w:tcPr>
          <w:p>
            <w:pPr>
              <w:spacing w:after="20"/>
              <w:jc w:val="right"/>
            </w:pPr>
            <w:r>
              <w:rPr>
                <w:color w:val="1C3A36"/>
                <w:sz w:val="16"/>
              </w:rPr>
              <w:t>1,112</w:t>
            </w:r>
          </w:p>
        </w:tc>
        <w:tc>
          <w:tcPr>
            <w:tcW w:type="dxa" w:w="1152"/>
          </w:tcPr>
          <w:p>
            <w:pPr>
              <w:spacing w:after="20"/>
              <w:jc w:val="right"/>
            </w:pPr>
            <w:r>
              <w:rPr>
                <w:color w:val="1C3A36"/>
                <w:sz w:val="16"/>
              </w:rPr>
              <w:t>1,215</w:t>
            </w:r>
          </w:p>
        </w:tc>
        <w:tc>
          <w:tcPr>
            <w:tcW w:type="dxa" w:w="1152"/>
          </w:tcPr>
          <w:p>
            <w:pPr>
              <w:spacing w:after="20"/>
              <w:jc w:val="right"/>
            </w:pPr>
            <w:r>
              <w:rPr>
                <w:color w:val="1C3A36"/>
                <w:sz w:val="16"/>
              </w:rPr>
              <w:t>1,322</w:t>
            </w:r>
          </w:p>
        </w:tc>
        <w:tc>
          <w:tcPr>
            <w:tcW w:type="dxa" w:w="1152"/>
          </w:tcPr>
          <w:p>
            <w:pPr>
              <w:spacing w:after="20"/>
              <w:jc w:val="right"/>
            </w:pPr>
            <w:r>
              <w:rPr>
                <w:color w:val="1C3A36"/>
                <w:sz w:val="16"/>
              </w:rPr>
              <w:t>1,433</w:t>
            </w:r>
          </w:p>
        </w:tc>
        <w:tc>
          <w:tcPr>
            <w:tcW w:type="dxa" w:w="1152"/>
          </w:tcPr>
          <w:p>
            <w:pPr>
              <w:spacing w:after="20"/>
              <w:jc w:val="right"/>
            </w:pPr>
            <w:r>
              <w:rPr>
                <w:color w:val="1C3A36"/>
                <w:sz w:val="16"/>
              </w:rPr>
              <w:t>1,532</w:t>
            </w:r>
          </w:p>
        </w:tc>
      </w:tr>
    </w:tbl>
    <w:p>
      <w:pPr>
        <w:spacing w:after="40"/>
      </w:pPr>
    </w:p>
    <w:p>
      <w:pPr>
        <w:spacing w:after="80" w:before="200"/>
      </w:pPr>
      <w:r>
        <w:rPr>
          <w:b/>
          <w:i w:val="0"/>
          <w:color w:val="1C3A36"/>
          <w:sz w:val="24"/>
        </w:rPr>
        <w:t>A.2  Balance sheet — three years actual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656"/>
        <w:gridCol w:w="1656"/>
        <w:gridCol w:w="1656"/>
      </w:tblGrid>
      <w:tr>
        <w:tc>
          <w:tcPr>
            <w:tcW w:type="dxa" w:w="3744"/>
            <w:shd w:val="clear" w:color="auto" w:fill="EAF0EE"/>
          </w:tcPr>
          <w:p>
            <w:pPr>
              <w:spacing w:after="20"/>
            </w:pPr>
            <w:r>
              <w:rPr>
                <w:b/>
                <w:color w:val="1C3A36"/>
                <w:sz w:val="17"/>
              </w:rPr>
              <w:t>SAR mn</w:t>
            </w:r>
          </w:p>
        </w:tc>
        <w:tc>
          <w:tcPr>
            <w:tcW w:type="dxa" w:w="1656"/>
            <w:shd w:val="clear" w:color="auto" w:fill="EAF0EE"/>
          </w:tcPr>
          <w:p>
            <w:pPr>
              <w:spacing w:after="20"/>
            </w:pPr>
            <w:r>
              <w:rPr>
                <w:b/>
                <w:color w:val="1C3A36"/>
                <w:sz w:val="17"/>
              </w:rPr>
              <w:t>2023</w:t>
            </w:r>
          </w:p>
        </w:tc>
        <w:tc>
          <w:tcPr>
            <w:tcW w:type="dxa" w:w="1656"/>
            <w:shd w:val="clear" w:color="auto" w:fill="EAF0EE"/>
          </w:tcPr>
          <w:p>
            <w:pPr>
              <w:spacing w:after="20"/>
            </w:pPr>
            <w:r>
              <w:rPr>
                <w:b/>
                <w:color w:val="1C3A36"/>
                <w:sz w:val="17"/>
              </w:rPr>
              <w:t>2024</w:t>
            </w:r>
          </w:p>
        </w:tc>
        <w:tc>
          <w:tcPr>
            <w:tcW w:type="dxa" w:w="1656"/>
            <w:shd w:val="clear" w:color="auto" w:fill="EAF0EE"/>
          </w:tcPr>
          <w:p>
            <w:pPr>
              <w:spacing w:after="20"/>
            </w:pPr>
            <w:r>
              <w:rPr>
                <w:b/>
                <w:color w:val="1C3A36"/>
                <w:sz w:val="17"/>
              </w:rPr>
              <w:t>2025</w:t>
            </w:r>
          </w:p>
        </w:tc>
      </w:tr>
      <w:tr>
        <w:tc>
          <w:tcPr>
            <w:tcW w:type="dxa" w:w="3744"/>
          </w:tcPr>
          <w:p>
            <w:pPr>
              <w:spacing w:after="20"/>
            </w:pPr>
            <w:r>
              <w:rPr>
                <w:color w:val="1C3A36"/>
                <w:sz w:val="17"/>
              </w:rPr>
              <w:t>Property, plant &amp; equipment</w:t>
            </w:r>
          </w:p>
        </w:tc>
        <w:tc>
          <w:tcPr>
            <w:tcW w:type="dxa" w:w="1656"/>
          </w:tcPr>
          <w:p>
            <w:pPr>
              <w:spacing w:after="20"/>
              <w:jc w:val="right"/>
            </w:pPr>
            <w:r>
              <w:rPr>
                <w:color w:val="1C3A36"/>
                <w:sz w:val="17"/>
              </w:rPr>
              <w:t>1,207</w:t>
            </w:r>
          </w:p>
        </w:tc>
        <w:tc>
          <w:tcPr>
            <w:tcW w:type="dxa" w:w="1656"/>
          </w:tcPr>
          <w:p>
            <w:pPr>
              <w:spacing w:after="20"/>
              <w:jc w:val="right"/>
            </w:pPr>
            <w:r>
              <w:rPr>
                <w:color w:val="1C3A36"/>
                <w:sz w:val="17"/>
              </w:rPr>
              <w:t>1,336</w:t>
            </w:r>
          </w:p>
        </w:tc>
        <w:tc>
          <w:tcPr>
            <w:tcW w:type="dxa" w:w="1656"/>
          </w:tcPr>
          <w:p>
            <w:pPr>
              <w:spacing w:after="20"/>
              <w:jc w:val="right"/>
            </w:pPr>
            <w:r>
              <w:rPr>
                <w:color w:val="1C3A36"/>
                <w:sz w:val="17"/>
              </w:rPr>
              <w:t>1,492</w:t>
            </w:r>
          </w:p>
        </w:tc>
      </w:tr>
      <w:tr>
        <w:tc>
          <w:tcPr>
            <w:tcW w:type="dxa" w:w="3744"/>
          </w:tcPr>
          <w:p>
            <w:pPr>
              <w:spacing w:after="20"/>
            </w:pPr>
            <w:r>
              <w:rPr>
                <w:color w:val="1C3A36"/>
                <w:sz w:val="17"/>
              </w:rPr>
              <w:t>Inventory</w:t>
            </w:r>
          </w:p>
        </w:tc>
        <w:tc>
          <w:tcPr>
            <w:tcW w:type="dxa" w:w="1656"/>
          </w:tcPr>
          <w:p>
            <w:pPr>
              <w:spacing w:after="20"/>
              <w:jc w:val="right"/>
            </w:pPr>
            <w:r>
              <w:rPr>
                <w:color w:val="1C3A36"/>
                <w:sz w:val="17"/>
              </w:rPr>
              <w:t>1,909</w:t>
            </w:r>
          </w:p>
        </w:tc>
        <w:tc>
          <w:tcPr>
            <w:tcW w:type="dxa" w:w="1656"/>
          </w:tcPr>
          <w:p>
            <w:pPr>
              <w:spacing w:after="20"/>
              <w:jc w:val="right"/>
            </w:pPr>
            <w:r>
              <w:rPr>
                <w:color w:val="1C3A36"/>
                <w:sz w:val="17"/>
              </w:rPr>
              <w:t>2,126</w:t>
            </w:r>
          </w:p>
        </w:tc>
        <w:tc>
          <w:tcPr>
            <w:tcW w:type="dxa" w:w="1656"/>
          </w:tcPr>
          <w:p>
            <w:pPr>
              <w:spacing w:after="20"/>
              <w:jc w:val="right"/>
            </w:pPr>
            <w:r>
              <w:rPr>
                <w:color w:val="1C3A36"/>
                <w:sz w:val="17"/>
              </w:rPr>
              <w:t>2,411</w:t>
            </w:r>
          </w:p>
        </w:tc>
      </w:tr>
      <w:tr>
        <w:tc>
          <w:tcPr>
            <w:tcW w:type="dxa" w:w="3744"/>
          </w:tcPr>
          <w:p>
            <w:pPr>
              <w:spacing w:after="20"/>
            </w:pPr>
            <w:r>
              <w:rPr>
                <w:color w:val="1C3A36"/>
                <w:sz w:val="17"/>
              </w:rPr>
              <w:t>Trade &amp; other receivables</w:t>
            </w:r>
          </w:p>
        </w:tc>
        <w:tc>
          <w:tcPr>
            <w:tcW w:type="dxa" w:w="1656"/>
          </w:tcPr>
          <w:p>
            <w:pPr>
              <w:spacing w:after="20"/>
              <w:jc w:val="right"/>
            </w:pPr>
            <w:r>
              <w:rPr>
                <w:color w:val="1C3A36"/>
                <w:sz w:val="17"/>
              </w:rPr>
              <w:t>1,419</w:t>
            </w:r>
          </w:p>
        </w:tc>
        <w:tc>
          <w:tcPr>
            <w:tcW w:type="dxa" w:w="1656"/>
          </w:tcPr>
          <w:p>
            <w:pPr>
              <w:spacing w:after="20"/>
              <w:jc w:val="right"/>
            </w:pPr>
            <w:r>
              <w:rPr>
                <w:color w:val="1C3A36"/>
                <w:sz w:val="17"/>
              </w:rPr>
              <w:t>2,112</w:t>
            </w:r>
          </w:p>
        </w:tc>
        <w:tc>
          <w:tcPr>
            <w:tcW w:type="dxa" w:w="1656"/>
          </w:tcPr>
          <w:p>
            <w:pPr>
              <w:spacing w:after="20"/>
              <w:jc w:val="right"/>
            </w:pPr>
            <w:r>
              <w:rPr>
                <w:color w:val="1C3A36"/>
                <w:sz w:val="17"/>
              </w:rPr>
              <w:t>2,713</w:t>
            </w:r>
          </w:p>
        </w:tc>
      </w:tr>
      <w:tr>
        <w:tc>
          <w:tcPr>
            <w:tcW w:type="dxa" w:w="3744"/>
          </w:tcPr>
          <w:p>
            <w:pPr>
              <w:spacing w:after="20"/>
            </w:pPr>
            <w:r>
              <w:rPr>
                <w:color w:val="1C3A36"/>
                <w:sz w:val="17"/>
              </w:rPr>
              <w:t>Cash &amp; equivalents</w:t>
            </w:r>
          </w:p>
        </w:tc>
        <w:tc>
          <w:tcPr>
            <w:tcW w:type="dxa" w:w="1656"/>
          </w:tcPr>
          <w:p>
            <w:pPr>
              <w:spacing w:after="20"/>
              <w:jc w:val="right"/>
            </w:pPr>
            <w:r>
              <w:rPr>
                <w:color w:val="1C3A36"/>
                <w:sz w:val="17"/>
              </w:rPr>
              <w:t>150</w:t>
            </w:r>
          </w:p>
        </w:tc>
        <w:tc>
          <w:tcPr>
            <w:tcW w:type="dxa" w:w="1656"/>
          </w:tcPr>
          <w:p>
            <w:pPr>
              <w:spacing w:after="20"/>
              <w:jc w:val="right"/>
            </w:pPr>
            <w:r>
              <w:rPr>
                <w:color w:val="1C3A36"/>
                <w:sz w:val="17"/>
              </w:rPr>
              <w:t>91</w:t>
            </w:r>
          </w:p>
        </w:tc>
        <w:tc>
          <w:tcPr>
            <w:tcW w:type="dxa" w:w="1656"/>
          </w:tcPr>
          <w:p>
            <w:pPr>
              <w:spacing w:after="20"/>
              <w:jc w:val="right"/>
            </w:pPr>
            <w:r>
              <w:rPr>
                <w:color w:val="1C3A36"/>
                <w:sz w:val="17"/>
              </w:rPr>
              <w:t>236</w:t>
            </w:r>
          </w:p>
        </w:tc>
      </w:tr>
      <w:tr>
        <w:tc>
          <w:tcPr>
            <w:tcW w:type="dxa" w:w="3744"/>
          </w:tcPr>
          <w:p>
            <w:pPr>
              <w:spacing w:after="20"/>
            </w:pPr>
            <w:r>
              <w:rPr>
                <w:color w:val="1C3A36"/>
                <w:sz w:val="17"/>
              </w:rPr>
              <w:t>Other assets, not broken out in this table (residual)</w:t>
            </w:r>
          </w:p>
        </w:tc>
        <w:tc>
          <w:tcPr>
            <w:tcW w:type="dxa" w:w="1656"/>
          </w:tcPr>
          <w:p>
            <w:pPr>
              <w:spacing w:after="20"/>
              <w:jc w:val="right"/>
            </w:pPr>
            <w:r>
              <w:rPr>
                <w:color w:val="1C3A36"/>
                <w:sz w:val="17"/>
              </w:rPr>
              <w:t>146</w:t>
            </w:r>
          </w:p>
        </w:tc>
        <w:tc>
          <w:tcPr>
            <w:tcW w:type="dxa" w:w="1656"/>
          </w:tcPr>
          <w:p>
            <w:pPr>
              <w:spacing w:after="20"/>
              <w:jc w:val="right"/>
            </w:pPr>
            <w:r>
              <w:rPr>
                <w:color w:val="1C3A36"/>
                <w:sz w:val="17"/>
              </w:rPr>
              <w:t>147</w:t>
            </w:r>
          </w:p>
        </w:tc>
        <w:tc>
          <w:tcPr>
            <w:tcW w:type="dxa" w:w="1656"/>
          </w:tcPr>
          <w:p>
            <w:pPr>
              <w:spacing w:after="20"/>
              <w:jc w:val="right"/>
            </w:pPr>
            <w:r>
              <w:rPr>
                <w:color w:val="1C3A36"/>
                <w:sz w:val="17"/>
              </w:rPr>
              <w:t>430</w:t>
            </w:r>
          </w:p>
        </w:tc>
      </w:tr>
      <w:tr>
        <w:tc>
          <w:tcPr>
            <w:tcW w:type="dxa" w:w="3744"/>
          </w:tcPr>
          <w:p>
            <w:pPr>
              <w:spacing w:after="20"/>
            </w:pPr>
            <w:r>
              <w:rPr>
                <w:color w:val="1C3A36"/>
                <w:sz w:val="17"/>
              </w:rPr>
              <w:t>Total assets</w:t>
            </w:r>
          </w:p>
        </w:tc>
        <w:tc>
          <w:tcPr>
            <w:tcW w:type="dxa" w:w="1656"/>
          </w:tcPr>
          <w:p>
            <w:pPr>
              <w:spacing w:after="20"/>
              <w:jc w:val="right"/>
            </w:pPr>
            <w:r>
              <w:rPr>
                <w:color w:val="1C3A36"/>
                <w:sz w:val="17"/>
              </w:rPr>
              <w:t>4,831</w:t>
            </w:r>
          </w:p>
        </w:tc>
        <w:tc>
          <w:tcPr>
            <w:tcW w:type="dxa" w:w="1656"/>
          </w:tcPr>
          <w:p>
            <w:pPr>
              <w:spacing w:after="20"/>
              <w:jc w:val="right"/>
            </w:pPr>
            <w:r>
              <w:rPr>
                <w:color w:val="1C3A36"/>
                <w:sz w:val="17"/>
              </w:rPr>
              <w:t>5,812</w:t>
            </w:r>
          </w:p>
        </w:tc>
        <w:tc>
          <w:tcPr>
            <w:tcW w:type="dxa" w:w="1656"/>
          </w:tcPr>
          <w:p>
            <w:pPr>
              <w:spacing w:after="20"/>
              <w:jc w:val="right"/>
            </w:pPr>
            <w:r>
              <w:rPr>
                <w:color w:val="1C3A36"/>
                <w:sz w:val="17"/>
              </w:rPr>
              <w:t>7,282</w:t>
            </w:r>
          </w:p>
        </w:tc>
      </w:tr>
      <w:tr>
        <w:tc>
          <w:tcPr>
            <w:tcW w:type="dxa" w:w="3744"/>
          </w:tcPr>
          <w:p>
            <w:pPr>
              <w:spacing w:after="20"/>
            </w:pPr>
            <w:r>
              <w:rPr>
                <w:color w:val="1C3A36"/>
                <w:sz w:val="17"/>
              </w:rPr>
              <w:t>Gross borrowings incl. leases</w:t>
            </w:r>
          </w:p>
        </w:tc>
        <w:tc>
          <w:tcPr>
            <w:tcW w:type="dxa" w:w="1656"/>
          </w:tcPr>
          <w:p>
            <w:pPr>
              <w:spacing w:after="20"/>
              <w:jc w:val="right"/>
            </w:pPr>
            <w:r>
              <w:rPr>
                <w:color w:val="1C3A36"/>
                <w:sz w:val="17"/>
              </w:rPr>
              <w:t>731</w:t>
            </w:r>
          </w:p>
        </w:tc>
        <w:tc>
          <w:tcPr>
            <w:tcW w:type="dxa" w:w="1656"/>
          </w:tcPr>
          <w:p>
            <w:pPr>
              <w:spacing w:after="20"/>
              <w:jc w:val="right"/>
            </w:pPr>
            <w:r>
              <w:rPr>
                <w:color w:val="1C3A36"/>
                <w:sz w:val="17"/>
              </w:rPr>
              <w:t>440</w:t>
            </w:r>
          </w:p>
        </w:tc>
        <w:tc>
          <w:tcPr>
            <w:tcW w:type="dxa" w:w="1656"/>
          </w:tcPr>
          <w:p>
            <w:pPr>
              <w:spacing w:after="20"/>
              <w:jc w:val="right"/>
            </w:pPr>
            <w:r>
              <w:rPr>
                <w:color w:val="1C3A36"/>
                <w:sz w:val="17"/>
              </w:rPr>
              <w:t>621</w:t>
            </w:r>
          </w:p>
        </w:tc>
      </w:tr>
      <w:tr>
        <w:tc>
          <w:tcPr>
            <w:tcW w:type="dxa" w:w="3744"/>
          </w:tcPr>
          <w:p>
            <w:pPr>
              <w:spacing w:after="20"/>
            </w:pPr>
            <w:r>
              <w:rPr>
                <w:color w:val="1C3A36"/>
                <w:sz w:val="17"/>
              </w:rPr>
              <w:t>Net financial debt</w:t>
            </w:r>
          </w:p>
        </w:tc>
        <w:tc>
          <w:tcPr>
            <w:tcW w:type="dxa" w:w="1656"/>
          </w:tcPr>
          <w:p>
            <w:pPr>
              <w:spacing w:after="20"/>
              <w:jc w:val="right"/>
            </w:pPr>
            <w:r>
              <w:rPr>
                <w:color w:val="1C3A36"/>
                <w:sz w:val="17"/>
              </w:rPr>
              <w:t>581</w:t>
            </w:r>
          </w:p>
        </w:tc>
        <w:tc>
          <w:tcPr>
            <w:tcW w:type="dxa" w:w="1656"/>
          </w:tcPr>
          <w:p>
            <w:pPr>
              <w:spacing w:after="20"/>
              <w:jc w:val="right"/>
            </w:pPr>
            <w:r>
              <w:rPr>
                <w:color w:val="1C3A36"/>
                <w:sz w:val="17"/>
              </w:rPr>
              <w:t>350</w:t>
            </w:r>
          </w:p>
        </w:tc>
        <w:tc>
          <w:tcPr>
            <w:tcW w:type="dxa" w:w="1656"/>
          </w:tcPr>
          <w:p>
            <w:pPr>
              <w:spacing w:after="20"/>
              <w:jc w:val="right"/>
            </w:pPr>
            <w:r>
              <w:rPr>
                <w:color w:val="1C3A36"/>
                <w:sz w:val="17"/>
              </w:rPr>
              <w:t>385</w:t>
            </w:r>
          </w:p>
        </w:tc>
      </w:tr>
      <w:tr>
        <w:tc>
          <w:tcPr>
            <w:tcW w:type="dxa" w:w="3744"/>
          </w:tcPr>
          <w:p>
            <w:pPr>
              <w:spacing w:after="20"/>
            </w:pPr>
            <w:r>
              <w:rPr>
                <w:color w:val="1C3A36"/>
                <w:sz w:val="17"/>
              </w:rPr>
              <w:t>Equity attributable</w:t>
            </w:r>
          </w:p>
        </w:tc>
        <w:tc>
          <w:tcPr>
            <w:tcW w:type="dxa" w:w="1656"/>
          </w:tcPr>
          <w:p>
            <w:pPr>
              <w:spacing w:after="20"/>
              <w:jc w:val="right"/>
            </w:pPr>
            <w:r>
              <w:rPr>
                <w:color w:val="1C3A36"/>
                <w:sz w:val="17"/>
              </w:rPr>
              <w:t>2,247</w:t>
            </w:r>
          </w:p>
        </w:tc>
        <w:tc>
          <w:tcPr>
            <w:tcW w:type="dxa" w:w="1656"/>
          </w:tcPr>
          <w:p>
            <w:pPr>
              <w:spacing w:after="20"/>
              <w:jc w:val="right"/>
            </w:pPr>
            <w:r>
              <w:rPr>
                <w:color w:val="1C3A36"/>
                <w:sz w:val="17"/>
              </w:rPr>
              <w:t>2,624</w:t>
            </w:r>
          </w:p>
        </w:tc>
        <w:tc>
          <w:tcPr>
            <w:tcW w:type="dxa" w:w="1656"/>
          </w:tcPr>
          <w:p>
            <w:pPr>
              <w:spacing w:after="20"/>
              <w:jc w:val="right"/>
            </w:pPr>
            <w:r>
              <w:rPr>
                <w:color w:val="1C3A36"/>
                <w:sz w:val="17"/>
              </w:rPr>
              <w:t>3,246</w:t>
            </w:r>
          </w:p>
        </w:tc>
      </w:tr>
    </w:tbl>
    <w:p>
      <w:pPr>
        <w:spacing w:after="40"/>
      </w:pPr>
    </w:p>
    <w:p>
      <w:pPr>
        <w:spacing w:after="200" w:before="0"/>
      </w:pPr>
      <w:r>
        <w:rPr>
          <w:b w:val="0"/>
          <w:i/>
          <w:color w:val="6E7B77"/>
          <w:sz w:val="17"/>
        </w:rPr>
        <w:t>Table A2 — The balance sheet as reported, and it foots on the page. This study holds the disclosed total and the four asset lines broken out above; everything else the company reports as an asset is the residual row, which runs SAR 146mn, 147mn and 430mn. IT IS NOT NAMED BECAUSE THIS STUDY DOES NOT HOLD ITS COMPONENTS, and naming them would be an invention rather than a disclosure. The step up in 2025 is real and is the one thing a reader should take from the row: something outside these four lines grew by SAR 283mn in a single year, which this table cannot explain and which the next edition should.</w:t>
      </w:r>
    </w:p>
    <w:p>
      <w:pPr>
        <w:spacing w:after="80" w:before="200"/>
      </w:pPr>
      <w:r>
        <w:rPr>
          <w:b/>
          <w:i w:val="0"/>
          <w:color w:val="1C3A36"/>
          <w:sz w:val="24"/>
        </w:rPr>
        <w:t>A.3  Forecast balance-sheet and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411"/>
        <w:gridCol w:w="1411"/>
        <w:gridCol w:w="1411"/>
        <w:gridCol w:w="1411"/>
        <w:gridCol w:w="1411"/>
      </w:tblGrid>
      <w:tr>
        <w:tc>
          <w:tcPr>
            <w:tcW w:type="dxa" w:w="2880"/>
            <w:shd w:val="clear" w:color="auto" w:fill="EAF0EE"/>
          </w:tcPr>
          <w:p>
            <w:pPr>
              <w:spacing w:after="20"/>
            </w:pPr>
            <w:r>
              <w:rPr>
                <w:b/>
                <w:color w:val="1C3A36"/>
                <w:sz w:val="16"/>
              </w:rPr>
              <w:t>SAR mn</w:t>
            </w:r>
          </w:p>
        </w:tc>
        <w:tc>
          <w:tcPr>
            <w:tcW w:type="dxa" w:w="1411"/>
            <w:shd w:val="clear" w:color="auto" w:fill="EAF0EE"/>
          </w:tcPr>
          <w:p>
            <w:pPr>
              <w:spacing w:after="20"/>
            </w:pPr>
            <w:r>
              <w:rPr>
                <w:b/>
                <w:color w:val="1C3A36"/>
                <w:sz w:val="16"/>
              </w:rPr>
              <w:t>FY26E</w:t>
            </w:r>
          </w:p>
        </w:tc>
        <w:tc>
          <w:tcPr>
            <w:tcW w:type="dxa" w:w="1411"/>
            <w:shd w:val="clear" w:color="auto" w:fill="EAF0EE"/>
          </w:tcPr>
          <w:p>
            <w:pPr>
              <w:spacing w:after="20"/>
            </w:pPr>
            <w:r>
              <w:rPr>
                <w:b/>
                <w:color w:val="1C3A36"/>
                <w:sz w:val="16"/>
              </w:rPr>
              <w:t>FY27E</w:t>
            </w:r>
          </w:p>
        </w:tc>
        <w:tc>
          <w:tcPr>
            <w:tcW w:type="dxa" w:w="1411"/>
            <w:shd w:val="clear" w:color="auto" w:fill="EAF0EE"/>
          </w:tcPr>
          <w:p>
            <w:pPr>
              <w:spacing w:after="20"/>
            </w:pPr>
            <w:r>
              <w:rPr>
                <w:b/>
                <w:color w:val="1C3A36"/>
                <w:sz w:val="16"/>
              </w:rPr>
              <w:t>FY28E</w:t>
            </w:r>
          </w:p>
        </w:tc>
        <w:tc>
          <w:tcPr>
            <w:tcW w:type="dxa" w:w="1411"/>
            <w:shd w:val="clear" w:color="auto" w:fill="EAF0EE"/>
          </w:tcPr>
          <w:p>
            <w:pPr>
              <w:spacing w:after="20"/>
            </w:pPr>
            <w:r>
              <w:rPr>
                <w:b/>
                <w:color w:val="1C3A36"/>
                <w:sz w:val="16"/>
              </w:rPr>
              <w:t>FY29E</w:t>
            </w:r>
          </w:p>
        </w:tc>
        <w:tc>
          <w:tcPr>
            <w:tcW w:type="dxa" w:w="1411"/>
            <w:shd w:val="clear" w:color="auto" w:fill="EAF0EE"/>
          </w:tcPr>
          <w:p>
            <w:pPr>
              <w:spacing w:after="20"/>
            </w:pPr>
            <w:r>
              <w:rPr>
                <w:b/>
                <w:color w:val="1C3A36"/>
                <w:sz w:val="16"/>
              </w:rPr>
              <w:t>FY30E</w:t>
            </w:r>
          </w:p>
        </w:tc>
      </w:tr>
      <w:tr>
        <w:tc>
          <w:tcPr>
            <w:tcW w:type="dxa" w:w="2880"/>
          </w:tcPr>
          <w:p>
            <w:pPr>
              <w:spacing w:after="20"/>
            </w:pPr>
            <w:r>
              <w:rPr>
                <w:color w:val="1C3A36"/>
                <w:sz w:val="16"/>
              </w:rPr>
              <w:t>Net working capital</w:t>
            </w:r>
          </w:p>
        </w:tc>
        <w:tc>
          <w:tcPr>
            <w:tcW w:type="dxa" w:w="1411"/>
          </w:tcPr>
          <w:p>
            <w:pPr>
              <w:spacing w:after="20"/>
              <w:jc w:val="right"/>
            </w:pPr>
            <w:r>
              <w:rPr>
                <w:color w:val="1C3A36"/>
                <w:sz w:val="16"/>
              </w:rPr>
              <w:t>3,220</w:t>
            </w:r>
          </w:p>
        </w:tc>
        <w:tc>
          <w:tcPr>
            <w:tcW w:type="dxa" w:w="1411"/>
          </w:tcPr>
          <w:p>
            <w:pPr>
              <w:spacing w:after="20"/>
              <w:jc w:val="right"/>
            </w:pPr>
            <w:r>
              <w:rPr>
                <w:color w:val="1C3A36"/>
                <w:sz w:val="16"/>
              </w:rPr>
              <w:t>3,470</w:t>
            </w:r>
          </w:p>
        </w:tc>
        <w:tc>
          <w:tcPr>
            <w:tcW w:type="dxa" w:w="1411"/>
          </w:tcPr>
          <w:p>
            <w:pPr>
              <w:spacing w:after="20"/>
              <w:jc w:val="right"/>
            </w:pPr>
            <w:r>
              <w:rPr>
                <w:color w:val="1C3A36"/>
                <w:sz w:val="16"/>
              </w:rPr>
              <w:t>3,735</w:t>
            </w:r>
          </w:p>
        </w:tc>
        <w:tc>
          <w:tcPr>
            <w:tcW w:type="dxa" w:w="1411"/>
          </w:tcPr>
          <w:p>
            <w:pPr>
              <w:spacing w:after="20"/>
              <w:jc w:val="right"/>
            </w:pPr>
            <w:r>
              <w:rPr>
                <w:color w:val="1C3A36"/>
                <w:sz w:val="16"/>
              </w:rPr>
              <w:t>3,986</w:t>
            </w:r>
          </w:p>
        </w:tc>
        <w:tc>
          <w:tcPr>
            <w:tcW w:type="dxa" w:w="1411"/>
          </w:tcPr>
          <w:p>
            <w:pPr>
              <w:spacing w:after="20"/>
              <w:jc w:val="right"/>
            </w:pPr>
            <w:r>
              <w:rPr>
                <w:color w:val="1C3A36"/>
                <w:sz w:val="16"/>
              </w:rPr>
              <w:t>4,231</w:t>
            </w:r>
          </w:p>
        </w:tc>
      </w:tr>
      <w:tr>
        <w:tc>
          <w:tcPr>
            <w:tcW w:type="dxa" w:w="2880"/>
          </w:tcPr>
          <w:p>
            <w:pPr>
              <w:spacing w:after="20"/>
            </w:pPr>
            <w:r>
              <w:rPr>
                <w:color w:val="1C3A36"/>
                <w:sz w:val="16"/>
              </w:rPr>
              <w:t>Net financial debt (end)</w:t>
            </w:r>
          </w:p>
        </w:tc>
        <w:tc>
          <w:tcPr>
            <w:tcW w:type="dxa" w:w="1411"/>
          </w:tcPr>
          <w:p>
            <w:pPr>
              <w:spacing w:after="20"/>
              <w:jc w:val="right"/>
            </w:pPr>
            <w:r>
              <w:rPr>
                <w:color w:val="1C3A36"/>
                <w:sz w:val="16"/>
              </w:rPr>
              <w:t>289</w:t>
            </w:r>
          </w:p>
        </w:tc>
        <w:tc>
          <w:tcPr>
            <w:tcW w:type="dxa" w:w="1411"/>
          </w:tcPr>
          <w:p>
            <w:pPr>
              <w:spacing w:after="20"/>
              <w:jc w:val="right"/>
            </w:pPr>
            <w:r>
              <w:rPr>
                <w:color w:val="1C3A36"/>
                <w:sz w:val="16"/>
              </w:rPr>
              <w:t>108</w:t>
            </w:r>
          </w:p>
        </w:tc>
        <w:tc>
          <w:tcPr>
            <w:tcW w:type="dxa" w:w="1411"/>
          </w:tcPr>
          <w:p>
            <w:pPr>
              <w:spacing w:after="20"/>
              <w:jc w:val="right"/>
            </w:pPr>
            <w:r>
              <w:rPr>
                <w:color w:val="1C3A36"/>
                <w:sz w:val="16"/>
              </w:rPr>
              <w:t>-111</w:t>
            </w:r>
          </w:p>
        </w:tc>
        <w:tc>
          <w:tcPr>
            <w:tcW w:type="dxa" w:w="1411"/>
          </w:tcPr>
          <w:p>
            <w:pPr>
              <w:spacing w:after="20"/>
              <w:jc w:val="right"/>
            </w:pPr>
            <w:r>
              <w:rPr>
                <w:color w:val="1C3A36"/>
                <w:sz w:val="16"/>
              </w:rPr>
              <w:t>-402</w:t>
            </w:r>
          </w:p>
        </w:tc>
        <w:tc>
          <w:tcPr>
            <w:tcW w:type="dxa" w:w="1411"/>
          </w:tcPr>
          <w:p>
            <w:pPr>
              <w:spacing w:after="20"/>
              <w:jc w:val="right"/>
            </w:pPr>
            <w:r>
              <w:rPr>
                <w:color w:val="1C3A36"/>
                <w:sz w:val="16"/>
              </w:rPr>
              <w:t>-736</w:t>
            </w:r>
          </w:p>
        </w:tc>
      </w:tr>
      <w:tr>
        <w:tc>
          <w:tcPr>
            <w:tcW w:type="dxa" w:w="2880"/>
          </w:tcPr>
          <w:p>
            <w:pPr>
              <w:spacing w:after="20"/>
            </w:pPr>
            <w:r>
              <w:rPr>
                <w:color w:val="1C3A36"/>
                <w:sz w:val="16"/>
              </w:rPr>
              <w:t>Capital expenditure</w:t>
            </w:r>
          </w:p>
        </w:tc>
        <w:tc>
          <w:tcPr>
            <w:tcW w:type="dxa" w:w="1411"/>
          </w:tcPr>
          <w:p>
            <w:pPr>
              <w:spacing w:after="20"/>
              <w:jc w:val="right"/>
            </w:pPr>
            <w:r>
              <w:rPr>
                <w:color w:val="1C3A36"/>
                <w:sz w:val="16"/>
              </w:rPr>
              <w:t>218</w:t>
            </w:r>
          </w:p>
        </w:tc>
        <w:tc>
          <w:tcPr>
            <w:tcW w:type="dxa" w:w="1411"/>
          </w:tcPr>
          <w:p>
            <w:pPr>
              <w:spacing w:after="20"/>
              <w:jc w:val="right"/>
            </w:pPr>
            <w:r>
              <w:rPr>
                <w:color w:val="1C3A36"/>
                <w:sz w:val="16"/>
              </w:rPr>
              <w:t>223</w:t>
            </w:r>
          </w:p>
        </w:tc>
        <w:tc>
          <w:tcPr>
            <w:tcW w:type="dxa" w:w="1411"/>
          </w:tcPr>
          <w:p>
            <w:pPr>
              <w:spacing w:after="20"/>
              <w:jc w:val="right"/>
            </w:pPr>
            <w:r>
              <w:rPr>
                <w:color w:val="1C3A36"/>
                <w:sz w:val="16"/>
              </w:rPr>
              <w:t>227</w:t>
            </w:r>
          </w:p>
        </w:tc>
        <w:tc>
          <w:tcPr>
            <w:tcW w:type="dxa" w:w="1411"/>
          </w:tcPr>
          <w:p>
            <w:pPr>
              <w:spacing w:after="20"/>
              <w:jc w:val="right"/>
            </w:pPr>
            <w:r>
              <w:rPr>
                <w:color w:val="1C3A36"/>
                <w:sz w:val="16"/>
              </w:rPr>
              <w:t>228</w:t>
            </w:r>
          </w:p>
        </w:tc>
        <w:tc>
          <w:tcPr>
            <w:tcW w:type="dxa" w:w="1411"/>
          </w:tcPr>
          <w:p>
            <w:pPr>
              <w:spacing w:after="20"/>
              <w:jc w:val="right"/>
            </w:pPr>
            <w:r>
              <w:rPr>
                <w:color w:val="1C3A36"/>
                <w:sz w:val="16"/>
              </w:rPr>
              <w:t>242</w:t>
            </w:r>
          </w:p>
        </w:tc>
      </w:tr>
      <w:tr>
        <w:tc>
          <w:tcPr>
            <w:tcW w:type="dxa" w:w="2880"/>
          </w:tcPr>
          <w:p>
            <w:pPr>
              <w:spacing w:after="20"/>
            </w:pPr>
            <w:r>
              <w:rPr>
                <w:color w:val="1C3A36"/>
                <w:sz w:val="16"/>
              </w:rPr>
              <w:t>Free cash flow to firm</w:t>
            </w:r>
          </w:p>
        </w:tc>
        <w:tc>
          <w:tcPr>
            <w:tcW w:type="dxa" w:w="1411"/>
          </w:tcPr>
          <w:p>
            <w:pPr>
              <w:spacing w:after="20"/>
              <w:jc w:val="right"/>
            </w:pPr>
            <w:r>
              <w:rPr>
                <w:color w:val="1C3A36"/>
                <w:sz w:val="16"/>
              </w:rPr>
              <w:t>730</w:t>
            </w:r>
          </w:p>
        </w:tc>
        <w:tc>
          <w:tcPr>
            <w:tcW w:type="dxa" w:w="1411"/>
          </w:tcPr>
          <w:p>
            <w:pPr>
              <w:spacing w:after="20"/>
              <w:jc w:val="right"/>
            </w:pPr>
            <w:r>
              <w:rPr>
                <w:color w:val="1C3A36"/>
                <w:sz w:val="16"/>
              </w:rPr>
              <w:t>868</w:t>
            </w:r>
          </w:p>
        </w:tc>
        <w:tc>
          <w:tcPr>
            <w:tcW w:type="dxa" w:w="1411"/>
          </w:tcPr>
          <w:p>
            <w:pPr>
              <w:spacing w:after="20"/>
              <w:jc w:val="right"/>
            </w:pPr>
            <w:r>
              <w:rPr>
                <w:color w:val="1C3A36"/>
                <w:sz w:val="16"/>
              </w:rPr>
              <w:t>957</w:t>
            </w:r>
          </w:p>
        </w:tc>
        <w:tc>
          <w:tcPr>
            <w:tcW w:type="dxa" w:w="1411"/>
          </w:tcPr>
          <w:p>
            <w:pPr>
              <w:spacing w:after="20"/>
              <w:jc w:val="right"/>
            </w:pPr>
            <w:r>
              <w:rPr>
                <w:color w:val="1C3A36"/>
                <w:sz w:val="16"/>
              </w:rPr>
              <w:t>1,080</w:t>
            </w:r>
          </w:p>
        </w:tc>
        <w:tc>
          <w:tcPr>
            <w:tcW w:type="dxa" w:w="1411"/>
          </w:tcPr>
          <w:p>
            <w:pPr>
              <w:spacing w:after="20"/>
              <w:jc w:val="right"/>
            </w:pPr>
            <w:r>
              <w:rPr>
                <w:color w:val="1C3A36"/>
                <w:sz w:val="16"/>
              </w:rPr>
              <w:t>1,167</w:t>
            </w:r>
          </w:p>
        </w:tc>
      </w:tr>
      <w:tr>
        <w:tc>
          <w:tcPr>
            <w:tcW w:type="dxa" w:w="2880"/>
          </w:tcPr>
          <w:p>
            <w:pPr>
              <w:spacing w:after="20"/>
            </w:pPr>
            <w:r>
              <w:rPr>
                <w:color w:val="1C3A36"/>
                <w:sz w:val="16"/>
              </w:rPr>
              <w:t>Dividend</w:t>
            </w:r>
          </w:p>
        </w:tc>
        <w:tc>
          <w:tcPr>
            <w:tcW w:type="dxa" w:w="1411"/>
          </w:tcPr>
          <w:p>
            <w:pPr>
              <w:spacing w:after="20"/>
              <w:jc w:val="right"/>
            </w:pPr>
            <w:r>
              <w:rPr>
                <w:color w:val="1C3A36"/>
                <w:sz w:val="16"/>
              </w:rPr>
              <w:t>609</w:t>
            </w:r>
          </w:p>
        </w:tc>
        <w:tc>
          <w:tcPr>
            <w:tcW w:type="dxa" w:w="1411"/>
          </w:tcPr>
          <w:p>
            <w:pPr>
              <w:spacing w:after="20"/>
              <w:jc w:val="right"/>
            </w:pPr>
            <w:r>
              <w:rPr>
                <w:color w:val="1C3A36"/>
                <w:sz w:val="16"/>
              </w:rPr>
              <w:t>665</w:t>
            </w:r>
          </w:p>
        </w:tc>
        <w:tc>
          <w:tcPr>
            <w:tcW w:type="dxa" w:w="1411"/>
          </w:tcPr>
          <w:p>
            <w:pPr>
              <w:spacing w:after="20"/>
              <w:jc w:val="right"/>
            </w:pPr>
            <w:r>
              <w:rPr>
                <w:color w:val="1C3A36"/>
                <w:sz w:val="16"/>
              </w:rPr>
              <w:t>724</w:t>
            </w:r>
          </w:p>
        </w:tc>
        <w:tc>
          <w:tcPr>
            <w:tcW w:type="dxa" w:w="1411"/>
          </w:tcPr>
          <w:p>
            <w:pPr>
              <w:spacing w:after="20"/>
              <w:jc w:val="right"/>
            </w:pPr>
            <w:r>
              <w:rPr>
                <w:color w:val="1C3A36"/>
                <w:sz w:val="16"/>
              </w:rPr>
              <w:t>785</w:t>
            </w:r>
          </w:p>
        </w:tc>
        <w:tc>
          <w:tcPr>
            <w:tcW w:type="dxa" w:w="1411"/>
          </w:tcPr>
          <w:p>
            <w:pPr>
              <w:spacing w:after="20"/>
              <w:jc w:val="right"/>
            </w:pPr>
            <w:r>
              <w:rPr>
                <w:color w:val="1C3A36"/>
                <w:sz w:val="16"/>
              </w:rPr>
              <w:t>839</w:t>
            </w:r>
          </w:p>
        </w:tc>
      </w:tr>
      <w:tr>
        <w:tc>
          <w:tcPr>
            <w:tcW w:type="dxa" w:w="2880"/>
          </w:tcPr>
          <w:p>
            <w:pPr>
              <w:spacing w:after="20"/>
            </w:pPr>
            <w:r>
              <w:rPr>
                <w:color w:val="1C3A36"/>
                <w:sz w:val="16"/>
              </w:rPr>
              <w:t>Attributable profit</w:t>
            </w:r>
          </w:p>
        </w:tc>
        <w:tc>
          <w:tcPr>
            <w:tcW w:type="dxa" w:w="1411"/>
          </w:tcPr>
          <w:p>
            <w:pPr>
              <w:spacing w:after="20"/>
              <w:jc w:val="right"/>
            </w:pPr>
            <w:r>
              <w:rPr>
                <w:color w:val="1C3A36"/>
                <w:sz w:val="16"/>
              </w:rPr>
              <w:t>1,107</w:t>
            </w:r>
          </w:p>
        </w:tc>
        <w:tc>
          <w:tcPr>
            <w:tcW w:type="dxa" w:w="1411"/>
          </w:tcPr>
          <w:p>
            <w:pPr>
              <w:spacing w:after="20"/>
              <w:jc w:val="right"/>
            </w:pPr>
            <w:r>
              <w:rPr>
                <w:color w:val="1C3A36"/>
                <w:sz w:val="16"/>
              </w:rPr>
              <w:t>1,210</w:t>
            </w:r>
          </w:p>
        </w:tc>
        <w:tc>
          <w:tcPr>
            <w:tcW w:type="dxa" w:w="1411"/>
          </w:tcPr>
          <w:p>
            <w:pPr>
              <w:spacing w:after="20"/>
              <w:jc w:val="right"/>
            </w:pPr>
            <w:r>
              <w:rPr>
                <w:color w:val="1C3A36"/>
                <w:sz w:val="16"/>
              </w:rPr>
              <w:t>1,317</w:t>
            </w:r>
          </w:p>
        </w:tc>
        <w:tc>
          <w:tcPr>
            <w:tcW w:type="dxa" w:w="1411"/>
          </w:tcPr>
          <w:p>
            <w:pPr>
              <w:spacing w:after="20"/>
              <w:jc w:val="right"/>
            </w:pPr>
            <w:r>
              <w:rPr>
                <w:color w:val="1C3A36"/>
                <w:sz w:val="16"/>
              </w:rPr>
              <w:t>1,427</w:t>
            </w:r>
          </w:p>
        </w:tc>
        <w:tc>
          <w:tcPr>
            <w:tcW w:type="dxa" w:w="1411"/>
          </w:tcPr>
          <w:p>
            <w:pPr>
              <w:spacing w:after="20"/>
              <w:jc w:val="right"/>
            </w:pPr>
            <w:r>
              <w:rPr>
                <w:color w:val="1C3A36"/>
                <w:sz w:val="16"/>
              </w:rPr>
              <w:t>1,526</w:t>
            </w:r>
          </w:p>
        </w:tc>
      </w:tr>
    </w:tbl>
    <w:p>
      <w:pPr>
        <w:spacing w:after="40"/>
      </w:pPr>
    </w:p>
    <w:p>
      <w:pPr>
        <w:spacing w:after="120" w:before="280"/>
      </w:pPr>
      <w:r>
        <w:rPr>
          <w:b/>
          <w:i w:val="0"/>
          <w:color w:val="1C3A36"/>
          <w:sz w:val="30"/>
        </w:rPr>
        <w:t>Appendix B  Peer frame, risk register, and the research register</w:t>
      </w:r>
    </w:p>
    <w:p>
      <w:pPr>
        <w:spacing w:after="80" w:before="200"/>
      </w:pPr>
      <w:r>
        <w:rPr>
          <w:b/>
          <w:i w:val="0"/>
          <w:color w:val="1C3A36"/>
          <w:sz w:val="24"/>
        </w:rPr>
        <w:t>B.1  Peer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656"/>
        <w:gridCol w:w="1944"/>
        <w:gridCol w:w="2736"/>
      </w:tblGrid>
      <w:tr>
        <w:tc>
          <w:tcPr>
            <w:tcW w:type="dxa" w:w="2736"/>
            <w:shd w:val="clear" w:color="auto" w:fill="EAF0EE"/>
          </w:tcPr>
          <w:p>
            <w:pPr>
              <w:spacing w:after="20"/>
            </w:pPr>
            <w:r>
              <w:rPr>
                <w:b/>
                <w:color w:val="1C3A36"/>
                <w:sz w:val="17"/>
              </w:rPr>
              <w:t>Peer</w:t>
            </w:r>
          </w:p>
        </w:tc>
        <w:tc>
          <w:tcPr>
            <w:tcW w:type="dxa" w:w="1656"/>
            <w:shd w:val="clear" w:color="auto" w:fill="EAF0EE"/>
          </w:tcPr>
          <w:p>
            <w:pPr>
              <w:spacing w:after="20"/>
            </w:pPr>
            <w:r>
              <w:rPr>
                <w:b/>
                <w:color w:val="1C3A36"/>
                <w:sz w:val="17"/>
              </w:rPr>
              <w:t>Market</w:t>
            </w:r>
          </w:p>
        </w:tc>
        <w:tc>
          <w:tcPr>
            <w:tcW w:type="dxa" w:w="1944"/>
            <w:shd w:val="clear" w:color="auto" w:fill="EAF0EE"/>
          </w:tcPr>
          <w:p>
            <w:pPr>
              <w:spacing w:after="20"/>
            </w:pPr>
            <w:r>
              <w:rPr>
                <w:b/>
                <w:color w:val="1C3A36"/>
                <w:sz w:val="17"/>
              </w:rPr>
              <w:t>Fwd EV/EBITDA</w:t>
            </w:r>
          </w:p>
        </w:tc>
        <w:tc>
          <w:tcPr>
            <w:tcW w:type="dxa" w:w="2736"/>
            <w:shd w:val="clear" w:color="auto" w:fill="EAF0EE"/>
          </w:tcPr>
          <w:p>
            <w:pPr>
              <w:spacing w:after="20"/>
            </w:pPr>
            <w:r>
              <w:rPr>
                <w:b/>
                <w:color w:val="1C3A36"/>
                <w:sz w:val="17"/>
              </w:rPr>
              <w:t>Note</w:t>
            </w:r>
          </w:p>
        </w:tc>
      </w:tr>
      <w:tr>
        <w:tc>
          <w:tcPr>
            <w:tcW w:type="dxa" w:w="2736"/>
          </w:tcPr>
          <w:p>
            <w:pPr>
              <w:spacing w:after="20"/>
            </w:pPr>
            <w:r>
              <w:rPr>
                <w:color w:val="1C3A36"/>
                <w:sz w:val="17"/>
              </w:rPr>
              <w:t>Riyadh Cables (subject)</w:t>
            </w:r>
          </w:p>
        </w:tc>
        <w:tc>
          <w:tcPr>
            <w:tcW w:type="dxa" w:w="1656"/>
          </w:tcPr>
          <w:p>
            <w:pPr>
              <w:spacing w:after="20"/>
              <w:jc w:val="right"/>
            </w:pPr>
            <w:r>
              <w:rPr>
                <w:color w:val="1C3A36"/>
                <w:sz w:val="17"/>
              </w:rPr>
              <w:t>Tadawul</w:t>
            </w:r>
          </w:p>
        </w:tc>
        <w:tc>
          <w:tcPr>
            <w:tcW w:type="dxa" w:w="1944"/>
          </w:tcPr>
          <w:p>
            <w:pPr>
              <w:spacing w:after="20"/>
              <w:jc w:val="right"/>
            </w:pPr>
            <w:r>
              <w:rPr>
                <w:color w:val="1C3A36"/>
                <w:sz w:val="17"/>
              </w:rPr>
              <w:t>11.9x (trailing)</w:t>
            </w:r>
          </w:p>
        </w:tc>
        <w:tc>
          <w:tcPr>
            <w:tcW w:type="dxa" w:w="2736"/>
          </w:tcPr>
          <w:p>
            <w:pPr>
              <w:spacing w:after="20"/>
              <w:jc w:val="right"/>
            </w:pPr>
            <w:r>
              <w:rPr>
                <w:color w:val="1C3A36"/>
                <w:sz w:val="17"/>
              </w:rPr>
              <w:t>high-return Gulf leader</w:t>
            </w:r>
          </w:p>
        </w:tc>
      </w:tr>
      <w:tr>
        <w:tc>
          <w:tcPr>
            <w:tcW w:type="dxa" w:w="2736"/>
          </w:tcPr>
          <w:p>
            <w:pPr>
              <w:spacing w:after="20"/>
            </w:pPr>
            <w:r>
              <w:rPr>
                <w:color w:val="1C3A36"/>
                <w:sz w:val="17"/>
              </w:rPr>
              <w:t>Prysmian</w:t>
            </w:r>
          </w:p>
        </w:tc>
        <w:tc>
          <w:tcPr>
            <w:tcW w:type="dxa" w:w="1656"/>
          </w:tcPr>
          <w:p>
            <w:pPr>
              <w:spacing w:after="20"/>
              <w:jc w:val="right"/>
            </w:pPr>
            <w:r>
              <w:rPr>
                <w:color w:val="1C3A36"/>
                <w:sz w:val="17"/>
              </w:rPr>
              <w:t>Milan</w:t>
            </w:r>
          </w:p>
        </w:tc>
        <w:tc>
          <w:tcPr>
            <w:tcW w:type="dxa" w:w="1944"/>
          </w:tcPr>
          <w:p>
            <w:pPr>
              <w:spacing w:after="20"/>
              <w:jc w:val="right"/>
            </w:pPr>
            <w:r>
              <w:rPr>
                <w:color w:val="1C3A36"/>
                <w:sz w:val="17"/>
              </w:rPr>
              <w:t>~8.5x</w:t>
            </w:r>
          </w:p>
        </w:tc>
        <w:tc>
          <w:tcPr>
            <w:tcW w:type="dxa" w:w="2736"/>
          </w:tcPr>
          <w:p>
            <w:pPr>
              <w:spacing w:after="20"/>
              <w:jc w:val="right"/>
            </w:pPr>
            <w:r>
              <w:rPr>
                <w:color w:val="1C3A36"/>
                <w:sz w:val="17"/>
              </w:rPr>
              <w:t>global cable major</w:t>
            </w:r>
          </w:p>
        </w:tc>
      </w:tr>
      <w:tr>
        <w:tc>
          <w:tcPr>
            <w:tcW w:type="dxa" w:w="2736"/>
          </w:tcPr>
          <w:p>
            <w:pPr>
              <w:spacing w:after="20"/>
            </w:pPr>
            <w:r>
              <w:rPr>
                <w:color w:val="1C3A36"/>
                <w:sz w:val="17"/>
              </w:rPr>
              <w:t>Nexans</w:t>
            </w:r>
          </w:p>
        </w:tc>
        <w:tc>
          <w:tcPr>
            <w:tcW w:type="dxa" w:w="1656"/>
          </w:tcPr>
          <w:p>
            <w:pPr>
              <w:spacing w:after="20"/>
              <w:jc w:val="right"/>
            </w:pPr>
            <w:r>
              <w:rPr>
                <w:color w:val="1C3A36"/>
                <w:sz w:val="17"/>
              </w:rPr>
              <w:t>Paris</w:t>
            </w:r>
          </w:p>
        </w:tc>
        <w:tc>
          <w:tcPr>
            <w:tcW w:type="dxa" w:w="1944"/>
          </w:tcPr>
          <w:p>
            <w:pPr>
              <w:spacing w:after="20"/>
              <w:jc w:val="right"/>
            </w:pPr>
            <w:r>
              <w:rPr>
                <w:color w:val="1C3A36"/>
                <w:sz w:val="17"/>
              </w:rPr>
              <w:t>~7.5x</w:t>
            </w:r>
          </w:p>
        </w:tc>
        <w:tc>
          <w:tcPr>
            <w:tcW w:type="dxa" w:w="2736"/>
          </w:tcPr>
          <w:p>
            <w:pPr>
              <w:spacing w:after="20"/>
              <w:jc w:val="right"/>
            </w:pPr>
            <w:r>
              <w:rPr>
                <w:color w:val="1C3A36"/>
                <w:sz w:val="17"/>
              </w:rPr>
              <w:t>global cable major</w:t>
            </w:r>
          </w:p>
        </w:tc>
      </w:tr>
      <w:tr>
        <w:tc>
          <w:tcPr>
            <w:tcW w:type="dxa" w:w="2736"/>
          </w:tcPr>
          <w:p>
            <w:pPr>
              <w:spacing w:after="20"/>
            </w:pPr>
            <w:r>
              <w:rPr>
                <w:color w:val="1C3A36"/>
                <w:sz w:val="17"/>
              </w:rPr>
              <w:t>Polycab India</w:t>
            </w:r>
          </w:p>
        </w:tc>
        <w:tc>
          <w:tcPr>
            <w:tcW w:type="dxa" w:w="1656"/>
          </w:tcPr>
          <w:p>
            <w:pPr>
              <w:spacing w:after="20"/>
              <w:jc w:val="right"/>
            </w:pPr>
            <w:r>
              <w:rPr>
                <w:color w:val="1C3A36"/>
                <w:sz w:val="17"/>
              </w:rPr>
              <w:t>NSE</w:t>
            </w:r>
          </w:p>
        </w:tc>
        <w:tc>
          <w:tcPr>
            <w:tcW w:type="dxa" w:w="1944"/>
          </w:tcPr>
          <w:p>
            <w:pPr>
              <w:spacing w:after="20"/>
              <w:jc w:val="right"/>
            </w:pPr>
            <w:r>
              <w:rPr>
                <w:color w:val="1C3A36"/>
                <w:sz w:val="17"/>
              </w:rPr>
              <w:t>~26x</w:t>
            </w:r>
          </w:p>
        </w:tc>
        <w:tc>
          <w:tcPr>
            <w:tcW w:type="dxa" w:w="2736"/>
          </w:tcPr>
          <w:p>
            <w:pPr>
              <w:spacing w:after="20"/>
              <w:jc w:val="right"/>
            </w:pPr>
            <w:r>
              <w:rPr>
                <w:color w:val="1C3A36"/>
                <w:sz w:val="17"/>
              </w:rPr>
              <w:t>high-growth EM premium</w:t>
            </w:r>
          </w:p>
        </w:tc>
      </w:tr>
      <w:tr>
        <w:tc>
          <w:tcPr>
            <w:tcW w:type="dxa" w:w="2736"/>
          </w:tcPr>
          <w:p>
            <w:pPr>
              <w:spacing w:after="20"/>
            </w:pPr>
            <w:r>
              <w:rPr>
                <w:color w:val="1C3A36"/>
                <w:sz w:val="17"/>
              </w:rPr>
              <w:t>KEI Industries</w:t>
            </w:r>
          </w:p>
        </w:tc>
        <w:tc>
          <w:tcPr>
            <w:tcW w:type="dxa" w:w="1656"/>
          </w:tcPr>
          <w:p>
            <w:pPr>
              <w:spacing w:after="20"/>
              <w:jc w:val="right"/>
            </w:pPr>
            <w:r>
              <w:rPr>
                <w:color w:val="1C3A36"/>
                <w:sz w:val="17"/>
              </w:rPr>
              <w:t>NSE</w:t>
            </w:r>
          </w:p>
        </w:tc>
        <w:tc>
          <w:tcPr>
            <w:tcW w:type="dxa" w:w="1944"/>
          </w:tcPr>
          <w:p>
            <w:pPr>
              <w:spacing w:after="20"/>
              <w:jc w:val="right"/>
            </w:pPr>
            <w:r>
              <w:rPr>
                <w:color w:val="1C3A36"/>
                <w:sz w:val="17"/>
              </w:rPr>
              <w:t>~24x</w:t>
            </w:r>
          </w:p>
        </w:tc>
        <w:tc>
          <w:tcPr>
            <w:tcW w:type="dxa" w:w="2736"/>
          </w:tcPr>
          <w:p>
            <w:pPr>
              <w:spacing w:after="20"/>
              <w:jc w:val="right"/>
            </w:pPr>
            <w:r>
              <w:rPr>
                <w:color w:val="1C3A36"/>
                <w:sz w:val="17"/>
              </w:rPr>
              <w:t>high-growth EM premium</w:t>
            </w:r>
          </w:p>
        </w:tc>
      </w:tr>
      <w:tr>
        <w:tc>
          <w:tcPr>
            <w:tcW w:type="dxa" w:w="2736"/>
          </w:tcPr>
          <w:p>
            <w:pPr>
              <w:spacing w:after="20"/>
            </w:pPr>
            <w:r>
              <w:rPr>
                <w:color w:val="1C3A36"/>
                <w:sz w:val="17"/>
              </w:rPr>
              <w:t>Ducab</w:t>
            </w:r>
          </w:p>
        </w:tc>
        <w:tc>
          <w:tcPr>
            <w:tcW w:type="dxa" w:w="1656"/>
          </w:tcPr>
          <w:p>
            <w:pPr>
              <w:spacing w:after="20"/>
              <w:jc w:val="right"/>
            </w:pPr>
            <w:r>
              <w:rPr>
                <w:color w:val="1C3A36"/>
                <w:sz w:val="17"/>
              </w:rPr>
              <w:t>UAE (private)</w:t>
            </w:r>
          </w:p>
        </w:tc>
        <w:tc>
          <w:tcPr>
            <w:tcW w:type="dxa" w:w="1944"/>
          </w:tcPr>
          <w:p>
            <w:pPr>
              <w:spacing w:after="20"/>
              <w:jc w:val="right"/>
            </w:pPr>
            <w:r>
              <w:rPr>
                <w:color w:val="1C3A36"/>
                <w:sz w:val="17"/>
              </w:rPr>
              <w:t>—</w:t>
            </w:r>
          </w:p>
        </w:tc>
        <w:tc>
          <w:tcPr>
            <w:tcW w:type="dxa" w:w="2736"/>
          </w:tcPr>
          <w:p>
            <w:pPr>
              <w:spacing w:after="20"/>
              <w:jc w:val="right"/>
            </w:pPr>
            <w:r>
              <w:rPr>
                <w:color w:val="1C3A36"/>
                <w:sz w:val="17"/>
              </w:rPr>
              <w:t>regional peer, unlisted</w:t>
            </w:r>
          </w:p>
        </w:tc>
      </w:tr>
    </w:tbl>
    <w:p>
      <w:pPr>
        <w:spacing w:after="40"/>
      </w:pPr>
    </w:p>
    <w:p>
      <w:pPr>
        <w:spacing w:after="80" w:before="200"/>
      </w:pPr>
      <w:r>
        <w:rPr>
          <w:b/>
          <w:i w:val="0"/>
          <w:color w:val="1C3A36"/>
          <w:sz w:val="24"/>
        </w:rPr>
        <w:t>B.2  Risk register</w:t>
      </w:r>
    </w:p>
    <w:p>
      <w:pPr>
        <w:pStyle w:val="ListBullet"/>
        <w:spacing w:after="60"/>
      </w:pPr>
      <w:r>
        <w:rPr>
          <w:b/>
          <w:color w:val="1C3A36"/>
          <w:sz w:val="21"/>
        </w:rPr>
        <w:t>Margin —</w:t>
      </w:r>
      <w:r>
        <w:rPr>
          <w:color w:val="1C3A36"/>
          <w:sz w:val="21"/>
        </w:rPr>
        <w:t xml:space="preserve"> concentrated in the conversion spread; a normalising or competed margin is the main downside.</w:t>
      </w:r>
    </w:p>
    <w:p>
      <w:pPr>
        <w:pStyle w:val="ListBullet"/>
        <w:spacing w:after="60"/>
      </w:pPr>
      <w:r>
        <w:rPr>
          <w:b/>
          <w:color w:val="1C3A36"/>
          <w:sz w:val="21"/>
        </w:rPr>
        <w:t>Metal —</w:t>
      </w:r>
      <w:r>
        <w:rPr>
          <w:color w:val="1C3A36"/>
          <w:sz w:val="21"/>
        </w:rPr>
        <w:t xml:space="preserve"> copper/aluminium price and availability; hedged, but a sustained move still moves reported results.</w:t>
      </w:r>
    </w:p>
    <w:p>
      <w:pPr>
        <w:pStyle w:val="ListBullet"/>
        <w:spacing w:after="60"/>
      </w:pPr>
      <w:r>
        <w:rPr>
          <w:b/>
          <w:color w:val="1C3A36"/>
          <w:sz w:val="21"/>
        </w:rPr>
        <w:t>Concentration —</w:t>
      </w:r>
      <w:r>
        <w:rPr>
          <w:color w:val="1C3A36"/>
          <w:sz w:val="21"/>
        </w:rPr>
        <w:t xml:space="preserve"> single-country and single-customer concentration (one customer ~19% of 2025 revenue).</w:t>
      </w:r>
    </w:p>
    <w:p>
      <w:pPr>
        <w:pStyle w:val="ListBullet"/>
        <w:spacing w:after="60"/>
      </w:pPr>
      <w:r>
        <w:rPr>
          <w:b/>
          <w:color w:val="1C3A36"/>
          <w:sz w:val="21"/>
        </w:rPr>
        <w:t>Cash —</w:t>
      </w:r>
      <w:r>
        <w:rPr>
          <w:color w:val="1C3A36"/>
          <w:sz w:val="21"/>
        </w:rPr>
        <w:t xml:space="preserve"> working-capital intensity and receivables quality (a SAR 151mn receivables impairment in 2025).</w:t>
      </w:r>
    </w:p>
    <w:p>
      <w:pPr>
        <w:pStyle w:val="ListBullet"/>
        <w:spacing w:after="60"/>
      </w:pPr>
      <w:r>
        <w:rPr>
          <w:b/>
          <w:color w:val="1C3A36"/>
          <w:sz w:val="21"/>
        </w:rPr>
        <w:t>Data —</w:t>
      </w:r>
      <w:r>
        <w:rPr>
          <w:color w:val="1C3A36"/>
          <w:sz w:val="21"/>
        </w:rPr>
        <w:t xml:space="preserve"> short listed history for the beta and the price-cone calibration.</w:t>
      </w:r>
    </w:p>
    <w:p>
      <w:pPr>
        <w:spacing w:after="80" w:before="200"/>
      </w:pPr>
      <w:r>
        <w:rPr>
          <w:b/>
          <w:i w:val="0"/>
          <w:color w:val="1C3A36"/>
          <w:sz w:val="24"/>
        </w:rPr>
        <w:t>B.3  Research register</w:t>
      </w:r>
    </w:p>
    <w:p>
      <w:pPr>
        <w:spacing w:after="120" w:before="0"/>
      </w:pPr>
      <w:r>
        <w:rPr>
          <w:b w:val="0"/>
          <w:i w:val="0"/>
          <w:color w:val="1C3A36"/>
          <w:sz w:val="21"/>
        </w:rPr>
        <w:t>Every figure in this study traces to a primary source. The full register — each input with its value, date, source and how it was constructed — is in the companion bibliography document. In summary: the historical income statement, balance sheet, cash flow, segment, cost and inventory figures come from Riyadh Cables’ own audited consolidated financial statements for 2022 through 2025 (KPMG, unmodified opinions); the 2026 near-term anchor is the company’s Tadawul-filed reviewed half-year results; the cost of capital uses the published Saudi sovereign and equity-risk-premium data and the Tadawul index for beta; and metal prices are the London Metal Exchange copper and aluminium references. No data aggregator, broker note or press report is a source for any company figure.</w:t>
      </w:r>
    </w:p>
    <w:p>
      <w:r>
        <w:br w:type="page"/>
      </w:r>
    </w:p>
    <w:p>
      <w:pPr>
        <w:spacing w:after="120" w:before="280"/>
      </w:pPr>
      <w:r>
        <w:rPr>
          <w:b/>
          <w:i w:val="0"/>
          <w:color w:val="1C3A36"/>
          <w:sz w:val="30"/>
        </w:rPr>
        <w:t>Appendix C  Expert panel</w:t>
      </w:r>
    </w:p>
    <w:p>
      <w:pPr>
        <w:spacing w:after="120" w:before="0"/>
      </w:pPr>
      <w:r>
        <w:rPr>
          <w:b w:val="0"/>
          <w:i w:val="0"/>
          <w:color w:val="1C3A36"/>
          <w:sz w:val="21"/>
        </w:rPr>
        <w:t>Three independent valuation methods, each worked in full, each with a condition that would prove it wrong. They are labelled Expert 1, 2 and 3 and cast by method.</w:t>
      </w:r>
    </w:p>
    <w:p>
      <w:pPr>
        <w:spacing w:after="80" w:before="200"/>
      </w:pPr>
      <w:r>
        <w:rPr>
          <w:b/>
          <w:i w:val="0"/>
          <w:color w:val="1C3A36"/>
          <w:sz w:val="24"/>
        </w:rPr>
        <w:t>C.1  Expert 1 — earnings power</w:t>
      </w:r>
    </w:p>
    <w:p>
      <w:pPr>
        <w:spacing w:after="120" w:before="0"/>
      </w:pPr>
      <w:r>
        <w:rPr>
          <w:b w:val="0"/>
          <w:i w:val="0"/>
          <w:color w:val="1C3A36"/>
          <w:sz w:val="21"/>
        </w:rPr>
        <w:t>Worldview: value a stable manufacturer on mid-cycle earnings and a through-cycle multiple. Works when earnings are recurring; fails if the cycle breaks structurally. Mid-cycle EBITDA margin 11.9% on revenue of SAR 13,340mn gives EBIT of SAR 1,476mn; after net interest of SAR 15mn, tax and minorities, earnings are SAR 8.80 per share; at 13.0x that is SAR 120 (range SAR 91–148). Falsifier: a sustained margin below 14%.</w:t>
      </w:r>
    </w:p>
    <w:p>
      <w:pPr>
        <w:spacing w:after="80" w:before="200"/>
      </w:pPr>
      <w:r>
        <w:rPr>
          <w:b/>
          <w:i w:val="0"/>
          <w:color w:val="1C3A36"/>
          <w:sz w:val="24"/>
        </w:rPr>
        <w:t>C.2  Expert 2 — owner cash earnings</w:t>
      </w:r>
    </w:p>
    <w:p>
      <w:pPr>
        <w:spacing w:after="120" w:before="0"/>
      </w:pPr>
      <w:r>
        <w:rPr>
          <w:b w:val="0"/>
          <w:i w:val="0"/>
          <w:color w:val="1C3A36"/>
          <w:sz w:val="21"/>
        </w:rPr>
        <w:t>Worldview: an owner earns the free cash flow after real reinvestment; capitalise mid-cycle owner cash at the cost of equity. Works for a cash-generative business; fails if reinvestment is understated. Mid-cycle free cash flow to the firm of SAR 1,068mn, less after-tax interest, is owner cash of about SAR 1,059mn; grown at 4% and capitalised at 9.7% gives SAR 135 (range SAR 92–165). Falsifier: free cash conversion staying below half of earnings.</w:t>
      </w:r>
    </w:p>
    <w:p>
      <w:pPr>
        <w:spacing w:after="80" w:before="200"/>
      </w:pPr>
      <w:r>
        <w:rPr>
          <w:b/>
          <w:i w:val="0"/>
          <w:color w:val="1C3A36"/>
          <w:sz w:val="24"/>
        </w:rPr>
        <w:t>C.3  Expert 3 — cash returns versus the cost of capital</w:t>
      </w:r>
    </w:p>
    <w:p>
      <w:pPr>
        <w:spacing w:after="120" w:before="0"/>
      </w:pPr>
      <w:r>
        <w:rPr>
          <w:b w:val="0"/>
          <w:i w:val="0"/>
          <w:color w:val="1C3A36"/>
          <w:sz w:val="21"/>
        </w:rPr>
        <w:t>Worldview: value is invested capital plus the present value of returns above the cost of capital. Works when returns are measurable and durable; fails if the return advantage erodes. Invested capital of SAR 4,425mn plus the present value of economic profit (SAR 13,988mn) gives SAR 126 per share (range SAR 92–145). Falsifier: return on capital falling toward the cost of capital.</w:t>
      </w:r>
    </w:p>
    <w:p>
      <w:pPr>
        <w:spacing w:after="40"/>
        <w:jc w:val="center"/>
      </w:pPr>
      <w:r>
        <w:drawing>
          <wp:inline xmlns:a="http://schemas.openxmlformats.org/drawingml/2006/main" xmlns:pic="http://schemas.openxmlformats.org/drawingml/2006/picture">
            <wp:extent cx="6126480" cy="2210586"/>
            <wp:docPr id="7" name="Picture 7"/>
            <wp:cNvGraphicFramePr>
              <a:graphicFrameLocks noChangeAspect="1"/>
            </wp:cNvGraphicFramePr>
            <a:graphic>
              <a:graphicData uri="http://schemas.openxmlformats.org/drawingml/2006/picture">
                <pic:pic>
                  <pic:nvPicPr>
                    <pic:cNvPr id="0" name="figD1_experts.png"/>
                    <pic:cNvPicPr/>
                  </pic:nvPicPr>
                  <pic:blipFill>
                    <a:blip r:embed="rId15"/>
                    <a:stretch>
                      <a:fillRect/>
                    </a:stretch>
                  </pic:blipFill>
                  <pic:spPr>
                    <a:xfrm>
                      <a:off x="0" y="0"/>
                      <a:ext cx="6126480" cy="2210586"/>
                    </a:xfrm>
                    <a:prstGeom prst="rect"/>
                  </pic:spPr>
                </pic:pic>
              </a:graphicData>
            </a:graphic>
          </wp:inline>
        </w:drawing>
      </w:r>
    </w:p>
    <w:p>
      <w:pPr>
        <w:spacing w:after="200" w:before="0"/>
      </w:pPr>
      <w:r>
        <w:rPr>
          <w:b w:val="0"/>
          <w:i/>
          <w:color w:val="6E7B77"/>
          <w:sz w:val="17"/>
        </w:rPr>
        <w:t>Figure 7. The three experts’ fair-value ranges; brass ticks are base cases, the gold band is the panel centre.</w:t>
      </w:r>
    </w:p>
    <w:p>
      <w:pPr>
        <w:spacing w:after="80" w:before="200"/>
      </w:pPr>
      <w:r>
        <w:rPr>
          <w:b/>
          <w:i w:val="0"/>
          <w:color w:val="1C3A36"/>
          <w:sz w:val="24"/>
        </w:rPr>
        <w:t>C.4  Cross-examination</w:t>
      </w:r>
    </w:p>
    <w:p>
      <w:pPr>
        <w:pStyle w:val="ListBullet"/>
        <w:spacing w:after="60"/>
      </w:pPr>
      <w:r>
        <w:rPr>
          <w:b/>
          <w:color w:val="1C3A36"/>
          <w:sz w:val="21"/>
        </w:rPr>
        <w:t>On the multiple:</w:t>
      </w:r>
      <w:r>
        <w:rPr>
          <w:color w:val="1C3A36"/>
          <w:sz w:val="21"/>
        </w:rPr>
        <w:t xml:space="preserve"> Expert 1’s multiple is challenged as too high for a single-country name — conceded in the bear case (10x), rejected as the base given the return profile.</w:t>
      </w:r>
    </w:p>
    <w:p>
      <w:pPr>
        <w:pStyle w:val="ListBullet"/>
        <w:spacing w:after="60"/>
      </w:pPr>
      <w:r>
        <w:rPr>
          <w:b/>
          <w:color w:val="1C3A36"/>
          <w:sz w:val="21"/>
        </w:rPr>
        <w:t>On reinvestment:</w:t>
      </w:r>
      <w:r>
        <w:rPr>
          <w:color w:val="1C3A36"/>
          <w:sz w:val="21"/>
        </w:rPr>
        <w:t xml:space="preserve"> Expert 2’s reinvestment is challenged as too light — rejected: capex has run at under 2% of revenue with the plant largely built, and the model still charges working-capital investment.</w:t>
      </w:r>
    </w:p>
    <w:p>
      <w:pPr>
        <w:pStyle w:val="ListBullet"/>
        <w:spacing w:after="60"/>
      </w:pPr>
      <w:r>
        <w:rPr>
          <w:b/>
          <w:color w:val="1C3A36"/>
          <w:sz w:val="21"/>
        </w:rPr>
        <w:t>On durability:</w:t>
      </w:r>
      <w:r>
        <w:rPr>
          <w:color w:val="1C3A36"/>
          <w:sz w:val="21"/>
        </w:rPr>
        <w:t xml:space="preserve"> Expert 3’s durability of returns is challenged — conceded that the low-30s% return on capital will fade. The terminal no longer rests on that return at all: it charges what keeping the plant intact actually costs, on the life the company’s own notes imply, and charges capital for real growth only.</w:t>
      </w:r>
    </w:p>
    <w:p>
      <w:pPr>
        <w:spacing w:after="80" w:before="200"/>
      </w:pPr>
      <w:r>
        <w:rPr>
          <w:b/>
          <w:i w:val="0"/>
          <w:color w:val="1C3A36"/>
          <w:sz w:val="24"/>
        </w:rPr>
        <w:t>C.5  The three in one room</w:t>
      </w:r>
    </w:p>
    <w:p>
      <w:pPr>
        <w:spacing w:after="120" w:before="0"/>
      </w:pPr>
      <w:r>
        <w:rPr>
          <w:b w:val="0"/>
          <w:i w:val="0"/>
          <w:color w:val="1C3A36"/>
          <w:sz w:val="21"/>
        </w:rPr>
        <w:t>The three methods land at SAR 120, SAR 135 and SAR 126, a median of SAR 126 — close to the discounted-cash-flow lens and above the market. They agree the business is high-return and under-levered; they differ on how much of that return the future keeps.</w:t>
      </w:r>
    </w:p>
    <w:p>
      <w:pPr>
        <w:spacing w:after="80" w:before="200"/>
      </w:pPr>
      <w:r>
        <w:rPr>
          <w:b/>
          <w:i w:val="0"/>
          <w:color w:val="1C3A36"/>
          <w:sz w:val="24"/>
        </w:rPr>
        <w:t>C.6  Reading the divergence</w:t>
      </w:r>
    </w:p>
    <w:p>
      <w:pPr>
        <w:spacing w:after="120" w:before="0"/>
      </w:pPr>
      <w:r>
        <w:rPr>
          <w:b w:val="0"/>
          <w:i w:val="0"/>
          <w:color w:val="1C3A36"/>
          <w:sz w:val="21"/>
        </w:rPr>
        <w:t>The gap between the experts is almost entirely the terminal assumption: how durable the return advantage and the growth are. Expert 2, which capitalises owner cash into perpetuity, is the most sensitive to it and sits highest; Expert 1, on a fixed exit multiple, is the most anchored and sits lowest. The same single lever — the sustained margin and the terminal cost of capital — moves all three, which is why it is the study’s crux.</w:t>
      </w:r>
    </w:p>
    <w:p>
      <w:r>
        <w:br w:type="page"/>
      </w:r>
    </w:p>
    <w:p>
      <w:pPr>
        <w:spacing w:after="120" w:before="280"/>
      </w:pPr>
      <w:r>
        <w:rPr>
          <w:b/>
          <w:i w:val="0"/>
          <w:color w:val="1C3A36"/>
          <w:sz w:val="30"/>
        </w:rPr>
        <w:t>About this series</w:t>
      </w:r>
    </w:p>
    <w:p>
      <w:pPr>
        <w:spacing w:after="120" w:before="0"/>
      </w:pPr>
      <w:r>
        <w:rPr>
          <w:b w:val="0"/>
          <w:i w:val="0"/>
          <w:color w:val="1C3A36"/>
          <w:sz w:val="21"/>
        </w:rPr>
        <w:t>Testahil publishes independent, educational valuation studies. Each is built from a company’s own audited disclosures, values the business through several lenses, and states its assumptions and its uncertainty openly. A companion workbook carries the full model as live formulas; a companion bibliography lists every source. The studies are analysis, not advice.</w:t>
      </w:r>
    </w:p>
    <w:p>
      <w:pPr>
        <w:spacing w:after="120" w:before="280"/>
      </w:pPr>
      <w:r>
        <w:rPr>
          <w:b/>
          <w:i w:val="0"/>
          <w:color w:val="1C3A36"/>
          <w:sz w:val="30"/>
        </w:rPr>
        <w:t>Disclosure &amp; disclaimer</w:t>
      </w:r>
    </w:p>
    <w:p>
      <w:pPr>
        <w:spacing w:after="120" w:before="0"/>
      </w:pPr>
      <w:r>
        <w:rPr>
          <w:b w:val="0"/>
          <w:i w:val="0"/>
          <w:color w:val="6E7B77"/>
          <w:sz w:val="17"/>
        </w:rPr>
        <w:t>This document is an independent educational analysis and is not investment advice, an offer, a solicitation, or a recommendation to buy or sell any security. It is not a price target. All values are model outputs shown as ranges and depend on assumptions that may prove wrong. The author holds no position in Riyadh Cables Group Company and received no compensation from it. Figures derive from the company’s own audited and reviewed financial statements and from published market and sovereign-risk data; while care has been taken, no warranty is given as to accuracy or completeness. Readers must reach their own conclusions and, where appropriate, take professional advice. Past performance and modelled scenarios are not guarantees of future results. Currency is Saudi riyals unless stated. Prices as at 2026-08-18.</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