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Mobily FY2025 and H1-2026 results announcements (Saudi Exchange issuer filings) and FY2025 earnings release</w:t>
            </w:r>
          </w:p>
        </w:tc>
        <w:tc>
          <w:tcPr>
            <w:tcW w:type="dxa" w:w="4248"/>
          </w:tcPr>
          <w:p>
            <w:pPr>
              <w:spacing w:after="20"/>
            </w:pPr>
            <w:r>
              <w:rPr>
                <w:color w:val="1C3A36"/>
                <w:sz w:val="16"/>
              </w:rPr>
              <w:t>the justified price/earnings multiple and the peer dividend-yield anchor, both re-derived from filed earnings after the first edition used a stale aggregator figure: trailing EPS SAR 4.76 = FY2025 4.51 + H1-2026 2.32 - H1-2025 2.07, giving 12.9x on the 06-Aug-2026 close of SAR 61.30 (the market-cap route ties independently)</w:t>
            </w:r>
          </w:p>
        </w:tc>
        <w:tc>
          <w:tcPr>
            <w:tcW w:type="dxa" w:w="1224"/>
          </w:tcPr>
          <w:p>
            <w:pPr>
              <w:spacing w:after="20"/>
            </w:pPr>
            <w:r>
              <w:rPr>
                <w:color w:val="1C3A36"/>
                <w:sz w:val="16"/>
              </w:rPr>
              <w:t>06-Aug-2026</w:t>
            </w:r>
          </w:p>
        </w:tc>
        <w:tc>
          <w:tcPr>
            <w:tcW w:type="dxa" w:w="1296"/>
          </w:tcPr>
          <w:p>
            <w:pPr>
              <w:spacing w:after="20"/>
            </w:pPr>
            <w:r>
              <w:rPr>
                <w:color w:val="1C3A36"/>
                <w:sz w:val="16"/>
              </w:rPr>
              <w:t>saudiexchange.sa / mobily.com.sa</w:t>
            </w:r>
          </w:p>
        </w:tc>
      </w:tr>
      <w:tr>
        <w:tc>
          <w:tcPr>
            <w:tcW w:type="dxa" w:w="3312"/>
          </w:tcPr>
          <w:p>
            <w:pPr>
              <w:spacing w:after="20"/>
            </w:pPr>
            <w:r>
              <w:rPr>
                <w:color w:val="1C3A36"/>
                <w:sz w:val="16"/>
              </w:rPr>
              <w:t>e&amp; FY2025, H1-2025 and H1-2026 results releases</w:t>
            </w:r>
          </w:p>
        </w:tc>
        <w:tc>
          <w:tcPr>
            <w:tcW w:type="dxa" w:w="4248"/>
          </w:tcPr>
          <w:p>
            <w:pPr>
              <w:spacing w:after="20"/>
            </w:pPr>
            <w:r>
              <w:rPr>
                <w:color w:val="1C3A36"/>
                <w:sz w:val="16"/>
              </w:rPr>
              <w:t>the second filing-derived peer multiple: trailing EPS AED 1.33 reported-attributable, 15.7x on the 06-Aug-2026 close of AED 20.98. NOTE the basis trap: e&amp;'s own H1-2026 release quotes the H1-2025 comparative on an ADJUSTED basis, which if used fabricates a 12.6x</w:t>
            </w:r>
          </w:p>
        </w:tc>
        <w:tc>
          <w:tcPr>
            <w:tcW w:type="dxa" w:w="1224"/>
          </w:tcPr>
          <w:p>
            <w:pPr>
              <w:spacing w:after="20"/>
            </w:pPr>
            <w:r>
              <w:rPr>
                <w:color w:val="1C3A36"/>
                <w:sz w:val="16"/>
              </w:rPr>
              <w:t>06-Aug-2026</w:t>
            </w:r>
          </w:p>
        </w:tc>
        <w:tc>
          <w:tcPr>
            <w:tcW w:type="dxa" w:w="1296"/>
          </w:tcPr>
          <w:p>
            <w:pPr>
              <w:spacing w:after="20"/>
            </w:pPr>
            <w:r>
              <w:rPr>
                <w:color w:val="1C3A36"/>
                <w:sz w:val="16"/>
              </w:rPr>
              <w:t>eand.com</w:t>
            </w:r>
          </w:p>
        </w:tc>
      </w:tr>
      <w:tr>
        <w:tc>
          <w:tcPr>
            <w:tcW w:type="dxa" w:w="3312"/>
          </w:tcPr>
          <w:p>
            <w:pPr>
              <w:spacing w:after="20"/>
            </w:pPr>
            <w:r>
              <w:rPr>
                <w:color w:val="1C3A36"/>
                <w:sz w:val="16"/>
              </w:rPr>
              <w:t>du dividend-distribution disclosure to DFM, Ref RME/14/2026</w:t>
            </w:r>
          </w:p>
        </w:tc>
        <w:tc>
          <w:tcPr>
            <w:tcW w:type="dxa" w:w="4248"/>
          </w:tcPr>
          <w:p>
            <w:pPr>
              <w:spacing w:after="20"/>
            </w:pPr>
            <w:r>
              <w:rPr>
                <w:color w:val="1C3A36"/>
                <w:sz w:val="16"/>
              </w:rPr>
              <w:t>the interim dividend timetable that determines which dividends are still in the anchor price: ex-date 31-Jul-2026, record 03-Aug-2026, payment 21-Aug-2026</w:t>
            </w:r>
          </w:p>
        </w:tc>
        <w:tc>
          <w:tcPr>
            <w:tcW w:type="dxa" w:w="1224"/>
          </w:tcPr>
          <w:p>
            <w:pPr>
              <w:spacing w:after="20"/>
            </w:pPr>
            <w:r>
              <w:rPr>
                <w:color w:val="1C3A36"/>
                <w:sz w:val="16"/>
              </w:rPr>
              <w:t>2026-07-31</w:t>
            </w:r>
          </w:p>
        </w:tc>
        <w:tc>
          <w:tcPr>
            <w:tcW w:type="dxa" w:w="1296"/>
          </w:tcPr>
          <w:p>
            <w:pPr>
              <w:spacing w:after="20"/>
            </w:pPr>
            <w:r>
              <w:rPr>
                <w:color w:val="1C3A36"/>
                <w:sz w:val="16"/>
              </w:rPr>
              <w:t>du filing via DFM</w:t>
            </w:r>
          </w:p>
        </w:tc>
      </w:tr>
      <w:tr>
        <w:tc>
          <w:tcPr>
            <w:tcW w:type="dxa" w:w="3312"/>
          </w:tcPr>
          <w:p>
            <w:pPr>
              <w:spacing w:after="20"/>
            </w:pPr>
            <w:r>
              <w:rPr>
                <w:color w:val="1C3A36"/>
                <w:sz w:val="16"/>
              </w:rPr>
              <w:t>du disclosure announcement, "Extension of Federal Royalty Scheme for the Period 2027-2029"</w:t>
            </w:r>
          </w:p>
        </w:tc>
        <w:tc>
          <w:tcPr>
            <w:tcW w:type="dxa" w:w="4248"/>
          </w:tcPr>
          <w:p>
            <w:pPr>
              <w:spacing w:after="20"/>
            </w:pPr>
            <w:r>
              <w:rPr>
                <w:color w:val="1C3A36"/>
                <w:sz w:val="16"/>
              </w:rPr>
              <w:t>the settled 2027-2029 fiscal regime, including the express retention of the AED 1.8bn combined annual floor</w:t>
            </w:r>
          </w:p>
        </w:tc>
        <w:tc>
          <w:tcPr>
            <w:tcW w:type="dxa" w:w="1224"/>
          </w:tcPr>
          <w:p>
            <w:pPr>
              <w:spacing w:after="20"/>
            </w:pPr>
            <w:r>
              <w:rPr>
                <w:color w:val="1C3A36"/>
                <w:sz w:val="16"/>
              </w:rPr>
              <w:t>2026-07-24</w:t>
            </w:r>
          </w:p>
        </w:tc>
        <w:tc>
          <w:tcPr>
            <w:tcW w:type="dxa" w:w="1296"/>
          </w:tcPr>
          <w:p>
            <w:pPr>
              <w:spacing w:after="20"/>
            </w:pPr>
            <w:r>
              <w:rPr>
                <w:color w:val="1C3A36"/>
                <w:sz w:val="16"/>
              </w:rPr>
              <w:t>du company disclosure</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158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0.66</w:t>
            </w:r>
          </w:p>
        </w:tc>
        <w:tc>
          <w:tcPr>
            <w:tcW w:type="dxa" w:w="5904"/>
          </w:tcPr>
          <w:p>
            <w:pPr>
              <w:spacing w:after="20"/>
            </w:pPr>
            <w:r>
              <w:rPr>
                <w:color w:val="1C3A36"/>
                <w:sz w:val="14"/>
              </w:rPr>
              <w:t>Dividends whose EX-DATE falls between the 31-Dec-2025 valuation date and the 07-Aug-2026 anchor, and which are therefore no longer in the share price: the final FY2025 AED 0.40 (AGM 30-Mar-2026, paid 28-Apr-2026) PLUS the H1-2026 interim AED 0.26 — Board-approved 22-Jul-2026, EX-DATE 31-JULY-2026, record 03-Aug-2026, paid 21-Aug-2026, per du's own dividend disclosure to DFM (Ref RME/14/2026). CORRECTED 17-Aug-2026: the prior edition carried only 0.40, on the reasoning that the interim was declared but unpaid at the anchor so it 'stays in the share'. That applied the PAYMENT date; the correct test is the EX-date, which had passed six trading sessions before the anchor. The anchor spot of AED 12.30 is ex the 0.26, so every lens rolled to that anchor must be ex it too</w:t>
            </w:r>
          </w:p>
        </w:tc>
        <w:tc>
          <w:tcPr>
            <w:tcW w:type="dxa" w:w="1080"/>
          </w:tcPr>
          <w:p>
            <w:pPr>
              <w:spacing w:after="20"/>
            </w:pPr>
            <w:r>
              <w:rPr>
                <w:color w:val="1C3A36"/>
                <w:sz w:val="14"/>
              </w:rPr>
              <w:t>2026-07-31</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investees_bv</w:t>
            </w:r>
          </w:p>
        </w:tc>
        <w:tc>
          <w:tcPr>
            <w:tcW w:type="dxa" w:w="1656"/>
          </w:tcPr>
          <w:p>
            <w:pPr>
              <w:spacing w:after="20"/>
            </w:pPr>
            <w:r>
              <w:rPr>
                <w:color w:val="1C3A36"/>
                <w:sz w:val="14"/>
              </w:rPr>
              <w:t>0.511</w:t>
            </w:r>
          </w:p>
        </w:tc>
        <w:tc>
          <w:tcPr>
            <w:tcW w:type="dxa" w:w="5904"/>
          </w:tcPr>
          <w:p>
            <w:pPr>
              <w:spacing w:after="20"/>
            </w:pPr>
            <w:r>
              <w:rPr>
                <w:color w:val="1C3A36"/>
                <w:sz w:val="14"/>
              </w:rPr>
              <w:t>Audited consolidated FS, Integrated Annual Report 2025, investors.du.ae (KPMG Lower Gulf, unmodified opinion 09-Feb-2026), Note 10: investments accounted for using the equity method, carrying value AED 0.511mn at 31-Dec-2025 (FY2024: 2.716mn). REGISTERED 17-Aug-2026 — this figure was previously typed directly into the bridge, so it was an input with no four-field record and the completeness assertion passed over it</w:t>
            </w:r>
          </w:p>
        </w:tc>
        <w:tc>
          <w:tcPr>
            <w:tcW w:type="dxa" w:w="1080"/>
          </w:tcPr>
          <w:p>
            <w:pPr>
              <w:spacing w:after="20"/>
            </w:pPr>
            <w:r>
              <w:rPr>
                <w:color w:val="1C3A36"/>
                <w:sz w:val="14"/>
              </w:rPr>
              <w:t>2026-02-09</w:t>
            </w:r>
          </w:p>
        </w:tc>
      </w:tr>
      <w:tr>
        <w:tc>
          <w:tcPr>
            <w:tcW w:type="dxa" w:w="1512"/>
          </w:tcPr>
          <w:p>
            <w:pPr>
              <w:spacing w:after="20"/>
            </w:pPr>
            <w:r>
              <w:rPr>
                <w:color w:val="1C3A36"/>
                <w:sz w:val="14"/>
              </w:rPr>
              <w:t>direct_costs_hist</w:t>
            </w:r>
          </w:p>
        </w:tc>
        <w:tc>
          <w:tcPr>
            <w:tcW w:type="dxa" w:w="1656"/>
          </w:tcPr>
          <w:p>
            <w:pPr>
              <w:spacing w:after="20"/>
            </w:pPr>
            <w:r>
              <w:rPr>
                <w:color w:val="1C3A36"/>
                <w:sz w:val="14"/>
              </w:rPr>
              <w:t>FY24: -4,818.4; FY25: -5,259.4</w:t>
            </w:r>
          </w:p>
        </w:tc>
        <w:tc>
          <w:tcPr>
            <w:tcW w:type="dxa" w:w="5904"/>
          </w:tcPr>
          <w:p>
            <w:pPr>
              <w:spacing w:after="20"/>
            </w:pPr>
            <w:r>
              <w:rPr>
                <w:color w:val="1C3A36"/>
                <w:sz w:val="14"/>
              </w:rPr>
              <w:t>Audited consolidated FS, Integrated Annual Report 2025, investors.du.ae (KPMG Lower Gulf, unmodified opinion 09-Feb-2026), face of the income statement: interconnect + commission + devices and other direct services cost</w:t>
            </w:r>
          </w:p>
        </w:tc>
        <w:tc>
          <w:tcPr>
            <w:tcW w:type="dxa" w:w="1080"/>
          </w:tcPr>
          <w:p>
            <w:pPr>
              <w:spacing w:after="20"/>
            </w:pPr>
            <w:r>
              <w:rPr>
                <w:color w:val="1C3A36"/>
                <w:sz w:val="14"/>
              </w:rPr>
              <w:t>2026-02-09</w:t>
            </w:r>
          </w:p>
        </w:tc>
      </w:tr>
      <w:tr>
        <w:tc>
          <w:tcPr>
            <w:tcW w:type="dxa" w:w="1512"/>
          </w:tcPr>
          <w:p>
            <w:pPr>
              <w:spacing w:after="20"/>
            </w:pPr>
            <w:r>
              <w:rPr>
                <w:color w:val="1C3A36"/>
                <w:sz w:val="14"/>
              </w:rPr>
              <w:t>dc_nature_hist</w:t>
            </w:r>
          </w:p>
        </w:tc>
        <w:tc>
          <w:tcPr>
            <w:tcW w:type="dxa" w:w="1656"/>
          </w:tcPr>
          <w:p>
            <w:pPr>
              <w:spacing w:after="20"/>
            </w:pPr>
            <w:r>
              <w:rPr>
                <w:color w:val="1C3A36"/>
                <w:sz w:val="14"/>
              </w:rPr>
              <w:t>FY22: interconnect: 2,768.0; commission: 463.8; devices: 1,303.4; FY23: interconnect: 2,729.6; commission: 535.5; devices: 1,405.6; FY24: interconnect: 2,811.2; commission: 596.2; devices: 1,411.0; FY25: interconnect: 2,914.2; commission: 686.4; devices: 1,658.8</w:t>
            </w:r>
          </w:p>
        </w:tc>
        <w:tc>
          <w:tcPr>
            <w:tcW w:type="dxa" w:w="5904"/>
          </w:tcPr>
          <w:p>
            <w:pPr>
              <w:spacing w:after="20"/>
            </w:pPr>
            <w:r>
              <w:rPr>
                <w:color w:val="1C3A36"/>
                <w:sz w:val="14"/>
              </w:rPr>
              <w:t>Operating-expenses note, by nature: Audited consolidated FS, Annual Report 2023, investors.du.ae (PwC, unqualified opinion 13-Feb-2024) Note 26 (FY2022 'Product costs' and FY2023); Audited consolidated FS, Annual Report 2024, investors.du.ae (PwC, unqualified opinion 10-Feb-2025) Note 27 (FY2023-24, where the line is renamed 'Cost of devices and direct services'); Audited consolidated FS, Integrated Annual Report 2025, investors.du.ae (KPMG Lower Gulf, unmodified opinion 09-Feb-2026) face of the income statement (FY2024-25). NOTE A REAL DISCREPANCY: AR2024 Note 27 prints FY2024 devices as 1,402.121 while AR2025 re-presents the same year at 1,410.996 (+8.875). The later filing is taken as the authority, and the FY2024 by-nature lines then foot exactly to the disclosed 4,818.442 total</w:t>
            </w:r>
          </w:p>
        </w:tc>
        <w:tc>
          <w:tcPr>
            <w:tcW w:type="dxa" w:w="1080"/>
          </w:tcPr>
          <w:p>
            <w:pPr>
              <w:spacing w:after="20"/>
            </w:pPr>
            <w:r>
              <w:rPr>
                <w:color w:val="1C3A36"/>
                <w:sz w:val="14"/>
              </w:rPr>
              <w:t>2026-02-09</w:t>
            </w:r>
          </w:p>
        </w:tc>
      </w:tr>
      <w:tr>
        <w:tc>
          <w:tcPr>
            <w:tcW w:type="dxa" w:w="1512"/>
          </w:tcPr>
          <w:p>
            <w:pPr>
              <w:spacing w:after="20"/>
            </w:pPr>
            <w:r>
              <w:rPr>
                <w:color w:val="1C3A36"/>
                <w:sz w:val="14"/>
              </w:rPr>
              <w:t>dc_nature_h1</w:t>
            </w:r>
          </w:p>
        </w:tc>
        <w:tc>
          <w:tcPr>
            <w:tcW w:type="dxa" w:w="1656"/>
          </w:tcPr>
          <w:p>
            <w:pPr>
              <w:spacing w:after="20"/>
            </w:pPr>
            <w:r>
              <w:rPr>
                <w:color w:val="1C3A36"/>
                <w:sz w:val="14"/>
              </w:rPr>
              <w:t>H125: interconnect: 1,442.3; commission: 331.7; devices: 778.3; H126: interconnect: 1,456.8; commission: 359.2; devices: 769.5</w:t>
            </w:r>
          </w:p>
        </w:tc>
        <w:tc>
          <w:tcPr>
            <w:tcW w:type="dxa" w:w="5904"/>
          </w:tcPr>
          <w:p>
            <w:pPr>
              <w:spacing w:after="20"/>
            </w:pPr>
            <w:r>
              <w:rPr>
                <w:color w:val="1C3A36"/>
                <w:sz w:val="14"/>
              </w:rPr>
              <w:t>Reviewed condensed consolidated interim FS for the six months ended 30-Jun-2026, investors.du.ae (KPMG ISRE 2410 review, 22-Jul-2026), face of the income statement: the three direct-cost lines with their H1-2025 comparatives. THE LIKE-FOR-LIKE HALF-YEAR PAIR is what makes a per-unit escalator sourced rather than assumed</w:t>
            </w:r>
          </w:p>
        </w:tc>
        <w:tc>
          <w:tcPr>
            <w:tcW w:type="dxa" w:w="1080"/>
          </w:tcPr>
          <w:p>
            <w:pPr>
              <w:spacing w:after="20"/>
            </w:pPr>
            <w:r>
              <w:rPr>
                <w:color w:val="1C3A36"/>
                <w:sz w:val="14"/>
              </w:rPr>
              <w:t>2026-07-22</w:t>
            </w:r>
          </w:p>
        </w:tc>
      </w:tr>
      <w:tr>
        <w:tc>
          <w:tcPr>
            <w:tcW w:type="dxa" w:w="1512"/>
          </w:tcPr>
          <w:p>
            <w:pPr>
              <w:spacing w:after="20"/>
            </w:pPr>
            <w:r>
              <w:rPr>
                <w:color w:val="1C3A36"/>
                <w:sz w:val="14"/>
              </w:rPr>
              <w:t>seg_dc_hist</w:t>
            </w:r>
          </w:p>
        </w:tc>
        <w:tc>
          <w:tcPr>
            <w:tcW w:type="dxa" w:w="1656"/>
          </w:tcPr>
          <w:p>
            <w:pPr>
              <w:spacing w:after="20"/>
            </w:pPr>
            <w:r>
              <w:rPr>
                <w:color w:val="1C3A36"/>
                <w:sz w:val="14"/>
              </w:rPr>
              <w:t>FY24: mobile: 2,562.5; fixed: 615.1; wholesale: 284.1; ict: 1,356.8; FY25: mobile: 2,771.3; fixed: 621.9; wholesale: 348.7; ict: 1,517.5</w:t>
            </w:r>
          </w:p>
        </w:tc>
        <w:tc>
          <w:tcPr>
            <w:tcW w:type="dxa" w:w="5904"/>
          </w:tcPr>
          <w:p>
            <w:pPr>
              <w:spacing w:after="20"/>
            </w:pPr>
            <w:r>
              <w:rPr>
                <w:color w:val="1C3A36"/>
                <w:sz w:val="14"/>
              </w:rPr>
              <w:t>Audited consolidated FS, Integrated Annual Report 2025, investors.du.ae (KPMG Lower Gulf, unmodified opinion 09-Feb-2026), Note 38: 'interconnect and other direct costs' by segment (segment revenue less segment contribution)</w:t>
            </w:r>
          </w:p>
        </w:tc>
        <w:tc>
          <w:tcPr>
            <w:tcW w:type="dxa" w:w="1080"/>
          </w:tcPr>
          <w:p>
            <w:pPr>
              <w:spacing w:after="20"/>
            </w:pPr>
            <w:r>
              <w:rPr>
                <w:color w:val="1C3A36"/>
                <w:sz w:val="14"/>
              </w:rPr>
              <w:t>2026-02-09</w:t>
            </w:r>
          </w:p>
        </w:tc>
      </w:tr>
      <w:tr>
        <w:tc>
          <w:tcPr>
            <w:tcW w:type="dxa" w:w="1512"/>
          </w:tcPr>
          <w:p>
            <w:pPr>
              <w:spacing w:after="20"/>
            </w:pPr>
            <w:r>
              <w:rPr>
                <w:color w:val="1C3A36"/>
                <w:sz w:val="14"/>
              </w:rPr>
              <w:t>seg_dc_h1</w:t>
            </w:r>
          </w:p>
        </w:tc>
        <w:tc>
          <w:tcPr>
            <w:tcW w:type="dxa" w:w="1656"/>
          </w:tcPr>
          <w:p>
            <w:pPr>
              <w:spacing w:after="20"/>
            </w:pPr>
            <w:r>
              <w:rPr>
                <w:color w:val="1C3A36"/>
                <w:sz w:val="14"/>
              </w:rPr>
              <w:t>H125: mobile: 1,357.5; fixed: 313.5; wholesale: 178.9; ict: 702.4; H126: mobile: 1,371.2; fixed: 303.3; wholesale: 195.9; ict: 715.0</w:t>
            </w:r>
          </w:p>
        </w:tc>
        <w:tc>
          <w:tcPr>
            <w:tcW w:type="dxa" w:w="5904"/>
          </w:tcPr>
          <w:p>
            <w:pPr>
              <w:spacing w:after="20"/>
            </w:pPr>
            <w:r>
              <w:rPr>
                <w:color w:val="1C3A36"/>
                <w:sz w:val="14"/>
              </w:rPr>
              <w:t>Reviewed condensed consolidated interim FS for the six months ended 30-Jun-2026, investors.du.ae (KPMG ISRE 2410 review, 22-Jul-2026), Note 17 segment analysis: segment revenue less segment contribution ('gross margin'), for the six months ended 30-Jun-2026 and the 30-Jun-2025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h1_25_seg</w:t>
            </w:r>
          </w:p>
        </w:tc>
        <w:tc>
          <w:tcPr>
            <w:tcW w:type="dxa" w:w="1656"/>
          </w:tcPr>
          <w:p>
            <w:pPr>
              <w:spacing w:after="20"/>
            </w:pPr>
            <w:r>
              <w:rPr>
                <w:color w:val="1C3A36"/>
                <w:sz w:val="14"/>
              </w:rPr>
              <w:t>mobile: 3,457.1; fixed: 2,140.3; wholesale: 1,283.3; ict: 869.6</w:t>
            </w:r>
          </w:p>
        </w:tc>
        <w:tc>
          <w:tcPr>
            <w:tcW w:type="dxa" w:w="5904"/>
          </w:tcPr>
          <w:p>
            <w:pPr>
              <w:spacing w:after="20"/>
            </w:pPr>
            <w:r>
              <w:rPr>
                <w:color w:val="1C3A36"/>
                <w:sz w:val="14"/>
              </w:rPr>
              <w:t>Reviewed condensed consolidated interim FS for the six months ended 30-Jun-2026, investors.du.ae (KPMG ISRE 2410 review, 22-Jul-2026), Note 17: H1-2025 comparative segment revenue; foots to 7,750.295</w:t>
            </w:r>
          </w:p>
        </w:tc>
        <w:tc>
          <w:tcPr>
            <w:tcW w:type="dxa" w:w="1080"/>
          </w:tcPr>
          <w:p>
            <w:pPr>
              <w:spacing w:after="20"/>
            </w:pPr>
            <w:r>
              <w:rPr>
                <w:color w:val="1C3A36"/>
                <w:sz w:val="14"/>
              </w:rPr>
              <w:t>2026-07-22</w:t>
            </w:r>
          </w:p>
        </w:tc>
      </w:tr>
      <w:tr>
        <w:tc>
          <w:tcPr>
            <w:tcW w:type="dxa" w:w="1512"/>
          </w:tcPr>
          <w:p>
            <w:pPr>
              <w:spacing w:after="20"/>
            </w:pPr>
            <w:r>
              <w:rPr>
                <w:color w:val="1C3A36"/>
                <w:sz w:val="14"/>
              </w:rPr>
              <w:t>subs_prepaid</w:t>
            </w:r>
          </w:p>
        </w:tc>
        <w:tc>
          <w:tcPr>
            <w:tcW w:type="dxa" w:w="1656"/>
          </w:tcPr>
          <w:p>
            <w:pPr>
              <w:spacing w:after="20"/>
            </w:pPr>
            <w:r>
              <w:rPr>
                <w:color w:val="1C3A36"/>
                <w:sz w:val="14"/>
              </w:rPr>
              <w:t>Q4_2024: 7,116; Q1_2025: 7,292; Q2_2025: 7,254; Q3_2025: 7,248; Q4_2025: 7,726; Q1_2026: 7,670; Q2_2026: 7,227</w:t>
            </w:r>
          </w:p>
        </w:tc>
        <w:tc>
          <w:tcPr>
            <w:tcW w:type="dxa" w:w="5904"/>
          </w:tcPr>
          <w:p>
            <w:pPr>
              <w:spacing w:after="20"/>
            </w:pPr>
            <w:r>
              <w:rPr>
                <w:color w:val="1C3A36"/>
                <w:sz w:val="14"/>
              </w:rPr>
              <w:t>Company Q2-2026 earnings release + analyst presentation, investors.du.ae (COMPANY_IR) + prior quarterly decks: prepaid mobile customers ('000). REGISTERED 17-Aug-2026 — du discloses the mobile base SPLIT by prepaid and postpaid every quarter, and the prior edition modelled only the total</w:t>
            </w:r>
          </w:p>
        </w:tc>
        <w:tc>
          <w:tcPr>
            <w:tcW w:type="dxa" w:w="1080"/>
          </w:tcPr>
          <w:p>
            <w:pPr>
              <w:spacing w:after="20"/>
            </w:pPr>
            <w:r>
              <w:rPr>
                <w:color w:val="1C3A36"/>
                <w:sz w:val="14"/>
              </w:rPr>
              <w:t>2026-07-23</w:t>
            </w:r>
          </w:p>
        </w:tc>
      </w:tr>
      <w:tr>
        <w:tc>
          <w:tcPr>
            <w:tcW w:type="dxa" w:w="1512"/>
          </w:tcPr>
          <w:p>
            <w:pPr>
              <w:spacing w:after="20"/>
            </w:pPr>
            <w:r>
              <w:rPr>
                <w:color w:val="1C3A36"/>
                <w:sz w:val="14"/>
              </w:rPr>
              <w:t>subs_postpaid</w:t>
            </w:r>
          </w:p>
        </w:tc>
        <w:tc>
          <w:tcPr>
            <w:tcW w:type="dxa" w:w="1656"/>
          </w:tcPr>
          <w:p>
            <w:pPr>
              <w:spacing w:after="20"/>
            </w:pPr>
            <w:r>
              <w:rPr>
                <w:color w:val="1C3A36"/>
                <w:sz w:val="14"/>
              </w:rPr>
              <w:t>Q4_2024: 1,800; Q1_2025: 1,845; Q2_2025: 1,884; Q3_2025: 1,922; Q4_2025: 1,979; Q1_2026: 2,023; Q2_2026: 2,053</w:t>
            </w:r>
          </w:p>
        </w:tc>
        <w:tc>
          <w:tcPr>
            <w:tcW w:type="dxa" w:w="5904"/>
          </w:tcPr>
          <w:p>
            <w:pPr>
              <w:spacing w:after="20"/>
            </w:pPr>
            <w:r>
              <w:rPr>
                <w:color w:val="1C3A36"/>
                <w:sz w:val="14"/>
              </w:rPr>
              <w:t>Company Q2-2026 earnings release + analyst presentation, investors.du.ae (COMPANY_IR) + prior quarterly decks: postpaid mobile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arpu_leg_disclosed</w:t>
            </w:r>
          </w:p>
        </w:tc>
        <w:tc>
          <w:tcPr>
            <w:tcW w:type="dxa" w:w="1656"/>
          </w:tcPr>
          <w:p>
            <w:pPr>
              <w:spacing w:after="20"/>
            </w:pPr>
            <w:r>
              <w:rPr>
                <w:color w:val="1C3A36"/>
                <w:sz w:val="14"/>
              </w:rPr>
              <w:t>0</w:t>
            </w:r>
          </w:p>
        </w:tc>
        <w:tc>
          <w:tcPr>
            <w:tcW w:type="dxa" w:w="5904"/>
          </w:tcPr>
          <w:p>
            <w:pPr>
              <w:spacing w:after="20"/>
            </w:pPr>
            <w:r>
              <w:rPr>
                <w:color w:val="1C3A36"/>
                <w:sz w:val="14"/>
              </w:rPr>
              <w:t>NEGATIVE RESULT, dated 17-Aug-2026: du discloses a SINGLE BLENDED mobile ARPU line in its quarterly KPI table and nowhere publishes prepaid or postpaid ARPU separately — checked across the Q2-2026, Q1-2026 and Q4-2025 earnings releases and analyst presentations and the FY2025 annual report, and confirmed against the audited segment note (Note 38, interim Note 17), which splits Mobile/Fixed and never prepaid/postpaid. The value 0.0 records the count of separately disclosed leg ARPUs. CORRECTED 17-Aug-2026: an earlier draft of this note called the omission a du-specific choice against a sector norm. It is the REGIONAL norm — e&amp; (du's own duopoly counterparty), stc and Mobily all publish the subscriber split with a single blended ARPU, exactly as du does; Ooredoo is the sole Gulf exception. ACCESS CAVEAT, logged not papered over: investors.du.ae is intermittent from this environment (HTTP 200 on a direct request during this session, HTTP 503 on every attempt in a parallel verification pass), so the deck-level negative rests on the documents captured in this study's own first-hand extract of the Q2-2026 presentation rather than on a fresh re-read. Consequence: the mobile price driver is built on the blended figure and the two-leg split is shown to be UNIDENTIFIED rather than estimated (see the identification test in the derivation log)</w:t>
            </w:r>
          </w:p>
        </w:tc>
        <w:tc>
          <w:tcPr>
            <w:tcW w:type="dxa" w:w="1080"/>
          </w:tcPr>
          <w:p>
            <w:pPr>
              <w:spacing w:after="20"/>
            </w:pPr>
            <w:r>
              <w:rPr>
                <w:color w:val="1C3A36"/>
                <w:sz w:val="14"/>
              </w:rPr>
              <w:t>2026-08-17</w:t>
            </w:r>
          </w:p>
        </w:tc>
      </w:tr>
      <w:tr>
        <w:tc>
          <w:tcPr>
            <w:tcW w:type="dxa" w:w="1512"/>
          </w:tcPr>
          <w:p>
            <w:pPr>
              <w:spacing w:after="20"/>
            </w:pPr>
            <w:r>
              <w:rPr>
                <w:color w:val="1C3A36"/>
                <w:sz w:val="14"/>
              </w:rPr>
              <w:t>arpu_mobile_q</w:t>
            </w:r>
          </w:p>
        </w:tc>
        <w:tc>
          <w:tcPr>
            <w:tcW w:type="dxa" w:w="1656"/>
          </w:tcPr>
          <w:p>
            <w:pPr>
              <w:spacing w:after="20"/>
            </w:pPr>
            <w:r>
              <w:rPr>
                <w:color w:val="1C3A36"/>
                <w:sz w:val="14"/>
              </w:rPr>
              <w:t>Q4_2024: 65.8; Q1_2025: 63.5; Q2_2025: 63.3; Q3_2025: 64.5; Q4_2025: 65.3; Q1_2026: 63.4; Q2_2026: 63.4; FY_2024: 62.5; FY_2025: 63.3</w:t>
            </w:r>
          </w:p>
        </w:tc>
        <w:tc>
          <w:tcPr>
            <w:tcW w:type="dxa" w:w="5904"/>
          </w:tcPr>
          <w:p>
            <w:pPr>
              <w:spacing w:after="20"/>
            </w:pPr>
            <w:r>
              <w:rPr>
                <w:color w:val="1C3A36"/>
                <w:sz w:val="14"/>
              </w:rPr>
              <w:t>du quarterly analyst presentation, mobile segment KPI slide (Q2-2026 deck slide 12) — the full blended-ARPU series, AED/month. REGISTERED 17-Aug-2026: the prior edition carried only three points and its driver note described the company as printing '63.3-63.4', which understates the real dispersion — the quarterly series ranges 63.3 to 65.8 and fell from 65.3 (Q4-2025) to 63.4 (Q2-2026). FY2025 63.3 is corroborated independently by the Q4-FY2025 earnings release, and the subscribers x ARPU build reproduces audited mobile segment revenue to within 0.05%, so the level is not in doubt</w:t>
            </w:r>
          </w:p>
        </w:tc>
        <w:tc>
          <w:tcPr>
            <w:tcW w:type="dxa" w:w="1080"/>
          </w:tcPr>
          <w:p>
            <w:pPr>
              <w:spacing w:after="20"/>
            </w:pPr>
            <w:r>
              <w:rPr>
                <w:color w:val="1C3A36"/>
                <w:sz w:val="14"/>
              </w:rPr>
              <w:t>2026-07-23</w:t>
            </w:r>
          </w:p>
        </w:tc>
      </w:tr>
      <w:tr>
        <w:tc>
          <w:tcPr>
            <w:tcW w:type="dxa" w:w="1512"/>
          </w:tcPr>
          <w:p>
            <w:pPr>
              <w:spacing w:after="20"/>
            </w:pPr>
            <w:r>
              <w:rPr>
                <w:color w:val="1C3A36"/>
                <w:sz w:val="14"/>
              </w:rPr>
              <w:t>subs_mobile_h1_25</w:t>
            </w:r>
          </w:p>
        </w:tc>
        <w:tc>
          <w:tcPr>
            <w:tcW w:type="dxa" w:w="1656"/>
          </w:tcPr>
          <w:p>
            <w:pPr>
              <w:spacing w:after="20"/>
            </w:pPr>
            <w:r>
              <w:rPr>
                <w:color w:val="1C3A36"/>
                <w:sz w:val="14"/>
              </w:rPr>
              <w:t>9,138.0</w:t>
            </w:r>
          </w:p>
        </w:tc>
        <w:tc>
          <w:tcPr>
            <w:tcW w:type="dxa" w:w="5904"/>
          </w:tcPr>
          <w:p>
            <w:pPr>
              <w:spacing w:after="20"/>
            </w:pPr>
            <w:r>
              <w:rPr>
                <w:color w:val="1C3A36"/>
                <w:sz w:val="14"/>
              </w:rPr>
              <w:t>Mobile customers at 30-Jun-2025 ('000), du Q2-2025 quarterly disclosure — needed to put the H1-2025 comparative cost on the same average-base denominator as H1-2026</w:t>
            </w:r>
          </w:p>
        </w:tc>
        <w:tc>
          <w:tcPr>
            <w:tcW w:type="dxa" w:w="1080"/>
          </w:tcPr>
          <w:p>
            <w:pPr>
              <w:spacing w:after="20"/>
            </w:pPr>
            <w:r>
              <w:rPr>
                <w:color w:val="1C3A36"/>
                <w:sz w:val="14"/>
              </w:rPr>
              <w:t>2025-07-23</w:t>
            </w:r>
          </w:p>
        </w:tc>
      </w:tr>
      <w:tr>
        <w:tc>
          <w:tcPr>
            <w:tcW w:type="dxa" w:w="1512"/>
          </w:tcPr>
          <w:p>
            <w:pPr>
              <w:spacing w:after="20"/>
            </w:pPr>
            <w:r>
              <w:rPr>
                <w:color w:val="1C3A36"/>
                <w:sz w:val="14"/>
              </w:rPr>
              <w:t>subs_fixed_h1_25</w:t>
            </w:r>
          </w:p>
        </w:tc>
        <w:tc>
          <w:tcPr>
            <w:tcW w:type="dxa" w:w="1656"/>
          </w:tcPr>
          <w:p>
            <w:pPr>
              <w:spacing w:after="20"/>
            </w:pPr>
            <w:r>
              <w:rPr>
                <w:color w:val="1C3A36"/>
                <w:sz w:val="14"/>
              </w:rPr>
              <w:t>706.0</w:t>
            </w:r>
          </w:p>
        </w:tc>
        <w:tc>
          <w:tcPr>
            <w:tcW w:type="dxa" w:w="5904"/>
          </w:tcPr>
          <w:p>
            <w:pPr>
              <w:spacing w:after="20"/>
            </w:pPr>
            <w:r>
              <w:rPr>
                <w:color w:val="1C3A36"/>
                <w:sz w:val="14"/>
              </w:rPr>
              <w:t>Fixed customers at 30-Jun-2025 ('000), same source</w:t>
            </w:r>
          </w:p>
        </w:tc>
        <w:tc>
          <w:tcPr>
            <w:tcW w:type="dxa" w:w="1080"/>
          </w:tcPr>
          <w:p>
            <w:pPr>
              <w:spacing w:after="20"/>
            </w:pPr>
            <w:r>
              <w:rPr>
                <w:color w:val="1C3A36"/>
                <w:sz w:val="14"/>
              </w:rPr>
              <w:t>2025-07-23</w:t>
            </w:r>
          </w:p>
        </w:tc>
      </w:tr>
      <w:tr>
        <w:tc>
          <w:tcPr>
            <w:tcW w:type="dxa" w:w="1512"/>
          </w:tcPr>
          <w:p>
            <w:pPr>
              <w:spacing w:after="20"/>
            </w:pPr>
            <w:r>
              <w:rPr>
                <w:color w:val="1C3A36"/>
                <w:sz w:val="14"/>
              </w:rPr>
              <w:t>opex_before_dna_hist</w:t>
            </w:r>
          </w:p>
        </w:tc>
        <w:tc>
          <w:tcPr>
            <w:tcW w:type="dxa" w:w="1656"/>
          </w:tcPr>
          <w:p>
            <w:pPr>
              <w:spacing w:after="20"/>
            </w:pPr>
            <w:r>
              <w:rPr>
                <w:color w:val="1C3A36"/>
                <w:sz w:val="14"/>
              </w:rPr>
              <w:t>FY24: -3,347.6; FY25: -3,307.6</w:t>
            </w:r>
          </w:p>
        </w:tc>
        <w:tc>
          <w:tcPr>
            <w:tcW w:type="dxa" w:w="5904"/>
          </w:tcPr>
          <w:p>
            <w:pPr>
              <w:spacing w:after="20"/>
            </w:pPr>
            <w:r>
              <w:rPr>
                <w:color w:val="1C3A36"/>
                <w:sz w:val="14"/>
              </w:rPr>
              <w:t>Audited consolidated FS, Integrated Annual Report 2025, investors.du.ae (KPMG Lower Gulf, unmodified opinion 09-Feb-2026), total net operating expenses before depreciation and amortization</w:t>
            </w:r>
          </w:p>
        </w:tc>
        <w:tc>
          <w:tcPr>
            <w:tcW w:type="dxa" w:w="1080"/>
          </w:tcPr>
          <w:p>
            <w:pPr>
              <w:spacing w:after="20"/>
            </w:pPr>
            <w:r>
              <w:rPr>
                <w:color w:val="1C3A36"/>
                <w:sz w:val="14"/>
              </w:rPr>
              <w:t>2026-02-09</w:t>
            </w:r>
          </w:p>
        </w:tc>
      </w:tr>
      <w:tr>
        <w:tc>
          <w:tcPr>
            <w:tcW w:type="dxa" w:w="1512"/>
          </w:tcPr>
          <w:p>
            <w:pPr>
              <w:spacing w:after="20"/>
            </w:pPr>
            <w:r>
              <w:rPr>
                <w:color w:val="1C3A36"/>
                <w:sz w:val="14"/>
              </w:rPr>
              <w:t>int_inc_fy23</w:t>
            </w:r>
          </w:p>
        </w:tc>
        <w:tc>
          <w:tcPr>
            <w:tcW w:type="dxa" w:w="1656"/>
          </w:tcPr>
          <w:p>
            <w:pPr>
              <w:spacing w:after="20"/>
            </w:pPr>
            <w:r>
              <w:rPr>
                <w:color w:val="1C3A36"/>
                <w:sz w:val="14"/>
              </w:rPr>
              <w:t>61.327</w:t>
            </w:r>
          </w:p>
        </w:tc>
        <w:tc>
          <w:tcPr>
            <w:tcW w:type="dxa" w:w="5904"/>
          </w:tcPr>
          <w:p>
            <w:pPr>
              <w:spacing w:after="20"/>
            </w:pPr>
            <w:r>
              <w:rPr>
                <w:color w:val="1C3A36"/>
                <w:sz w:val="14"/>
              </w:rPr>
              <w:t>Audited consolidated FS, Annual Report 2023, investors.du.ae (PwC, unqualified opinion 13-Feb-2024), finance income</w:t>
            </w:r>
          </w:p>
        </w:tc>
        <w:tc>
          <w:tcPr>
            <w:tcW w:type="dxa" w:w="1080"/>
          </w:tcPr>
          <w:p>
            <w:pPr>
              <w:spacing w:after="20"/>
            </w:pPr>
            <w:r>
              <w:rPr>
                <w:color w:val="1C3A36"/>
                <w:sz w:val="14"/>
              </w:rPr>
              <w:t>2024-02-13</w:t>
            </w:r>
          </w:p>
        </w:tc>
      </w:tr>
      <w:tr>
        <w:tc>
          <w:tcPr>
            <w:tcW w:type="dxa" w:w="1512"/>
          </w:tcPr>
          <w:p>
            <w:pPr>
              <w:spacing w:after="20"/>
            </w:pPr>
            <w:r>
              <w:rPr>
                <w:color w:val="1C3A36"/>
                <w:sz w:val="14"/>
              </w:rPr>
              <w:t>int_exp_fy23</w:t>
            </w:r>
          </w:p>
        </w:tc>
        <w:tc>
          <w:tcPr>
            <w:tcW w:type="dxa" w:w="1656"/>
          </w:tcPr>
          <w:p>
            <w:pPr>
              <w:spacing w:after="20"/>
            </w:pPr>
            <w:r>
              <w:rPr>
                <w:color w:val="1C3A36"/>
                <w:sz w:val="14"/>
              </w:rPr>
              <w:t>101.4</w:t>
            </w:r>
          </w:p>
        </w:tc>
        <w:tc>
          <w:tcPr>
            <w:tcW w:type="dxa" w:w="5904"/>
          </w:tcPr>
          <w:p>
            <w:pPr>
              <w:spacing w:after="20"/>
            </w:pPr>
            <w:r>
              <w:rPr>
                <w:color w:val="1C3A36"/>
                <w:sz w:val="14"/>
              </w:rPr>
              <w:t>Audited consolidated FS, Annual Report 2023, investors.du.ae (PwC, unqualified opinion 13-Feb-2024), finance costs</w:t>
            </w:r>
          </w:p>
        </w:tc>
        <w:tc>
          <w:tcPr>
            <w:tcW w:type="dxa" w:w="1080"/>
          </w:tcPr>
          <w:p>
            <w:pPr>
              <w:spacing w:after="20"/>
            </w:pPr>
            <w:r>
              <w:rPr>
                <w:color w:val="1C3A36"/>
                <w:sz w:val="14"/>
              </w:rPr>
              <w:t>2024-02-13</w:t>
            </w:r>
          </w:p>
        </w:tc>
      </w:tr>
      <w:tr>
        <w:tc>
          <w:tcPr>
            <w:tcW w:type="dxa" w:w="1512"/>
          </w:tcPr>
          <w:p>
            <w:pPr>
              <w:spacing w:after="20"/>
            </w:pPr>
            <w:r>
              <w:rPr>
                <w:color w:val="1C3A36"/>
                <w:sz w:val="14"/>
              </w:rPr>
              <w:t>assoc_hist</w:t>
            </w:r>
          </w:p>
        </w:tc>
        <w:tc>
          <w:tcPr>
            <w:tcW w:type="dxa" w:w="1656"/>
          </w:tcPr>
          <w:p>
            <w:pPr>
              <w:spacing w:after="20"/>
            </w:pPr>
            <w:r>
              <w:rPr>
                <w:color w:val="1C3A36"/>
                <w:sz w:val="14"/>
              </w:rPr>
              <w:t>FY23: -2.72; FY24: -2.427; FY25: -0.894</w:t>
            </w:r>
          </w:p>
        </w:tc>
        <w:tc>
          <w:tcPr>
            <w:tcW w:type="dxa" w:w="5904"/>
          </w:tcPr>
          <w:p>
            <w:pPr>
              <w:spacing w:after="20"/>
            </w:pPr>
            <w:r>
              <w:rPr>
                <w:color w:val="1C3A36"/>
                <w:sz w:val="14"/>
              </w:rPr>
              <w:t>Share of loss of associate and joint venture: Audited consolidated FS, Annual Report 2023, investors.du.ae (PwC, unqualified opinion 13-Feb-2024) (FY2023); Audited consolidated FS, Integrated Annual Report 2025, investors.du.ae (KPMG Lower Gulf, unmodified opinion 09-Feb-2026)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dep_ppe_hist</w:t>
            </w:r>
          </w:p>
        </w:tc>
        <w:tc>
          <w:tcPr>
            <w:tcW w:type="dxa" w:w="1656"/>
          </w:tcPr>
          <w:p>
            <w:pPr>
              <w:spacing w:after="20"/>
            </w:pPr>
            <w:r>
              <w:rPr>
                <w:color w:val="1C3A36"/>
                <w:sz w:val="14"/>
              </w:rPr>
              <w:t>FY23: 1,544.2; FY24: 1,569.2; FY25: 1,558.0</w:t>
            </w:r>
          </w:p>
        </w:tc>
        <w:tc>
          <w:tcPr>
            <w:tcW w:type="dxa" w:w="5904"/>
          </w:tcPr>
          <w:p>
            <w:pPr>
              <w:spacing w:after="20"/>
            </w:pPr>
            <w:r>
              <w:rPr>
                <w:color w:val="1C3A36"/>
                <w:sz w:val="14"/>
              </w:rPr>
              <w:t>Depreciation and impairment of property, plant and equipment: Audited consolidated FS, Annual Report 2023, investors.du.ae (PwC, unqualified opinion 13-Feb-2024) Note 26 (FY2023); Audited consolidated FS, Integrated Annual Report 2025, investors.du.ae (KPMG Lower Gulf, unmodified opinion 09-Feb-2026) Note 31 (FY2024-25)</w:t>
            </w:r>
          </w:p>
        </w:tc>
        <w:tc>
          <w:tcPr>
            <w:tcW w:type="dxa" w:w="1080"/>
          </w:tcPr>
          <w:p>
            <w:pPr>
              <w:spacing w:after="20"/>
            </w:pPr>
            <w:r>
              <w:rPr>
                <w:color w:val="1C3A36"/>
                <w:sz w:val="14"/>
              </w:rPr>
              <w:t>2026-02-09</w:t>
            </w:r>
          </w:p>
        </w:tc>
      </w:tr>
      <w:tr>
        <w:tc>
          <w:tcPr>
            <w:tcW w:type="dxa" w:w="1512"/>
          </w:tcPr>
          <w:p>
            <w:pPr>
              <w:spacing w:after="20"/>
            </w:pPr>
            <w:r>
              <w:rPr>
                <w:color w:val="1C3A36"/>
                <w:sz w:val="14"/>
              </w:rPr>
              <w:t>amort_hist</w:t>
            </w:r>
          </w:p>
        </w:tc>
        <w:tc>
          <w:tcPr>
            <w:tcW w:type="dxa" w:w="1656"/>
          </w:tcPr>
          <w:p>
            <w:pPr>
              <w:spacing w:after="20"/>
            </w:pPr>
            <w:r>
              <w:rPr>
                <w:color w:val="1C3A36"/>
                <w:sz w:val="14"/>
              </w:rPr>
              <w:t>FY23: 209.1; FY24: 209.9; FY25: 245.9</w:t>
            </w:r>
          </w:p>
        </w:tc>
        <w:tc>
          <w:tcPr>
            <w:tcW w:type="dxa" w:w="5904"/>
          </w:tcPr>
          <w:p>
            <w:pPr>
              <w:spacing w:after="20"/>
            </w:pPr>
            <w:r>
              <w:rPr>
                <w:color w:val="1C3A36"/>
                <w:sz w:val="14"/>
              </w:rPr>
              <w:t>Amortisation and impairment of intangible assets, same notes as above</w:t>
            </w:r>
          </w:p>
        </w:tc>
        <w:tc>
          <w:tcPr>
            <w:tcW w:type="dxa" w:w="1080"/>
          </w:tcPr>
          <w:p>
            <w:pPr>
              <w:spacing w:after="20"/>
            </w:pPr>
            <w:r>
              <w:rPr>
                <w:color w:val="1C3A36"/>
                <w:sz w:val="14"/>
              </w:rPr>
              <w:t>2026-02-09</w:t>
            </w:r>
          </w:p>
        </w:tc>
      </w:tr>
      <w:tr>
        <w:tc>
          <w:tcPr>
            <w:tcW w:type="dxa" w:w="1512"/>
          </w:tcPr>
          <w:p>
            <w:pPr>
              <w:spacing w:after="20"/>
            </w:pPr>
            <w:r>
              <w:rPr>
                <w:color w:val="1C3A36"/>
                <w:sz w:val="14"/>
              </w:rPr>
              <w:t>capex_cash_hist</w:t>
            </w:r>
          </w:p>
        </w:tc>
        <w:tc>
          <w:tcPr>
            <w:tcW w:type="dxa" w:w="1656"/>
          </w:tcPr>
          <w:p>
            <w:pPr>
              <w:spacing w:after="20"/>
            </w:pPr>
            <w:r>
              <w:rPr>
                <w:color w:val="1C3A36"/>
                <w:sz w:val="14"/>
              </w:rPr>
              <w:t>FY23: 2,227.6; FY24: 1,920.5; FY25: 2,353.2</w:t>
            </w:r>
          </w:p>
        </w:tc>
        <w:tc>
          <w:tcPr>
            <w:tcW w:type="dxa" w:w="5904"/>
          </w:tcPr>
          <w:p>
            <w:pPr>
              <w:spacing w:after="20"/>
            </w:pPr>
            <w:r>
              <w:rPr>
                <w:color w:val="1C3A36"/>
                <w:sz w:val="14"/>
              </w:rPr>
              <w:t>Cash capital expenditure = purchase of PP&amp;E + purchase of intangible assets, audited consolidated statements of cash flows (AR2023 for FY2023; AR2025 for the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tax_paid_hist</w:t>
            </w:r>
          </w:p>
        </w:tc>
        <w:tc>
          <w:tcPr>
            <w:tcW w:type="dxa" w:w="1656"/>
          </w:tcPr>
          <w:p>
            <w:pPr>
              <w:spacing w:after="20"/>
            </w:pPr>
            <w:r>
              <w:rPr>
                <w:color w:val="1C3A36"/>
                <w:sz w:val="14"/>
              </w:rPr>
              <w:t>FY24: -1,928.9; FY25: -1,883.4</w:t>
            </w:r>
          </w:p>
        </w:tc>
        <w:tc>
          <w:tcPr>
            <w:tcW w:type="dxa" w:w="5904"/>
          </w:tcPr>
          <w:p>
            <w:pPr>
              <w:spacing w:after="20"/>
            </w:pPr>
            <w:r>
              <w:rPr>
                <w:color w:val="1C3A36"/>
                <w:sz w:val="14"/>
              </w:rPr>
              <w:t>Federal royalty paid + income tax paid, audited consolidated statements of cash flows (Audited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ocf_hist</w:t>
            </w:r>
          </w:p>
        </w:tc>
        <w:tc>
          <w:tcPr>
            <w:tcW w:type="dxa" w:w="1656"/>
          </w:tcPr>
          <w:p>
            <w:pPr>
              <w:spacing w:after="20"/>
            </w:pPr>
            <w:r>
              <w:rPr>
                <w:color w:val="1C3A36"/>
                <w:sz w:val="14"/>
              </w:rPr>
              <w:t>FY24: 4,636.5; FY25: 5,229.8</w:t>
            </w:r>
          </w:p>
        </w:tc>
        <w:tc>
          <w:tcPr>
            <w:tcW w:type="dxa" w:w="5904"/>
          </w:tcPr>
          <w:p>
            <w:pPr>
              <w:spacing w:after="20"/>
            </w:pPr>
            <w:r>
              <w:rPr>
                <w:color w:val="1C3A36"/>
                <w:sz w:val="14"/>
              </w:rPr>
              <w:t>Audited consolidated FS, Integrated Annual Report 2025, investors.du.ae (KPMG Lower Gulf, unmodified opinion 09-Feb-2026), net cash generated from operating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div_paid_hist</w:t>
            </w:r>
          </w:p>
        </w:tc>
        <w:tc>
          <w:tcPr>
            <w:tcW w:type="dxa" w:w="1656"/>
          </w:tcPr>
          <w:p>
            <w:pPr>
              <w:spacing w:after="20"/>
            </w:pPr>
            <w:r>
              <w:rPr>
                <w:color w:val="1C3A36"/>
                <w:sz w:val="14"/>
              </w:rPr>
              <w:t>FY24: -1,858.5; FY25: -2,629.1</w:t>
            </w:r>
          </w:p>
        </w:tc>
        <w:tc>
          <w:tcPr>
            <w:tcW w:type="dxa" w:w="5904"/>
          </w:tcPr>
          <w:p>
            <w:pPr>
              <w:spacing w:after="20"/>
            </w:pPr>
            <w:r>
              <w:rPr>
                <w:color w:val="1C3A36"/>
                <w:sz w:val="14"/>
              </w:rPr>
              <w:t>Audited consolidated FS, Integrated Annual Report 2025, investors.du.ae (KPMG Lower Gulf, unmodified opinion 09-Feb-2026), dividends paid (financing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subs_mobile_hist_display</w:t>
            </w:r>
          </w:p>
        </w:tc>
        <w:tc>
          <w:tcPr>
            <w:tcW w:type="dxa" w:w="1656"/>
          </w:tcPr>
          <w:p>
            <w:pPr>
              <w:spacing w:after="20"/>
            </w:pPr>
            <w:r>
              <w:rPr>
                <w:color w:val="1C3A36"/>
                <w:sz w:val="14"/>
              </w:rPr>
              <w:t>FY23: 8,554.0; FY24: 8,916.0; FY25: 9,704.0</w:t>
            </w:r>
          </w:p>
        </w:tc>
        <w:tc>
          <w:tcPr>
            <w:tcW w:type="dxa" w:w="5904"/>
          </w:tcPr>
          <w:p>
            <w:pPr>
              <w:spacing w:after="20"/>
            </w:pPr>
            <w:r>
              <w:rPr>
                <w:color w:val="1C3A36"/>
                <w:sz w:val="14"/>
              </w:rPr>
              <w:t>Company Q2-2026 earnings release + analyst presentation, investors.du.ae (COMPANY_IR) and the Q4/FY2025 deck: mobile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subs_fixed_hist_display</w:t>
            </w:r>
          </w:p>
        </w:tc>
        <w:tc>
          <w:tcPr>
            <w:tcW w:type="dxa" w:w="1656"/>
          </w:tcPr>
          <w:p>
            <w:pPr>
              <w:spacing w:after="20"/>
            </w:pPr>
            <w:r>
              <w:rPr>
                <w:color w:val="1C3A36"/>
                <w:sz w:val="14"/>
              </w:rPr>
              <w:t>FY23: 604.0; FY24: 682.0; FY25: 735.0</w:t>
            </w:r>
          </w:p>
        </w:tc>
        <w:tc>
          <w:tcPr>
            <w:tcW w:type="dxa" w:w="5904"/>
          </w:tcPr>
          <w:p>
            <w:pPr>
              <w:spacing w:after="20"/>
            </w:pPr>
            <w:r>
              <w:rPr>
                <w:color w:val="1C3A36"/>
                <w:sz w:val="14"/>
              </w:rPr>
              <w:t>Company Q2-2026 earnings release + analyst presentation, investors.du.ae (COMPANY_IR) and the Q4/FY2025 deck: fixed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arpu_hist_display</w:t>
            </w:r>
          </w:p>
        </w:tc>
        <w:tc>
          <w:tcPr>
            <w:tcW w:type="dxa" w:w="1656"/>
          </w:tcPr>
          <w:p>
            <w:pPr>
              <w:spacing w:after="20"/>
            </w:pPr>
            <w:r>
              <w:rPr>
                <w:color w:val="1C3A36"/>
                <w:sz w:val="14"/>
              </w:rPr>
              <w:t>FY24: 65.8; FY25: 63.3</w:t>
            </w:r>
          </w:p>
        </w:tc>
        <w:tc>
          <w:tcPr>
            <w:tcW w:type="dxa" w:w="5904"/>
          </w:tcPr>
          <w:p>
            <w:pPr>
              <w:spacing w:after="20"/>
            </w:pPr>
            <w:r>
              <w:rPr>
                <w:color w:val="1C3A36"/>
                <w:sz w:val="14"/>
              </w:rPr>
              <w:t>Blended mobile ARPU (AED/month): Q4-2024 print 65.8 and the FY2025 average 63.3, both from the company's quarterly analyst decks</w:t>
            </w:r>
          </w:p>
        </w:tc>
        <w:tc>
          <w:tcPr>
            <w:tcW w:type="dxa" w:w="1080"/>
          </w:tcPr>
          <w:p>
            <w:pPr>
              <w:spacing w:after="20"/>
            </w:pPr>
            <w:r>
              <w:rPr>
                <w:color w:val="1C3A36"/>
                <w:sz w:val="14"/>
              </w:rPr>
              <w:t>2026-02-10</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h1_26_seg</w:t>
            </w:r>
          </w:p>
        </w:tc>
        <w:tc>
          <w:tcPr>
            <w:tcW w:type="dxa" w:w="1656"/>
          </w:tcPr>
          <w:p>
            <w:pPr>
              <w:spacing w:after="20"/>
            </w:pPr>
            <w:r>
              <w:rPr>
                <w:color w:val="1C3A36"/>
                <w:sz w:val="14"/>
              </w:rPr>
              <w:t>mobile: 3,646.3; fixed: 2,382.6; wholesale: 1,257.6; ict: 911.1</w:t>
            </w:r>
          </w:p>
        </w:tc>
        <w:tc>
          <w:tcPr>
            <w:tcW w:type="dxa" w:w="5904"/>
          </w:tcPr>
          <w:p>
            <w:pPr>
              <w:spacing w:after="20"/>
            </w:pPr>
            <w:r>
              <w:rPr>
                <w:color w:val="1C3A36"/>
                <w:sz w:val="14"/>
              </w:rPr>
              <w:t>Reviewed condensed consolidated interim FS for the six months ended 30-Jun-2026, investors.du.ae (KPMG ISRE 2410 review, 22-Jul-2026), segment revenue for the six months ended 30-Jun-2026 (Note 17 segment analysis); ties exactly to reviewed total revenue 8,197.573. REGISTERED 17-Aug-2026 — previously a typed dict inside the build, so it was an input with no four-field record</w:t>
            </w:r>
          </w:p>
        </w:tc>
        <w:tc>
          <w:tcPr>
            <w:tcW w:type="dxa" w:w="1080"/>
          </w:tcPr>
          <w:p>
            <w:pPr>
              <w:spacing w:after="20"/>
            </w:pPr>
            <w:r>
              <w:rPr>
                <w:color w:val="1C3A36"/>
                <w:sz w:val="14"/>
              </w:rPr>
              <w:t>2026-07-22</w:t>
            </w:r>
          </w:p>
        </w:tc>
      </w:tr>
      <w:tr>
        <w:tc>
          <w:tcPr>
            <w:tcW w:type="dxa" w:w="1512"/>
          </w:tcPr>
          <w:p>
            <w:pPr>
              <w:spacing w:after="20"/>
            </w:pPr>
            <w:r>
              <w:rPr>
                <w:color w:val="1C3A36"/>
                <w:sz w:val="14"/>
              </w:rPr>
              <w:t>subs_mobile_fy23</w:t>
            </w:r>
          </w:p>
        </w:tc>
        <w:tc>
          <w:tcPr>
            <w:tcW w:type="dxa" w:w="1656"/>
          </w:tcPr>
          <w:p>
            <w:pPr>
              <w:spacing w:after="20"/>
            </w:pPr>
            <w:r>
              <w:rPr>
                <w:color w:val="1C3A36"/>
                <w:sz w:val="14"/>
              </w:rPr>
              <w:t>8,554.0</w:t>
            </w:r>
          </w:p>
        </w:tc>
        <w:tc>
          <w:tcPr>
            <w:tcW w:type="dxa" w:w="5904"/>
          </w:tcPr>
          <w:p>
            <w:pPr>
              <w:spacing w:after="20"/>
            </w:pPr>
            <w:r>
              <w:rPr>
                <w:color w:val="1C3A36"/>
                <w:sz w:val="14"/>
              </w:rPr>
              <w:t>Mobile customer base at 31-Dec-2023: 8,554 thousand, du Annual Report 2024 operational highlights (page 6), which prints the 2023 and 2024 bases side by side</w:t>
            </w:r>
          </w:p>
        </w:tc>
        <w:tc>
          <w:tcPr>
            <w:tcW w:type="dxa" w:w="1080"/>
          </w:tcPr>
          <w:p>
            <w:pPr>
              <w:spacing w:after="20"/>
            </w:pPr>
            <w:r>
              <w:rPr>
                <w:color w:val="1C3A36"/>
                <w:sz w:val="14"/>
              </w:rPr>
              <w:t>2025-02-10</w:t>
            </w:r>
          </w:p>
        </w:tc>
      </w:tr>
      <w:tr>
        <w:tc>
          <w:tcPr>
            <w:tcW w:type="dxa" w:w="1512"/>
          </w:tcPr>
          <w:p>
            <w:pPr>
              <w:spacing w:after="20"/>
            </w:pPr>
            <w:r>
              <w:rPr>
                <w:color w:val="1C3A36"/>
                <w:sz w:val="14"/>
              </w:rPr>
              <w:t>subs_fixed_fy23</w:t>
            </w:r>
          </w:p>
        </w:tc>
        <w:tc>
          <w:tcPr>
            <w:tcW w:type="dxa" w:w="1656"/>
          </w:tcPr>
          <w:p>
            <w:pPr>
              <w:spacing w:after="20"/>
            </w:pPr>
            <w:r>
              <w:rPr>
                <w:color w:val="1C3A36"/>
                <w:sz w:val="14"/>
              </w:rPr>
              <w:t>604.0</w:t>
            </w:r>
          </w:p>
        </w:tc>
        <w:tc>
          <w:tcPr>
            <w:tcW w:type="dxa" w:w="5904"/>
          </w:tcPr>
          <w:p>
            <w:pPr>
              <w:spacing w:after="20"/>
            </w:pPr>
            <w:r>
              <w:rPr>
                <w:color w:val="1C3A36"/>
                <w:sz w:val="14"/>
              </w:rPr>
              <w:t>Fixed customer base at 31-Dec-2023: 604 thousand, same source and page. This SETTLES an external challenge that the 682 thousand figure was FY2023: du's own report shows 604 (2023) and 682 (2024)</w:t>
            </w:r>
          </w:p>
        </w:tc>
        <w:tc>
          <w:tcPr>
            <w:tcW w:type="dxa" w:w="1080"/>
          </w:tcPr>
          <w:p>
            <w:pPr>
              <w:spacing w:after="20"/>
            </w:pPr>
            <w:r>
              <w:rPr>
                <w:color w:val="1C3A36"/>
                <w:sz w:val="14"/>
              </w:rPr>
              <w:t>2025-02-10</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staff_fy26</w:t>
            </w:r>
          </w:p>
        </w:tc>
        <w:tc>
          <w:tcPr>
            <w:tcW w:type="dxa" w:w="1656"/>
          </w:tcPr>
          <w:p>
            <w:pPr>
              <w:spacing w:after="20"/>
            </w:pPr>
            <w:r>
              <w:rPr>
                <w:color w:val="1C3A36"/>
                <w:sz w:val="14"/>
              </w:rPr>
              <w:t>1,035.2</w:t>
            </w:r>
          </w:p>
        </w:tc>
        <w:tc>
          <w:tcPr>
            <w:tcW w:type="dxa" w:w="5904"/>
          </w:tcPr>
          <w:p>
            <w:pPr>
              <w:spacing w:after="20"/>
            </w:pPr>
            <w:r>
              <w:rPr>
                <w:color w:val="1C3A36"/>
                <w:sz w:val="14"/>
              </w:rPr>
              <w:t>FY2026E staff cost: H1-2026 reviewed actual 471.360 grossed up by the company's OWN disclosed H2/H1 seasonality of 1.1961 (H2-2025 602.018 / H1-2025 503.310, from the audited FY2025 and reviewed H1-2025 statements) = 471.360 + 563.80 = 1,035.16 — which is −6.35% on the audited FY2025 1,105.328, exactly the −6.35% y/y the company printed at the half. CORRECTED 17-Aug-2026: the prior 985.0 applied a ratio of 1.09 while its own note described it as 'the H2-2025 seasonal ratio'; the true ratio is 1.1961, so staff cost was understated by AED 50.2mn and total FY2026E operating expenses fell BELOW the audited FY2025 actual even as revenue rose 4.3% — impossible in a stack where every class escalates, and correctly identified by external audit as falsifying the margin-as-an-output claim</w:t>
            </w:r>
          </w:p>
        </w:tc>
        <w:tc>
          <w:tcPr>
            <w:tcW w:type="dxa" w:w="1080"/>
          </w:tcPr>
          <w:p>
            <w:pPr>
              <w:spacing w:after="20"/>
            </w:pPr>
            <w:r>
              <w:rPr>
                <w:color w:val="1C3A36"/>
                <w:sz w:val="14"/>
              </w:rPr>
              <w:t>2026-08-17</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guidance_mid</w:t>
            </w:r>
          </w:p>
        </w:tc>
        <w:tc>
          <w:tcPr>
            <w:tcW w:type="dxa" w:w="1656"/>
          </w:tcPr>
          <w:p>
            <w:pPr>
              <w:spacing w:after="20"/>
            </w:pPr>
            <w:r>
              <w:rPr>
                <w:color w:val="1C3A36"/>
                <w:sz w:val="14"/>
              </w:rPr>
              <w:t>0.05</w:t>
            </w:r>
          </w:p>
        </w:tc>
        <w:tc>
          <w:tcPr>
            <w:tcW w:type="dxa" w:w="5904"/>
          </w:tcPr>
          <w:p>
            <w:pPr>
              <w:spacing w:after="20"/>
            </w:pPr>
            <w:r>
              <w:rPr>
                <w:color w:val="1C3A36"/>
                <w:sz w:val="14"/>
              </w:rPr>
              <w:t>Midpoint of du's own FY2026 revenue-growth guidance of 4%-6%, revised and confirmed in the Q2-2026 analyst presentation (slide 16, 'Guidance confirmed for EBITDA margin and slightly adjusted for revenue growth'). Used only to PRICE a critique finding, never as a build driver — reverse-engineering a forecast to a guidance number is the opposite of a ground-up build</w:t>
            </w:r>
          </w:p>
        </w:tc>
        <w:tc>
          <w:tcPr>
            <w:tcW w:type="dxa" w:w="1080"/>
          </w:tcPr>
          <w:p>
            <w:pPr>
              <w:spacing w:after="20"/>
            </w:pPr>
            <w:r>
              <w:rPr>
                <w:color w:val="1C3A36"/>
                <w:sz w:val="14"/>
              </w:rPr>
              <w:t>2026-07-23</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arpu_ratio_norm</w:t>
            </w:r>
          </w:p>
        </w:tc>
        <w:tc>
          <w:tcPr>
            <w:tcW w:type="dxa" w:w="1656"/>
          </w:tcPr>
          <w:p>
            <w:pPr>
              <w:spacing w:after="20"/>
            </w:pPr>
            <w:r>
              <w:rPr>
                <w:color w:val="1C3A36"/>
                <w:sz w:val="14"/>
              </w:rPr>
              <w:t>3</w:t>
            </w:r>
          </w:p>
        </w:tc>
        <w:tc>
          <w:tcPr>
            <w:tcW w:type="dxa" w:w="5904"/>
          </w:tcPr>
          <w:p>
            <w:pPr>
              <w:spacing w:after="20"/>
            </w:pPr>
            <w:r>
              <w:rPr>
                <w:color w:val="1C3A36"/>
                <w:sz w:val="14"/>
              </w:rPr>
              <w:t>Central postpaid/prepaid ARPU ratio used ONLY for the mix decomposition — never to build revenue. Set at the low end of the peer band above, which makes the decomposition's implied per-leg erosion the SMALLEST of the defensible range: a higher ratio implies a larger mix tailwind and therefore worse underlying erosion, so 3.0x is the conservative choice for the risk being flagged</w:t>
            </w:r>
          </w:p>
        </w:tc>
        <w:tc>
          <w:tcPr>
            <w:tcW w:type="dxa" w:w="1080"/>
          </w:tcPr>
          <w:p>
            <w:pPr>
              <w:spacing w:after="20"/>
            </w:pPr>
            <w:r>
              <w:rPr>
                <w:color w:val="1C3A36"/>
                <w:sz w:val="14"/>
              </w:rPr>
              <w:t>2026-08-17</w:t>
            </w:r>
          </w:p>
        </w:tc>
      </w:tr>
      <w:tr>
        <w:tc>
          <w:tcPr>
            <w:tcW w:type="dxa" w:w="1512"/>
          </w:tcPr>
          <w:p>
            <w:pPr>
              <w:spacing w:after="20"/>
            </w:pPr>
            <w:r>
              <w:rPr>
                <w:color w:val="1C3A36"/>
                <w:sz w:val="14"/>
              </w:rPr>
              <w:t>arpu_drift</w:t>
            </w:r>
          </w:p>
        </w:tc>
        <w:tc>
          <w:tcPr>
            <w:tcW w:type="dxa" w:w="1656"/>
          </w:tcPr>
          <w:p>
            <w:pPr>
              <w:spacing w:after="20"/>
            </w:pPr>
            <w:r>
              <w:rPr>
                <w:color w:val="1C3A36"/>
                <w:sz w:val="14"/>
              </w:rPr>
              <w:t>0</w:t>
            </w:r>
          </w:p>
        </w:tc>
        <w:tc>
          <w:tcPr>
            <w:tcW w:type="dxa" w:w="5904"/>
          </w:tcPr>
          <w:p>
            <w:pPr>
              <w:spacing w:after="20"/>
            </w:pPr>
            <w:r>
              <w:rPr>
                <w:color w:val="1C3A36"/>
                <w:sz w:val="14"/>
              </w:rPr>
              <w:t>Annual compounding shift applied to the registered blended mobile ARPU path, zero in the base case. Exists so the mix-exhaustion risk identified by the decomposition below can be PRICED rather than described</w:t>
            </w:r>
          </w:p>
        </w:tc>
        <w:tc>
          <w:tcPr>
            <w:tcW w:type="dxa" w:w="1080"/>
          </w:tcPr>
          <w:p>
            <w:pPr>
              <w:spacing w:after="20"/>
            </w:pPr>
            <w:r>
              <w:rPr>
                <w:color w:val="1C3A36"/>
                <w:sz w:val="14"/>
              </w:rPr>
              <w:t>2026-08-17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CORRECTED 17-Aug-2026: the prior note said the company 'printed 63.3-63.4', which flattered the stability of the series — the disclosed quarterly range is 63.3 to 65.8, and the last three prints run 65.3 (Q4-2025) -&gt; 63.4 (Q1-2026) -&gt; 63.4 (Q2-2026), i.e. DOWN 2.9% from the recent peak. Holding the path flat is therefore an assumption that the recent decline stops, and the mix decomposition shows why it is fragile; the downside is priced as the mix-exhaustion scenario</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esc_dc_inter</w:t>
            </w:r>
          </w:p>
        </w:tc>
        <w:tc>
          <w:tcPr>
            <w:tcW w:type="dxa" w:w="1656"/>
          </w:tcPr>
          <w:p>
            <w:pPr>
              <w:spacing w:after="20"/>
            </w:pPr>
            <w:r>
              <w:rPr>
                <w:color w:val="1C3A36"/>
                <w:sz w:val="14"/>
              </w:rPr>
              <w:t>-0.015</w:t>
            </w:r>
          </w:p>
        </w:tc>
        <w:tc>
          <w:tcPr>
            <w:tcW w:type="dxa" w:w="5904"/>
          </w:tcPr>
          <w:p>
            <w:pPr>
              <w:spacing w:after="20"/>
            </w:pPr>
            <w:r>
              <w:rPr>
                <w:color w:val="1C3A36"/>
                <w:sz w:val="14"/>
              </w:rPr>
              <w:t>Mobile interconnect cost per subscriber per month, -1.5%/yr. MEASURED: 17.54 (H1-2025) -&gt; 16.81 (H1-2026), -4.2% like-for-like. MECHANISM: regulated mobile-termination rates ratchet down and terminated voice/SMS keeps migrating to OTT, so the per-subscriber off-net bill falls even as the base grows. The forecast takes barely a third of the observed decline, on the view that it decays as the OTT substitution matures</w:t>
            </w:r>
          </w:p>
        </w:tc>
        <w:tc>
          <w:tcPr>
            <w:tcW w:type="dxa" w:w="1080"/>
          </w:tcPr>
          <w:p>
            <w:pPr>
              <w:spacing w:after="20"/>
            </w:pPr>
            <w:r>
              <w:rPr>
                <w:color w:val="1C3A36"/>
                <w:sz w:val="14"/>
              </w:rPr>
              <w:t>2026-08-17</w:t>
            </w:r>
          </w:p>
        </w:tc>
      </w:tr>
      <w:tr>
        <w:tc>
          <w:tcPr>
            <w:tcW w:type="dxa" w:w="1512"/>
          </w:tcPr>
          <w:p>
            <w:pPr>
              <w:spacing w:after="20"/>
            </w:pPr>
            <w:r>
              <w:rPr>
                <w:color w:val="1C3A36"/>
                <w:sz w:val="14"/>
              </w:rPr>
              <w:t>esc_dc_comm</w:t>
            </w:r>
          </w:p>
        </w:tc>
        <w:tc>
          <w:tcPr>
            <w:tcW w:type="dxa" w:w="1656"/>
          </w:tcPr>
          <w:p>
            <w:pPr>
              <w:spacing w:after="20"/>
            </w:pPr>
            <w:r>
              <w:rPr>
                <w:color w:val="1C3A36"/>
                <w:sz w:val="14"/>
              </w:rPr>
              <w:t>0.03</w:t>
            </w:r>
          </w:p>
        </w:tc>
        <w:tc>
          <w:tcPr>
            <w:tcW w:type="dxa" w:w="5904"/>
          </w:tcPr>
          <w:p>
            <w:pPr>
              <w:spacing w:after="20"/>
            </w:pPr>
            <w:r>
              <w:rPr>
                <w:color w:val="1C3A36"/>
                <w:sz w:val="14"/>
              </w:rPr>
              <w:t>Mobile commission cost per subscriber per month, +3.0%/yr. MEASURED: 6.12 (H1-2025) -&gt; 6.31 (H1-2026), +3.1% like-for-like, and 5.69 -&gt; 6.14 across FY2024-25. MECHANISM: dealer and retail acquisition/retention commission per subscriber, rising with competitive intensity in a two-player market. The observed rate is carried forward unchanged</w:t>
            </w:r>
          </w:p>
        </w:tc>
        <w:tc>
          <w:tcPr>
            <w:tcW w:type="dxa" w:w="1080"/>
          </w:tcPr>
          <w:p>
            <w:pPr>
              <w:spacing w:after="20"/>
            </w:pPr>
            <w:r>
              <w:rPr>
                <w:color w:val="1C3A36"/>
                <w:sz w:val="14"/>
              </w:rPr>
              <w:t>2026-08-17</w:t>
            </w:r>
          </w:p>
        </w:tc>
      </w:tr>
      <w:tr>
        <w:tc>
          <w:tcPr>
            <w:tcW w:type="dxa" w:w="1512"/>
          </w:tcPr>
          <w:p>
            <w:pPr>
              <w:spacing w:after="20"/>
            </w:pPr>
            <w:r>
              <w:rPr>
                <w:color w:val="1C3A36"/>
                <w:sz w:val="14"/>
              </w:rPr>
              <w:t>esc_dc_dev</w:t>
            </w:r>
          </w:p>
        </w:tc>
        <w:tc>
          <w:tcPr>
            <w:tcW w:type="dxa" w:w="1656"/>
          </w:tcPr>
          <w:p>
            <w:pPr>
              <w:spacing w:after="20"/>
            </w:pPr>
            <w:r>
              <w:rPr>
                <w:color w:val="1C3A36"/>
                <w:sz w:val="14"/>
              </w:rPr>
              <w:t>0</w:t>
            </w:r>
          </w:p>
        </w:tc>
        <w:tc>
          <w:tcPr>
            <w:tcW w:type="dxa" w:w="5904"/>
          </w:tcPr>
          <w:p>
            <w:pPr>
              <w:spacing w:after="20"/>
            </w:pPr>
            <w:r>
              <w:rPr>
                <w:color w:val="1C3A36"/>
                <w:sz w:val="14"/>
              </w:rPr>
              <w:t>Mobile devices and direct-services cost per subscriber per month, held FLAT. MEASURED but NOT extrapolated: 1.40 (H1-2025) -&gt; 0.96 (H1-2026), with 0.52 in FY2024 and 1.26 in FY2025. This is the handset/direct-services residual after ICT takes the bulk of the disclosed devices line — small (under AED 1.5/sub/month) and visibly lumpy, so no trend is read into it</w:t>
            </w:r>
          </w:p>
        </w:tc>
        <w:tc>
          <w:tcPr>
            <w:tcW w:type="dxa" w:w="1080"/>
          </w:tcPr>
          <w:p>
            <w:pPr>
              <w:spacing w:after="20"/>
            </w:pPr>
            <w:r>
              <w:rPr>
                <w:color w:val="1C3A36"/>
                <w:sz w:val="14"/>
              </w:rPr>
              <w:t>2026-08-17</w:t>
            </w:r>
          </w:p>
        </w:tc>
      </w:tr>
      <w:tr>
        <w:tc>
          <w:tcPr>
            <w:tcW w:type="dxa" w:w="1512"/>
          </w:tcPr>
          <w:p>
            <w:pPr>
              <w:spacing w:after="20"/>
            </w:pPr>
            <w:r>
              <w:rPr>
                <w:color w:val="1C3A36"/>
                <w:sz w:val="14"/>
              </w:rPr>
              <w:t>esc_dc_fixed</w:t>
            </w:r>
          </w:p>
        </w:tc>
        <w:tc>
          <w:tcPr>
            <w:tcW w:type="dxa" w:w="1656"/>
          </w:tcPr>
          <w:p>
            <w:pPr>
              <w:spacing w:after="20"/>
            </w:pPr>
            <w:r>
              <w:rPr>
                <w:color w:val="1C3A36"/>
                <w:sz w:val="14"/>
              </w:rPr>
              <w:t>0</w:t>
            </w:r>
          </w:p>
        </w:tc>
        <w:tc>
          <w:tcPr>
            <w:tcW w:type="dxa" w:w="5904"/>
          </w:tcPr>
          <w:p>
            <w:pPr>
              <w:spacing w:after="20"/>
            </w:pPr>
            <w:r>
              <w:rPr>
                <w:color w:val="1C3A36"/>
                <w:sz w:val="14"/>
              </w:rPr>
              <w:t>Fixed capacity and direct cost per subscriber per month, held FLAT at the H1-2026 reviewed rate. MEASURED but NOT extrapolated: 79.71 (FY2024) -&gt; 73.14 (FY2025) -&gt; 68.35 (H1-2026), a -9.2% like-for-like half-year fall. The mechanism (fibre/FWA scale plus enterprise mix) is real but decays at an unmeasurable rate, so the observed improvement is stopped dead rather than projected. Because revenue per subscriber escalates 1.5%/yr against a flat cost, the fixed margin still widens as an OUTPUT</w:t>
            </w:r>
          </w:p>
        </w:tc>
        <w:tc>
          <w:tcPr>
            <w:tcW w:type="dxa" w:w="1080"/>
          </w:tcPr>
          <w:p>
            <w:pPr>
              <w:spacing w:after="20"/>
            </w:pPr>
            <w:r>
              <w:rPr>
                <w:color w:val="1C3A36"/>
                <w:sz w:val="14"/>
              </w:rPr>
              <w:t>2026-08-17</w:t>
            </w:r>
          </w:p>
        </w:tc>
      </w:tr>
      <w:tr>
        <w:tc>
          <w:tcPr>
            <w:tcW w:type="dxa" w:w="1512"/>
          </w:tcPr>
          <w:p>
            <w:pPr>
              <w:spacing w:after="20"/>
            </w:pPr>
            <w:r>
              <w:rPr>
                <w:color w:val="1C3A36"/>
                <w:sz w:val="14"/>
              </w:rPr>
              <w:t>dc_rate_wholesale</w:t>
            </w:r>
          </w:p>
        </w:tc>
        <w:tc>
          <w:tcPr>
            <w:tcW w:type="dxa" w:w="1656"/>
          </w:tcPr>
          <w:p>
            <w:pPr>
              <w:spacing w:after="20"/>
            </w:pPr>
            <w:r>
              <w:rPr>
                <w:color w:val="1C3A36"/>
                <w:sz w:val="14"/>
              </w:rPr>
              <w:t>0.1558</w:t>
            </w:r>
          </w:p>
        </w:tc>
        <w:tc>
          <w:tcPr>
            <w:tcW w:type="dxa" w:w="5904"/>
          </w:tcPr>
          <w:p>
            <w:pPr>
              <w:spacing w:after="20"/>
            </w:pPr>
            <w:r>
              <w:rPr>
                <w:color w:val="1C3A36"/>
                <w:sz w:val="14"/>
              </w:rPr>
              <w:t>Wholesale direct cost as a share of wholesale revenue, held FLAT at the H1-2026 reviewed rate. The series worsens at every observation — 11.97% (FY2024), 13.58% (FY2025), 13.94% (H1-2025), 15.58% (H1-2026) — which du's own Q2 commentary attributes to the conflict-hit roaming and transit mix. The forecast takes NO credit for the recovery that commentary implies, and equally does not project further deterioration</w:t>
            </w:r>
          </w:p>
        </w:tc>
        <w:tc>
          <w:tcPr>
            <w:tcW w:type="dxa" w:w="1080"/>
          </w:tcPr>
          <w:p>
            <w:pPr>
              <w:spacing w:after="20"/>
            </w:pPr>
            <w:r>
              <w:rPr>
                <w:color w:val="1C3A36"/>
                <w:sz w:val="14"/>
              </w:rPr>
              <w:t>2026-08-17</w:t>
            </w:r>
          </w:p>
        </w:tc>
      </w:tr>
      <w:tr>
        <w:tc>
          <w:tcPr>
            <w:tcW w:type="dxa" w:w="1512"/>
          </w:tcPr>
          <w:p>
            <w:pPr>
              <w:spacing w:after="20"/>
            </w:pPr>
            <w:r>
              <w:rPr>
                <w:color w:val="1C3A36"/>
                <w:sz w:val="14"/>
              </w:rPr>
              <w:t>dc_rate_ict</w:t>
            </w:r>
          </w:p>
        </w:tc>
        <w:tc>
          <w:tcPr>
            <w:tcW w:type="dxa" w:w="1656"/>
          </w:tcPr>
          <w:p>
            <w:pPr>
              <w:spacing w:after="20"/>
            </w:pPr>
            <w:r>
              <w:rPr>
                <w:color w:val="1C3A36"/>
                <w:sz w:val="14"/>
              </w:rPr>
              <w:t>0.7848</w:t>
            </w:r>
          </w:p>
        </w:tc>
        <w:tc>
          <w:tcPr>
            <w:tcW w:type="dxa" w:w="5904"/>
          </w:tcPr>
          <w:p>
            <w:pPr>
              <w:spacing w:after="20"/>
            </w:pPr>
            <w:r>
              <w:rPr>
                <w:color w:val="1C3A36"/>
                <w:sz w:val="14"/>
              </w:rPr>
              <w:t>ICT and associated-services direct cost as a share of ICT revenue, held FLAT at the H1-2026 reviewed rate. The history does not support a trend in either direction: 79.25% (FY2024) worsened to 80.61% (FY2025) then improved to 78.48% (H1-2026). The prior edition projected a 2.1pp margin improvement on a data-centre-scale story; that story is not measurable in the disclosed series, so it has been removed and the rate held flat</w:t>
            </w:r>
          </w:p>
        </w:tc>
        <w:tc>
          <w:tcPr>
            <w:tcW w:type="dxa" w:w="1080"/>
          </w:tcPr>
          <w:p>
            <w:pPr>
              <w:spacing w:after="20"/>
            </w:pPr>
            <w:r>
              <w:rPr>
                <w:color w:val="1C3A36"/>
                <w:sz w:val="14"/>
              </w:rPr>
              <w:t>2026-08-17</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e1_horizon_years</w:t>
            </w:r>
          </w:p>
        </w:tc>
        <w:tc>
          <w:tcPr>
            <w:tcW w:type="dxa" w:w="1656"/>
          </w:tcPr>
          <w:p>
            <w:pPr>
              <w:spacing w:after="20"/>
            </w:pPr>
            <w:r>
              <w:rPr>
                <w:color w:val="1C3A36"/>
                <w:sz w:val="14"/>
              </w:rPr>
              <w:t>2.4027</w:t>
            </w:r>
          </w:p>
        </w:tc>
        <w:tc>
          <w:tcPr>
            <w:tcW w:type="dxa" w:w="5904"/>
          </w:tcPr>
          <w:p>
            <w:pPr>
              <w:spacing w:after="20"/>
            </w:pPr>
            <w:r>
              <w:rPr>
                <w:color w:val="1C3A36"/>
                <w:sz w:val="14"/>
              </w:rPr>
              <w:t>Years from the 07-Aug-2026 anchor to 31-Dec-2028, the date Expert 1's FY2028 earnings multiple values: 877 calendar days / 365. REGISTERED 17-Aug-2026 after an external critique showed the lens was discounting over a NET 1.40 years, a full year short of anchor consistency</w:t>
            </w:r>
          </w:p>
        </w:tc>
        <w:tc>
          <w:tcPr>
            <w:tcW w:type="dxa" w:w="1080"/>
          </w:tcPr>
          <w:p>
            <w:pPr>
              <w:spacing w:after="20"/>
            </w:pPr>
            <w:r>
              <w:rPr>
                <w:color w:val="1C3A36"/>
                <w:sz w:val="14"/>
              </w:rPr>
              <w:t>2026-08-17</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House synthesis weights, operating-company pattern (SWDY reference study)</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Industry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arpu_ratio_peers</w:t>
            </w:r>
          </w:p>
        </w:tc>
        <w:tc>
          <w:tcPr>
            <w:tcW w:type="dxa" w:w="1656"/>
          </w:tcPr>
          <w:p>
            <w:pPr>
              <w:spacing w:after="20"/>
            </w:pPr>
            <w:r>
              <w:rPr>
                <w:color w:val="1C3A36"/>
                <w:sz w:val="14"/>
              </w:rPr>
              <w:t>ooredoo_qatar: 7.22; ooredoo_kuwait: 4.67; ooredoo_oman: 2.92</w:t>
            </w:r>
          </w:p>
        </w:tc>
        <w:tc>
          <w:tcPr>
            <w:tcW w:type="dxa" w:w="5904"/>
          </w:tcPr>
          <w:p>
            <w:pPr>
              <w:spacing w:after="20"/>
            </w:pPr>
            <w:r>
              <w:rPr>
                <w:color w:val="1C3A36"/>
                <w:sz w:val="14"/>
              </w:rPr>
              <w:t>Postpaid/prepaid ARPU ratios at the ONLY Gulf operator that discloses both legs, from Ooredoo's own Q2-2026 disclosure (QAR: Qatar 239.8/33.2, Kuwait 161.5/34.6, Oman 67.2/23.0). Used ONLY to bound the identification test and the mix decomposition — never to build revenue. The 2.9x-7.2x spread across three markets of a SINGLE operator is itself evidence that an imported ratio cannot pin down du's split</w:t>
            </w:r>
          </w:p>
        </w:tc>
        <w:tc>
          <w:tcPr>
            <w:tcW w:type="dxa" w:w="1080"/>
          </w:tcPr>
          <w:p>
            <w:pPr>
              <w:spacing w:after="20"/>
            </w:pPr>
            <w:r>
              <w:rPr>
                <w:color w:val="1C3A36"/>
                <w:sz w:val="14"/>
              </w:rPr>
              <w:t>2026-08-17</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12.9</w:t>
            </w:r>
          </w:p>
        </w:tc>
        <w:tc>
          <w:tcPr>
            <w:tcW w:type="dxa" w:w="5904"/>
          </w:tcPr>
          <w:p>
            <w:pPr>
              <w:spacing w:after="20"/>
            </w:pPr>
            <w:r>
              <w:rPr>
                <w:color w:val="1C3A36"/>
                <w:sz w:val="14"/>
              </w:rPr>
              <w:t>Justified P/E 12.9x, RE-DERIVED FROM ISSUER FILINGS at the 06-Aug-2026 anchor after an external audit showed the prior 15.5x did not exist on any earnings base at that date. Mobily (Etihad Etisalat, Tadawul 7020) - the closest structural analogue, a #2 operator in a GCC duopoly-like market: TTM EPS SAR 4.76 (FY2025 4.51 + H1-2026 2.32 - H1-2025 2.07, each from Mobily's own Saudi Exchange issuer announcements) on a 06-Aug-2026 close of SAR 61.30 = 12.88x; the market-cap route (SAR 47,048mn / TTM net income SAR 3,650mn) independently ties at 12.89x. e&amp; is the only other peer whose multiple derives end-to-end from issuer filings: 15.7x (TTM EPS AED 1.33 reported-attributable, close AED 20.98). NO PEER MEDIAN IS CLAIMED - only two of six peers survive as clean observations, so a median is not supportable: Zain's provider returned a corrupt 11365x and was refused, Omantel's provider P/E and yield are mutually contradictory, and Omantel holds ~21.9% of Zain so they are not independent. (For the record the 5-name median also lands on 12.89x, which is coincidence, not corroboration.) SUPERSEDES 15.5x, which was a January-2026 aggregator read on FY2024 earnings mis-dated as an August-2026 read</w:t>
            </w:r>
          </w:p>
        </w:tc>
        <w:tc>
          <w:tcPr>
            <w:tcW w:type="dxa" w:w="1080"/>
          </w:tcPr>
          <w:p>
            <w:pPr>
              <w:spacing w:after="20"/>
            </w:pPr>
            <w:r>
              <w:rPr>
                <w:color w:val="1C3A36"/>
                <w:sz w:val="14"/>
              </w:rPr>
              <w:t>2026-08-06</w:t>
            </w:r>
          </w:p>
        </w:tc>
      </w:tr>
      <w:tr>
        <w:tc>
          <w:tcPr>
            <w:tcW w:type="dxa" w:w="1512"/>
          </w:tcPr>
          <w:p>
            <w:pPr>
              <w:spacing w:after="20"/>
            </w:pPr>
            <w:r>
              <w:rPr>
                <w:color w:val="1C3A36"/>
                <w:sz w:val="14"/>
              </w:rPr>
              <w:t>div_yield_peer</w:t>
            </w:r>
          </w:p>
        </w:tc>
        <w:tc>
          <w:tcPr>
            <w:tcW w:type="dxa" w:w="1656"/>
          </w:tcPr>
          <w:p>
            <w:pPr>
              <w:spacing w:after="20"/>
            </w:pPr>
            <w:r>
              <w:rPr>
                <w:color w:val="1C3A36"/>
                <w:sz w:val="14"/>
              </w:rPr>
              <w:t>0.0489</w:t>
            </w:r>
          </w:p>
        </w:tc>
        <w:tc>
          <w:tcPr>
            <w:tcW w:type="dxa" w:w="5904"/>
          </w:tcPr>
          <w:p>
            <w:pPr>
              <w:spacing w:after="20"/>
            </w:pPr>
            <w:r>
              <w:rPr>
                <w:color w:val="1C3A36"/>
                <w:sz w:val="14"/>
              </w:rPr>
              <w:t>Peer dividend-yield anchor 4.89% = Mobily's trailing yield at the 06-Aug-2026 close, derived from its own declared distributions - the same name and the same date as the justified P/E, so the two market anchors are consistent. SUPERSEDES 5.2% (stc, aggregator). The published Mobily yield of 2.9% in the prior edition matched neither the issuer data (4.89%) nor this study's own sweep record (3.7%) - a typed numeral that escaped the register, now corrected. Sourceable bracket at the anchor: e&amp; 4.50%, stc 5.07%, Ooredoo 5.70%, Omantel ~6.7% (aggregator, internally inconsistent)</w:t>
            </w:r>
          </w:p>
        </w:tc>
        <w:tc>
          <w:tcPr>
            <w:tcW w:type="dxa" w:w="1080"/>
          </w:tcPr>
          <w:p>
            <w:pPr>
              <w:spacing w:after="20"/>
            </w:pPr>
            <w:r>
              <w:rPr>
                <w:color w:val="1C3A36"/>
                <w:sz w:val="14"/>
              </w:rPr>
              <w:t>2026-08-06</w:t>
            </w:r>
          </w:p>
        </w:tc>
      </w:tr>
    </w:tbl>
    <w:p>
      <w:pPr>
        <w:spacing w:after="40"/>
      </w:pPr>
    </w:p>
    <w:p>
      <w:pPr>
        <w:spacing w:after="60" w:before="160"/>
      </w:pPr>
      <w:r>
        <w:rPr>
          <w:b/>
          <w:i w:val="0"/>
          <w:color w:val="1C3A36"/>
          <w:sz w:val="22"/>
        </w:rPr>
        <w:t>Country layer — 12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Treasury BOND, January-2031 tranche, auction yield 4.48%, MoF/WAM results release of 30-Jul-2026, priced at a 4bp spread over the comparable US Treasury. THE SPREAD IS NOT QUOTED VERBATIM (corrected 17-Aug-2026): the MoF sentence is malformed in the original release ('a spread of 24 and 4 to basis points respectively', covering the Oct-2027 and Jan-2031 tranches together), so the 4bp is read from that sentence rather than lifted as a clean quotation, and the prior edition was wrong to present it as one. This is the longest LIQUID recent AED government primary print. There is NO liquid 10-year AED point: the only AED federal tranche maturing beyond January 2031 is the February-2033 Islamic Treasury SUKUK (see rf_alt_long) - a sukuk, NOT a conventional T-Bond, which the prior edition mislabelled.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2026-07-30</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sov_spread_rating</w:t>
            </w:r>
          </w:p>
        </w:tc>
        <w:tc>
          <w:tcPr>
            <w:tcW w:type="dxa" w:w="1656"/>
          </w:tcPr>
          <w:p>
            <w:pPr>
              <w:spacing w:after="20"/>
            </w:pPr>
            <w:r>
              <w:rPr>
                <w:color w:val="1C3A36"/>
                <w:sz w:val="14"/>
              </w:rPr>
              <w:t>0.0004</w:t>
            </w:r>
          </w:p>
        </w:tc>
        <w:tc>
          <w:tcPr>
            <w:tcW w:type="dxa" w:w="5904"/>
          </w:tcPr>
          <w:p>
            <w:pPr>
              <w:spacing w:after="20"/>
            </w:pPr>
            <w:r>
              <w:rPr>
                <w:color w:val="1C3A36"/>
                <w:sz w:val="14"/>
              </w:rPr>
              <w:t>PRIMARY BASIS (changed 17-Aug-2026): UAE sovereign default spread 4bp, MARKET-OBSERVED on the very instrument this model uses as its risk-free rate. The UAE MoF/WAM auction release records the January-2031 AED T-Bond pricing at 4.48% at a 4bp spread above the comparable US Treasury (read from the release, not quoted verbatim - the sentence is malformed in the original). The prior edition netted Damodaran's RATING-based 42bp instead, which drove rf* to 4.06% - roughly 26bp BELOW the matched-tenor US Treasury. A synthetic default-free dirham rate cannot sit below the default-free dollar rate under a hard peg, and that no-arbitrage test is now asserted in code. The rating basis (42bp with the 4.87% ERP, Ke 6.44%) is retained and published as the alternative construction per the both-bases rule; it is NOT averaged in. Note a floor applied to the rating basis was considered and REJECTED as incoherent: it would net a market spread while adding back a rating-based country premium, the exact same-basis violation the method exists to prevent</w:t>
            </w:r>
          </w:p>
        </w:tc>
        <w:tc>
          <w:tcPr>
            <w:tcW w:type="dxa" w:w="1080"/>
          </w:tcPr>
          <w:p>
            <w:pPr>
              <w:spacing w:after="20"/>
            </w:pPr>
            <w:r>
              <w:rPr>
                <w:color w:val="1C3A36"/>
                <w:sz w:val="14"/>
              </w:rPr>
              <w:t>2026-07-30</w:t>
            </w:r>
          </w:p>
        </w:tc>
      </w:tr>
      <w:tr>
        <w:tc>
          <w:tcPr>
            <w:tcW w:type="dxa" w:w="1512"/>
          </w:tcPr>
          <w:p>
            <w:pPr>
              <w:spacing w:after="20"/>
            </w:pPr>
            <w:r>
              <w:rPr>
                <w:color w:val="1C3A36"/>
                <w:sz w:val="14"/>
              </w:rPr>
              <w:t>erp_rating</w:t>
            </w:r>
          </w:p>
        </w:tc>
        <w:tc>
          <w:tcPr>
            <w:tcW w:type="dxa" w:w="1656"/>
          </w:tcPr>
          <w:p>
            <w:pPr>
              <w:spacing w:after="20"/>
            </w:pPr>
            <w:r>
              <w:rPr>
                <w:color w:val="1C3A36"/>
                <w:sz w:val="14"/>
              </w:rPr>
              <w:t>0.0429</w:t>
            </w:r>
          </w:p>
        </w:tc>
        <w:tc>
          <w:tcPr>
            <w:tcW w:type="dxa" w:w="5904"/>
          </w:tcPr>
          <w:p>
            <w:pPr>
              <w:spacing w:after="20"/>
            </w:pPr>
            <w:r>
              <w:rPr>
                <w:color w:val="1C3A36"/>
                <w:sz w:val="14"/>
              </w:rPr>
              <w:t>PRIMARY BASIS (changed 17-Aug-2026): UAE total equity risk premium 4.29% on the MARKET-spread basis = Damodaran's 4.23% mature-market base (Jan-2026) + a country risk premium of 6bp, scaled off the 4bp market default spread using Damodaran's own CRP/spread multiple (0.64/0.42 = 1.524). Paired with the 4bp netting above so the same basis is stripped as is added back. ALTERNATIVE PUBLISHED: the rating basis, 4.87% = 4.23% + 0.64% CRP (Aa2), paired with the 42bp netting -&gt; Ke 6.44%. A third variant using the live implied US premium (4.28% + 0.06% = 4.34%) is disclosed for completeness. All three sit within 10bp of one another on Ke, which is what the same-basis rule is for</w:t>
            </w:r>
          </w:p>
        </w:tc>
        <w:tc>
          <w:tcPr>
            <w:tcW w:type="dxa" w:w="1080"/>
          </w:tcPr>
          <w:p>
            <w:pPr>
              <w:spacing w:after="20"/>
            </w:pPr>
            <w:r>
              <w:rPr>
                <w:color w:val="1C3A36"/>
                <w:sz w:val="14"/>
              </w:rPr>
              <w:t>2026-08-01</w:t>
            </w:r>
          </w:p>
        </w:tc>
      </w:tr>
      <w:tr>
        <w:tc>
          <w:tcPr>
            <w:tcW w:type="dxa" w:w="1512"/>
          </w:tcPr>
          <w:p>
            <w:pPr>
              <w:spacing w:after="20"/>
            </w:pPr>
            <w:r>
              <w:rPr>
                <w:color w:val="1C3A36"/>
                <w:sz w:val="14"/>
              </w:rPr>
              <w:t>sov_spread_mkt</w:t>
            </w:r>
          </w:p>
        </w:tc>
        <w:tc>
          <w:tcPr>
            <w:tcW w:type="dxa" w:w="1656"/>
          </w:tcPr>
          <w:p>
            <w:pPr>
              <w:spacing w:after="20"/>
            </w:pPr>
            <w:r>
              <w:rPr>
                <w:color w:val="1C3A36"/>
                <w:sz w:val="14"/>
              </w:rPr>
              <w:t>0.0042</w:t>
            </w:r>
          </w:p>
        </w:tc>
        <w:tc>
          <w:tcPr>
            <w:tcW w:type="dxa" w:w="5904"/>
          </w:tcPr>
          <w:p>
            <w:pPr>
              <w:spacing w:after="20"/>
            </w:pPr>
            <w:r>
              <w:rPr>
                <w:color w:val="1C3A36"/>
                <w:sz w:val="14"/>
              </w:rPr>
              <w:t>The RATING-basis default spread, now carried as the ALTERNATIVE construction (it was primary before 17-Aug-2026): Damodaran ctryprem (05-Jan-2026), UAE row, Moody's Aa2, rating-based adjusted default spread 0.42%, paired with the 4.87% rating ERP</w:t>
            </w:r>
          </w:p>
        </w:tc>
        <w:tc>
          <w:tcPr>
            <w:tcW w:type="dxa" w:w="1080"/>
          </w:tcPr>
          <w:p>
            <w:pPr>
              <w:spacing w:after="20"/>
            </w:pPr>
            <w:r>
              <w:rPr>
                <w:color w:val="1C3A36"/>
                <w:sz w:val="14"/>
              </w:rPr>
              <w:t>2026-01-05</w:t>
            </w:r>
          </w:p>
        </w:tc>
      </w:tr>
      <w:tr>
        <w:tc>
          <w:tcPr>
            <w:tcW w:type="dxa" w:w="1512"/>
          </w:tcPr>
          <w:p>
            <w:pPr>
              <w:spacing w:after="20"/>
            </w:pPr>
            <w:r>
              <w:rPr>
                <w:color w:val="1C3A36"/>
                <w:sz w:val="14"/>
              </w:rPr>
              <w:t>erp_mkt</w:t>
            </w:r>
          </w:p>
        </w:tc>
        <w:tc>
          <w:tcPr>
            <w:tcW w:type="dxa" w:w="1656"/>
          </w:tcPr>
          <w:p>
            <w:pPr>
              <w:spacing w:after="20"/>
            </w:pPr>
            <w:r>
              <w:rPr>
                <w:color w:val="1C3A36"/>
                <w:sz w:val="14"/>
              </w:rPr>
              <w:t>0.0487</w:t>
            </w:r>
          </w:p>
        </w:tc>
        <w:tc>
          <w:tcPr>
            <w:tcW w:type="dxa" w:w="5904"/>
          </w:tcPr>
          <w:p>
            <w:pPr>
              <w:spacing w:after="20"/>
            </w:pPr>
            <w:r>
              <w:rPr>
                <w:color w:val="1C3A36"/>
                <w:sz w:val="14"/>
              </w:rPr>
              <w:t>The RATING-basis total ERP, now the ALTERNATIVE: 4.87% = 4.23% mature + 0.64% CRP (Aa2), Damodaran 05-Jan-2026. Same-basis pair with the 0.42% rating spread</w:t>
            </w:r>
          </w:p>
        </w:tc>
        <w:tc>
          <w:tcPr>
            <w:tcW w:type="dxa" w:w="1080"/>
          </w:tcPr>
          <w:p>
            <w:pPr>
              <w:spacing w:after="20"/>
            </w:pPr>
            <w:r>
              <w:rPr>
                <w:color w:val="1C3A36"/>
                <w:sz w:val="14"/>
              </w:rPr>
              <w:t>2026-01-05</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0.0429</w:t>
            </w:r>
          </w:p>
        </w:tc>
        <w:tc>
          <w:tcPr>
            <w:tcW w:type="dxa" w:w="5904"/>
          </w:tcPr>
          <w:p>
            <w:pPr>
              <w:spacing w:after="20"/>
            </w:pPr>
            <w:r>
              <w:rPr>
                <w:color w:val="1C3A36"/>
                <w:sz w:val="14"/>
              </w:rPr>
              <w:t>Terminal ERP held at the primary market-basis UAE ERP 4.29% (no structural convergence assumed for an Aa2 sovereign already priced at 4bp over US Treasuries)</w:t>
            </w:r>
          </w:p>
        </w:tc>
        <w:tc>
          <w:tcPr>
            <w:tcW w:type="dxa" w:w="1080"/>
          </w:tcPr>
          <w:p>
            <w:pPr>
              <w:spacing w:after="20"/>
            </w:pPr>
            <w:r>
              <w:rPr>
                <w:color w:val="1C3A36"/>
                <w:sz w:val="14"/>
              </w:rPr>
              <w:t>2026-08-01</w:t>
            </w:r>
          </w:p>
        </w:tc>
      </w:tr>
      <w:tr>
        <w:tc>
          <w:tcPr>
            <w:tcW w:type="dxa" w:w="1512"/>
          </w:tcPr>
          <w:p>
            <w:pPr>
              <w:spacing w:after="20"/>
            </w:pPr>
            <w:r>
              <w:rPr>
                <w:color w:val="1C3A36"/>
                <w:sz w:val="14"/>
              </w:rPr>
              <w:t>ust_matched</w:t>
            </w:r>
          </w:p>
        </w:tc>
        <w:tc>
          <w:tcPr>
            <w:tcW w:type="dxa" w:w="1656"/>
          </w:tcPr>
          <w:p>
            <w:pPr>
              <w:spacing w:after="20"/>
            </w:pPr>
            <w:r>
              <w:rPr>
                <w:color w:val="1C3A36"/>
                <w:sz w:val="14"/>
              </w:rPr>
              <w:t>0.0432</w:t>
            </w:r>
          </w:p>
        </w:tc>
        <w:tc>
          <w:tcPr>
            <w:tcW w:type="dxa" w:w="5904"/>
          </w:tcPr>
          <w:p>
            <w:pPr>
              <w:spacing w:after="20"/>
            </w:pPr>
            <w:r>
              <w:rPr>
                <w:color w:val="1C3A36"/>
                <w:sz w:val="14"/>
              </w:rPr>
              <w:t>Matched-tenor US Treasury yield ~4.32% at the anchor (3y 4.25% / 5y 4.35% on 07-Aug-2026, treasury.gov, interpolated to the Jan-2031 tranche's ~4.4-year point). Used ONLY as the no-arbitrage floor test on rf*: under a hard peg a default-free AED rate may not sit below the default-free USD rate at matched tenor. Never used as the risk-free rate itself - the protocol requires the local government bond even for a pegged currency</w:t>
            </w:r>
          </w:p>
        </w:tc>
        <w:tc>
          <w:tcPr>
            <w:tcW w:type="dxa" w:w="1080"/>
          </w:tcPr>
          <w:p>
            <w:pPr>
              <w:spacing w:after="20"/>
            </w:pPr>
            <w:r>
              <w:rPr>
                <w:color w:val="1C3A36"/>
                <w:sz w:val="14"/>
              </w:rPr>
              <w:t>2026-08-07</w:t>
            </w:r>
          </w:p>
        </w:tc>
      </w:tr>
      <w:tr>
        <w:tc>
          <w:tcPr>
            <w:tcW w:type="dxa" w:w="1512"/>
          </w:tcPr>
          <w:p>
            <w:pPr>
              <w:spacing w:after="20"/>
            </w:pPr>
            <w:r>
              <w:rPr>
                <w:color w:val="1C3A36"/>
                <w:sz w:val="14"/>
              </w:rPr>
              <w:t>rf_alt_long</w:t>
            </w:r>
          </w:p>
        </w:tc>
        <w:tc>
          <w:tcPr>
            <w:tcW w:type="dxa" w:w="1656"/>
          </w:tcPr>
          <w:p>
            <w:pPr>
              <w:spacing w:after="20"/>
            </w:pPr>
            <w:r>
              <w:rPr>
                <w:color w:val="1C3A36"/>
                <w:sz w:val="14"/>
              </w:rPr>
              <w:t>0.0413</w:t>
            </w:r>
          </w:p>
        </w:tc>
        <w:tc>
          <w:tcPr>
            <w:tcW w:type="dxa" w:w="5904"/>
          </w:tcPr>
          <w:p>
            <w:pPr>
              <w:spacing w:after="20"/>
            </w:pPr>
            <w:r>
              <w:rPr>
                <w:color w:val="1C3A36"/>
                <w:sz w:val="14"/>
              </w:rPr>
              <w:t>LONGEST-TENOR AED federal alternative, PRICED not averaged: the February-2033 Islamic Treasury Sukuk (7-year), SECOND TAP, yield 4.13% at a 10bp spread over comparable US Treasuries, MoF release 23-Apr-2026. BOTH PRINTS OF THIS INSTRUMENT ARE NOW RECORDED (added 17-Aug-2026) because an external critique cited the other one: the DEBUT issuance was AED 550mn at 3.779%, MoF release 22-Feb-2026, described as priced below par to comparable US Treasuries and as the longest tenor issued under the programme to date. The critique argued the risk-free rate should therefore be 3.779%. It should not: that print is the debut, and the issuer's own re-offer of the SAME instrument two months later cleared 35bp higher, while the Jan-2031 T-Bond rose from 3.90% (31-Jan-2026) through 3.85% (14-Mar) and 4.30% (23-May) to 4.48% (30-Jul). Using a 5.5-month-stale debut print as the current risk-free rate would import a rate environment that no longer existed at the anchor. The honest longest-tenor alternative to 4.48% is therefore 4.13% (-35bp), not 3.779% (-70bp), and it is priced in section 1.8</w:t>
            </w:r>
          </w:p>
        </w:tc>
        <w:tc>
          <w:tcPr>
            <w:tcW w:type="dxa" w:w="1080"/>
          </w:tcPr>
          <w:p>
            <w:pPr>
              <w:spacing w:after="20"/>
            </w:pPr>
            <w:r>
              <w:rPr>
                <w:color w:val="1C3A36"/>
                <w:sz w:val="14"/>
              </w:rPr>
              <w:t>2026-04-23</w:t>
            </w:r>
          </w:p>
        </w:tc>
      </w:tr>
      <w:tr>
        <w:tc>
          <w:tcPr>
            <w:tcW w:type="dxa" w:w="1512"/>
          </w:tcPr>
          <w:p>
            <w:pPr>
              <w:spacing w:after="20"/>
            </w:pPr>
            <w:r>
              <w:rPr>
                <w:color w:val="1C3A36"/>
                <w:sz w:val="14"/>
              </w:rPr>
              <w:t>rf_sukuk_debut</w:t>
            </w:r>
          </w:p>
        </w:tc>
        <w:tc>
          <w:tcPr>
            <w:tcW w:type="dxa" w:w="1656"/>
          </w:tcPr>
          <w:p>
            <w:pPr>
              <w:spacing w:after="20"/>
            </w:pPr>
            <w:r>
              <w:rPr>
                <w:color w:val="1C3A36"/>
                <w:sz w:val="14"/>
              </w:rPr>
              <w:t>0.0378</w:t>
            </w:r>
          </w:p>
        </w:tc>
        <w:tc>
          <w:tcPr>
            <w:tcW w:type="dxa" w:w="5904"/>
          </w:tcPr>
          <w:p>
            <w:pPr>
              <w:spacing w:after="20"/>
            </w:pPr>
            <w:r>
              <w:rPr>
                <w:color w:val="1C3A36"/>
                <w:sz w:val="14"/>
              </w:rPr>
              <w:t>The February-2033 AED Islamic Treasury Sukuk DEBUT print: AED 550mn at 3.779%, MoF release 22-Feb-2026, described as priced below par to comparable US Treasuries and as the longest tenor issued under the programme to date. REGISTERED 17-Aug-2026 solely so that an external critique advocating this figure as the risk-free rate could be PRICED on the real chain before being judged. It is not used in any published valuation: the same instrument's second tap cleared 4.13% two months later (see rf_alt_long)</w:t>
            </w:r>
          </w:p>
        </w:tc>
        <w:tc>
          <w:tcPr>
            <w:tcW w:type="dxa" w:w="1080"/>
          </w:tcPr>
          <w:p>
            <w:pPr>
              <w:spacing w:after="20"/>
            </w:pPr>
            <w:r>
              <w:rPr>
                <w:color w:val="1C3A36"/>
                <w:sz w:val="14"/>
              </w:rPr>
              <w:t>2026-02-22</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CENTRAL JUDGEMENT — what required return the business deserves. Framing 1 uses du's own measured beta; Framing 2 declines the terminal re-rating that implies and holds du's current trailing EV/EBITDA in perpetuity</w:t>
            </w:r>
          </w:p>
        </w:tc>
        <w:tc>
          <w:tcPr>
            <w:tcW w:type="dxa" w:w="3744"/>
          </w:tcPr>
          <w:p>
            <w:pPr>
              <w:spacing w:after="20"/>
            </w:pPr>
            <w:r>
              <w:rPr>
                <w:color w:val="1C3A36"/>
                <w:sz w:val="15"/>
              </w:rPr>
              <w:t>the beta is du's own 5-year weekly regression, gate-passed; the market multiple is du's own audited figures at the anchor</w:t>
            </w:r>
          </w:p>
        </w:tc>
        <w:tc>
          <w:tcPr>
            <w:tcW w:type="dxa" w:w="3744"/>
          </w:tcPr>
          <w:p>
            <w:pPr>
              <w:spacing w:after="20"/>
            </w:pPr>
            <w:r>
              <w:rPr>
                <w:color w:val="1C3A36"/>
                <w:sz w:val="15"/>
              </w:rPr>
              <w:t>Both are published side by side and never averaged. Either is overturned by the other being right: a sustained re-rating toward the implied exit multiple, or a beta that behaves like the sector's ~0.80 rather than the measured figure</w:t>
            </w:r>
          </w:p>
        </w:tc>
      </w:tr>
      <w:tr>
        <w:tc>
          <w:tcPr>
            <w:tcW w:type="dxa" w:w="2664"/>
          </w:tcPr>
          <w:p>
            <w:pPr>
              <w:spacing w:after="20"/>
            </w:pPr>
            <w:r>
              <w:rPr>
                <w:color w:val="1C3A36"/>
                <w:sz w:val="15"/>
              </w:rPr>
              <w:t>The 2027-2029 fiscal regime is settled at the current take (base case rests on disclosed fact)</w:t>
            </w:r>
          </w:p>
        </w:tc>
        <w:tc>
          <w:tcPr>
            <w:tcW w:type="dxa" w:w="3744"/>
          </w:tcPr>
          <w:p>
            <w:pPr>
              <w:spacing w:after="20"/>
            </w:pPr>
            <w:r>
              <w:rPr>
                <w:color w:val="1C3A36"/>
                <w:sz w:val="15"/>
              </w:rPr>
              <w:t>du's own disclosure of 24-Jul-2026 extending the 38% royalty + 9% corporate tax and retaining the AED 1.8bn combined floor</w:t>
            </w:r>
          </w:p>
        </w:tc>
        <w:tc>
          <w:tcPr>
            <w:tcW w:type="dxa" w:w="3744"/>
          </w:tcPr>
          <w:p>
            <w:pPr>
              <w:spacing w:after="20"/>
            </w:pPr>
            <w:r>
              <w:rPr>
                <w:color w:val="1C3A36"/>
                <w:sz w:val="15"/>
              </w:rPr>
              <w:t>nothing — this is disclosed, not assumed. What IS assumed is the period after 2029, priced as a tail</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held roughly flat — the study's most fragile revenue judgement</w:t>
            </w:r>
          </w:p>
        </w:tc>
        <w:tc>
          <w:tcPr>
            <w:tcW w:type="dxa" w:w="3744"/>
          </w:tcPr>
          <w:p>
            <w:pPr>
              <w:spacing w:after="20"/>
            </w:pPr>
            <w:r>
              <w:rPr>
                <w:color w:val="1C3A36"/>
                <w:sz w:val="15"/>
              </w:rPr>
              <w:t>the last three prints are 65.3 / 63.4 / 63.4, and the mix decomposition shows the flat headline is two offsetting forces: a postpaid mix shift worth about +2.6% against per-leg erosion of about -2.4%. Holding flat assumes both continue</w:t>
            </w:r>
          </w:p>
        </w:tc>
        <w:tc>
          <w:tcPr>
            <w:tcW w:type="dxa" w:w="3744"/>
          </w:tcPr>
          <w:p>
            <w:pPr>
              <w:spacing w:after="20"/>
            </w:pPr>
            <w:r>
              <w:rPr>
                <w:color w:val="1C3A36"/>
                <w:sz w:val="15"/>
              </w:rPr>
              <w:t>a quarter in which the postpaid mix share FALLS back toward 20% while blended ARPU follows it down — the mix-exhaustion case, priced in the sensitivity table</w:t>
            </w:r>
          </w:p>
        </w:tc>
      </w:tr>
      <w:tr>
        <w:tc>
          <w:tcPr>
            <w:tcW w:type="dxa" w:w="2664"/>
          </w:tcPr>
          <w:p>
            <w:pPr>
              <w:spacing w:after="20"/>
            </w:pPr>
            <w:r>
              <w:rPr>
                <w:color w:val="1C3A36"/>
                <w:sz w:val="15"/>
              </w:rPr>
              <w:t>Every direct-cost unit rate is anchored on the H1-2026 reviewed actual and held flat, except mobile interconnect (-1.5%/yr) and mobile commission (+3.0%/yr)</w:t>
            </w:r>
          </w:p>
        </w:tc>
        <w:tc>
          <w:tcPr>
            <w:tcW w:type="dxa" w:w="3744"/>
          </w:tcPr>
          <w:p>
            <w:pPr>
              <w:spacing w:after="20"/>
            </w:pPr>
            <w:r>
              <w:rPr>
                <w:color w:val="1C3A36"/>
                <w:sz w:val="15"/>
              </w:rPr>
              <w:t>the like-for-like half-year pair measures interconnect per subscriber falling 4.2% and commission per subscriber rising 3.1%; three of the four second-half 2025 rates came in cheaper than the first half, so carrying an H1 rate into H2 overstates cost</w:t>
            </w:r>
          </w:p>
        </w:tc>
        <w:tc>
          <w:tcPr>
            <w:tcW w:type="dxa" w:w="3744"/>
          </w:tcPr>
          <w:p>
            <w:pPr>
              <w:spacing w:after="20"/>
            </w:pPr>
            <w:r>
              <w:rPr>
                <w:color w:val="1C3A36"/>
                <w:sz w:val="15"/>
              </w:rPr>
              <w:t>a disclosed reset in any single line — wholesale repricing, an ICT mix collapse, or interconnect per subscriber turning UP in a half-year pair</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Post-2029 royalty/corporate-tax regime</w:t>
            </w:r>
          </w:p>
        </w:tc>
        <w:tc>
          <w:tcPr>
            <w:tcW w:type="dxa" w:w="3312"/>
          </w:tcPr>
          <w:p>
            <w:pPr>
              <w:spacing w:after="20"/>
            </w:pPr>
            <w:r>
              <w:rPr>
                <w:color w:val="1C3A36"/>
                <w:sz w:val="15"/>
              </w:rPr>
              <w:t>du filings, e&amp; filings, MoF releases, Cabinet decisions</w:t>
            </w:r>
          </w:p>
        </w:tc>
        <w:tc>
          <w:tcPr>
            <w:tcW w:type="dxa" w:w="3672"/>
          </w:tcPr>
          <w:p>
            <w:pPr>
              <w:spacing w:after="20"/>
            </w:pPr>
            <w:r>
              <w:rPr>
                <w:color w:val="1C3A36"/>
                <w:sz w:val="15"/>
              </w:rPr>
              <w:t>NOT DISCLOSED by anyone — so a reversion after 2029 is carried as a priced tail, not forecast. NOTE: the FIRST EDITION of this study recorded the post-2026 regime as undisclosed by du. That was WRONG — du published its own "Extension of Federal Royalty Scheme for the Period 2027-2029" on 24-Jul-2026, sixteen days before the sweep date, retaining the AED 1.8bn floor. The negative search was stale, not the disclosure absent</w:t>
            </w:r>
          </w:p>
        </w:tc>
      </w:tr>
      <w:tr>
        <w:tc>
          <w:tcPr>
            <w:tcW w:type="dxa" w:w="3168"/>
          </w:tcPr>
          <w:p>
            <w:pPr>
              <w:spacing w:after="20"/>
            </w:pPr>
            <w:r>
              <w:rPr>
                <w:color w:val="1C3A36"/>
                <w:sz w:val="15"/>
              </w:rPr>
              <w:t>Licence FEE / revenue-share terms on the renewed licence</w:t>
            </w:r>
          </w:p>
        </w:tc>
        <w:tc>
          <w:tcPr>
            <w:tcW w:type="dxa" w:w="3312"/>
          </w:tcPr>
          <w:p>
            <w:pPr>
              <w:spacing w:after="20"/>
            </w:pPr>
            <w:r>
              <w:rPr>
                <w:color w:val="1C3A36"/>
                <w:sz w:val="15"/>
              </w:rPr>
              <w:t>TDRA announcement of 12-Aug-2026, du filings</w:t>
            </w:r>
          </w:p>
        </w:tc>
        <w:tc>
          <w:tcPr>
            <w:tcW w:type="dxa" w:w="3672"/>
          </w:tcPr>
          <w:p>
            <w:pPr>
              <w:spacing w:after="20"/>
            </w:pPr>
            <w:r>
              <w:rPr>
                <w:color w:val="1C3A36"/>
                <w:sz w:val="15"/>
              </w:rPr>
              <w:t>NOT DISCLOSED — the 20-year renewal (effective 09-Aug-2026) publishes obligations only, no economics. The study holds the fee ratio at its historical level and flags that as an assumption</w:t>
            </w:r>
          </w:p>
        </w:tc>
      </w:tr>
      <w:tr>
        <w:tc>
          <w:tcPr>
            <w:tcW w:type="dxa" w:w="3168"/>
          </w:tcPr>
          <w:p>
            <w:pPr>
              <w:spacing w:after="20"/>
            </w:pPr>
            <w:r>
              <w:rPr>
                <w:color w:val="1C3A36"/>
                <w:sz w:val="15"/>
              </w:rPr>
              <w:t>Peer EV/EBITDA from issuer filings</w:t>
            </w:r>
          </w:p>
        </w:tc>
        <w:tc>
          <w:tcPr>
            <w:tcW w:type="dxa" w:w="3312"/>
          </w:tcPr>
          <w:p>
            <w:pPr>
              <w:spacing w:after="20"/>
            </w:pPr>
            <w:r>
              <w:rPr>
                <w:color w:val="1C3A36"/>
                <w:sz w:val="15"/>
              </w:rPr>
              <w:t>peer annual reports and results releases</w:t>
            </w:r>
          </w:p>
        </w:tc>
        <w:tc>
          <w:tcPr>
            <w:tcW w:type="dxa" w:w="3672"/>
          </w:tcPr>
          <w:p>
            <w:pPr>
              <w:spacing w:after="20"/>
            </w:pPr>
            <w:r>
              <w:rPr>
                <w:color w:val="1C3A36"/>
                <w:sz w:val="15"/>
              </w:rPr>
              <w:t>net-debt detail per peer not retrieved within scope — the relative lens runs on earnings and dividend yield only, both sourced, rather than on an estimated multiple</w:t>
            </w:r>
          </w:p>
        </w:tc>
      </w:tr>
      <w:tr>
        <w:tc>
          <w:tcPr>
            <w:tcW w:type="dxa" w:w="3168"/>
          </w:tcPr>
          <w:p>
            <w:pPr>
              <w:spacing w:after="20"/>
            </w:pPr>
            <w:r>
              <w:rPr>
                <w:color w:val="1C3A36"/>
                <w:sz w:val="15"/>
              </w:rPr>
              <w:t>Trailing P/E for Zain and a priced multiple for Omantel</w:t>
            </w:r>
          </w:p>
        </w:tc>
        <w:tc>
          <w:tcPr>
            <w:tcW w:type="dxa" w:w="3312"/>
          </w:tcPr>
          <w:p>
            <w:pPr>
              <w:spacing w:after="20"/>
            </w:pPr>
            <w:r>
              <w:rPr>
                <w:color w:val="1C3A36"/>
                <w:sz w:val="15"/>
              </w:rPr>
              <w:t>aggregators and issuer filings</w:t>
            </w:r>
          </w:p>
        </w:tc>
        <w:tc>
          <w:tcPr>
            <w:tcW w:type="dxa" w:w="3672"/>
          </w:tcPr>
          <w:p>
            <w:pPr>
              <w:spacing w:after="20"/>
            </w:pPr>
            <w:r>
              <w:rPr>
                <w:color w:val="1C3A36"/>
                <w:sz w:val="15"/>
              </w:rPr>
              <w:t>REFUSED rather than passed through: the provider returned 11,365x for Zain, and Omantel's quoted multiple and yield are mutually inconsistent. Neither enters the peer frame as a number</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Corrections made after external review</w:t>
      </w:r>
    </w:p>
    <w:p>
      <w:pPr>
        <w:spacing w:after="100" w:before="0"/>
      </w:pPr>
      <w:r>
        <w:rPr>
          <w:b w:val="0"/>
          <w:i w:val="0"/>
          <w:color w:val="1C3A36"/>
          <w:sz w:val="20"/>
        </w:rPr>
        <w:t>Four input errors were found by external audit and by re-audit, and are corrected in this edition rather than left standing. First, the justified price/earnings multiple: the first edition used 15.5x, described as a peer median. It was neither a median of the stated peer set nor a current figure — it was a January-2026 aggregator reading built on FY2024 earnings, published with an August-2026 date. Re-derived from the peers' own filings it is 12.9x, and no median is claimed because only two of six peers survive as clean observations. Second, the dividend roll: the first edition netted only the final dividend PAID before the anchor, on the reasoning that the interim was declared but unpaid. The correct test is the EX-date, which had passed six sessions earlier, so AED 0.66 is now netted, not 0.40. Third, the staff-cost input: its own source note said it applied the prior year's second-half seasonal ratio, but the figure used implied 1.09 against a true 1.196 — which pushed total forecast operating expenses BELOW the audited prior-year actual while revenue grew, and made the margin expansion an artefact of one input. Fourth, and most consequential for how this study reads: du had disclosed the 2027-2029 royalty extension itself, before the first edition's sweep date, so the "contested judgement" that edition was built around was not contested. It is recast here as the required return.</w:t>
      </w: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