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Weighted central AED 13.90 per share against a spot of AED 12.30 (+13%), inside a weighted bear-to-bull range of AED 9.74 to 20.28 and a wider span across the four lenses of AED 8.19 to AED 28.65. The cash-flow lens alone reads AED 18.89; the market-anchored relative lens reads AED 8.86. That gap is the study's honest tension, and section 4 explains rather than hides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18.89 — but the terminal that implies values du at 10.1x forward EBITDA in perpetuity, against the 7.6x the market pays for it today. Refuse that re-rating and hold today's multiple instead and the same cash flows are worth AED 14.81. Both are published side by side — the judgement is worth AED 4.08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16.11),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7"/>
              </w:rPr>
              <w:t>Lens</w:t>
            </w:r>
          </w:p>
        </w:tc>
        <w:tc>
          <w:tcPr>
            <w:tcW w:type="dxa" w:w="1224"/>
            <w:shd w:val="clear" w:color="auto" w:fill="EAF0EE"/>
          </w:tcPr>
          <w:p>
            <w:pPr>
              <w:spacing w:after="20"/>
            </w:pPr>
            <w:r>
              <w:rPr>
                <w:b/>
                <w:color w:val="1C3A36"/>
                <w:sz w:val="17"/>
              </w:rPr>
              <w:t>Bear</w:t>
            </w:r>
          </w:p>
        </w:tc>
        <w:tc>
          <w:tcPr>
            <w:tcW w:type="dxa" w:w="1224"/>
            <w:shd w:val="clear" w:color="auto" w:fill="EAF0EE"/>
          </w:tcPr>
          <w:p>
            <w:pPr>
              <w:spacing w:after="20"/>
            </w:pPr>
            <w:r>
              <w:rPr>
                <w:b/>
                <w:color w:val="1C3A36"/>
                <w:sz w:val="17"/>
              </w:rPr>
              <w:t>Base</w:t>
            </w:r>
          </w:p>
        </w:tc>
        <w:tc>
          <w:tcPr>
            <w:tcW w:type="dxa" w:w="1224"/>
            <w:shd w:val="clear" w:color="auto" w:fill="EAF0EE"/>
          </w:tcPr>
          <w:p>
            <w:pPr>
              <w:spacing w:after="20"/>
            </w:pPr>
            <w:r>
              <w:rPr>
                <w:b/>
                <w:color w:val="1C3A36"/>
                <w:sz w:val="17"/>
              </w:rPr>
              <w:t>Bull</w:t>
            </w:r>
          </w:p>
        </w:tc>
        <w:tc>
          <w:tcPr>
            <w:tcW w:type="dxa" w:w="1080"/>
            <w:shd w:val="clear" w:color="auto" w:fill="EAF0EE"/>
          </w:tcPr>
          <w:p>
            <w:pPr>
              <w:spacing w:after="20"/>
            </w:pPr>
            <w:r>
              <w:rPr>
                <w:b/>
                <w:color w:val="1C3A36"/>
                <w:sz w:val="17"/>
              </w:rPr>
              <w:t>Weight</w:t>
            </w:r>
          </w:p>
        </w:tc>
        <w:tc>
          <w:tcPr>
            <w:tcW w:type="dxa" w:w="1224"/>
            <w:shd w:val="clear" w:color="auto" w:fill="EAF0EE"/>
          </w:tcPr>
          <w:p>
            <w:pPr>
              <w:spacing w:after="20"/>
            </w:pPr>
            <w:r>
              <w:rPr>
                <w:b/>
                <w:color w:val="1C3A36"/>
                <w:sz w:val="17"/>
              </w:rPr>
              <w:t>vs spot</w:t>
            </w:r>
          </w:p>
        </w:tc>
      </w:tr>
      <w:tr>
        <w:tc>
          <w:tcPr>
            <w:tcW w:type="dxa" w:w="3672"/>
          </w:tcPr>
          <w:p>
            <w:pPr>
              <w:spacing w:after="20"/>
            </w:pPr>
            <w:r>
              <w:rPr>
                <w:color w:val="1C3A36"/>
                <w:sz w:val="17"/>
              </w:rPr>
              <w:t>Discounted cash flow (primary)</w:t>
            </w:r>
          </w:p>
        </w:tc>
        <w:tc>
          <w:tcPr>
            <w:tcW w:type="dxa" w:w="1224"/>
          </w:tcPr>
          <w:p>
            <w:pPr>
              <w:spacing w:after="20"/>
              <w:jc w:val="right"/>
            </w:pPr>
            <w:r>
              <w:rPr>
                <w:color w:val="1C3A36"/>
                <w:sz w:val="17"/>
              </w:rPr>
              <w:t>11.03</w:t>
            </w:r>
          </w:p>
        </w:tc>
        <w:tc>
          <w:tcPr>
            <w:tcW w:type="dxa" w:w="1224"/>
          </w:tcPr>
          <w:p>
            <w:pPr>
              <w:spacing w:after="20"/>
              <w:jc w:val="right"/>
            </w:pPr>
            <w:r>
              <w:rPr>
                <w:color w:val="1C3A36"/>
                <w:sz w:val="17"/>
              </w:rPr>
              <w:t>18.89</w:t>
            </w:r>
          </w:p>
        </w:tc>
        <w:tc>
          <w:tcPr>
            <w:tcW w:type="dxa" w:w="1224"/>
          </w:tcPr>
          <w:p>
            <w:pPr>
              <w:spacing w:after="20"/>
              <w:jc w:val="right"/>
            </w:pPr>
            <w:r>
              <w:rPr>
                <w:color w:val="1C3A36"/>
                <w:sz w:val="17"/>
              </w:rPr>
              <w:t>28.65</w:t>
            </w:r>
          </w:p>
        </w:tc>
        <w:tc>
          <w:tcPr>
            <w:tcW w:type="dxa" w:w="1080"/>
          </w:tcPr>
          <w:p>
            <w:pPr>
              <w:spacing w:after="20"/>
              <w:jc w:val="right"/>
            </w:pPr>
            <w:r>
              <w:rPr>
                <w:color w:val="1C3A36"/>
                <w:sz w:val="17"/>
              </w:rPr>
              <w:t>45%</w:t>
            </w:r>
          </w:p>
        </w:tc>
        <w:tc>
          <w:tcPr>
            <w:tcW w:type="dxa" w:w="1224"/>
          </w:tcPr>
          <w:p>
            <w:pPr>
              <w:spacing w:after="20"/>
              <w:jc w:val="right"/>
            </w:pPr>
            <w:r>
              <w:rPr>
                <w:color w:val="1C3A36"/>
                <w:sz w:val="17"/>
              </w:rPr>
              <w:t>+54%</w:t>
            </w:r>
          </w:p>
        </w:tc>
      </w:tr>
      <w:tr>
        <w:tc>
          <w:tcPr>
            <w:tcW w:type="dxa" w:w="3672"/>
          </w:tcPr>
          <w:p>
            <w:pPr>
              <w:spacing w:after="20"/>
            </w:pPr>
            <w:r>
              <w:rPr>
                <w:color w:val="1C3A36"/>
                <w:sz w:val="17"/>
              </w:rPr>
              <w:t>Relative multiples</w:t>
            </w:r>
          </w:p>
        </w:tc>
        <w:tc>
          <w:tcPr>
            <w:tcW w:type="dxa" w:w="1224"/>
          </w:tcPr>
          <w:p>
            <w:pPr>
              <w:spacing w:after="20"/>
              <w:jc w:val="right"/>
            </w:pPr>
            <w:r>
              <w:rPr>
                <w:color w:val="1C3A36"/>
                <w:sz w:val="17"/>
              </w:rPr>
              <w:t>8.19</w:t>
            </w:r>
          </w:p>
        </w:tc>
        <w:tc>
          <w:tcPr>
            <w:tcW w:type="dxa" w:w="1224"/>
          </w:tcPr>
          <w:p>
            <w:pPr>
              <w:spacing w:after="20"/>
              <w:jc w:val="right"/>
            </w:pPr>
            <w:r>
              <w:rPr>
                <w:color w:val="1C3A36"/>
                <w:sz w:val="17"/>
              </w:rPr>
              <w:t>8.86</w:t>
            </w:r>
          </w:p>
        </w:tc>
        <w:tc>
          <w:tcPr>
            <w:tcW w:type="dxa" w:w="1224"/>
          </w:tcPr>
          <w:p>
            <w:pPr>
              <w:spacing w:after="20"/>
              <w:jc w:val="right"/>
            </w:pPr>
            <w:r>
              <w:rPr>
                <w:color w:val="1C3A36"/>
                <w:sz w:val="17"/>
              </w:rPr>
              <w:t>12.99</w:t>
            </w:r>
          </w:p>
        </w:tc>
        <w:tc>
          <w:tcPr>
            <w:tcW w:type="dxa" w:w="1080"/>
          </w:tcPr>
          <w:p>
            <w:pPr>
              <w:spacing w:after="20"/>
              <w:jc w:val="right"/>
            </w:pPr>
            <w:r>
              <w:rPr>
                <w:color w:val="1C3A36"/>
                <w:sz w:val="17"/>
              </w:rPr>
              <w:t>25%</w:t>
            </w:r>
          </w:p>
        </w:tc>
        <w:tc>
          <w:tcPr>
            <w:tcW w:type="dxa" w:w="1224"/>
          </w:tcPr>
          <w:p>
            <w:pPr>
              <w:spacing w:after="20"/>
              <w:jc w:val="right"/>
            </w:pPr>
            <w:r>
              <w:rPr>
                <w:color w:val="1C3A36"/>
                <w:sz w:val="17"/>
              </w:rPr>
              <w:t>-28%</w:t>
            </w:r>
          </w:p>
        </w:tc>
      </w:tr>
      <w:tr>
        <w:tc>
          <w:tcPr>
            <w:tcW w:type="dxa" w:w="3672"/>
          </w:tcPr>
          <w:p>
            <w:pPr>
              <w:spacing w:after="20"/>
            </w:pPr>
            <w:r>
              <w:rPr>
                <w:color w:val="1C3A36"/>
                <w:sz w:val="17"/>
              </w:rPr>
              <w:t>Normalised earnings power</w:t>
            </w:r>
          </w:p>
        </w:tc>
        <w:tc>
          <w:tcPr>
            <w:tcW w:type="dxa" w:w="1224"/>
          </w:tcPr>
          <w:p>
            <w:pPr>
              <w:spacing w:after="20"/>
              <w:jc w:val="right"/>
            </w:pPr>
            <w:r>
              <w:rPr>
                <w:color w:val="1C3A36"/>
                <w:sz w:val="17"/>
              </w:rPr>
              <w:t>8.21</w:t>
            </w:r>
          </w:p>
        </w:tc>
        <w:tc>
          <w:tcPr>
            <w:tcW w:type="dxa" w:w="1224"/>
          </w:tcPr>
          <w:p>
            <w:pPr>
              <w:spacing w:after="20"/>
              <w:jc w:val="right"/>
            </w:pPr>
            <w:r>
              <w:rPr>
                <w:color w:val="1C3A36"/>
                <w:sz w:val="17"/>
              </w:rPr>
              <w:t>8.87</w:t>
            </w:r>
          </w:p>
        </w:tc>
        <w:tc>
          <w:tcPr>
            <w:tcW w:type="dxa" w:w="1224"/>
          </w:tcPr>
          <w:p>
            <w:pPr>
              <w:spacing w:after="20"/>
              <w:jc w:val="right"/>
            </w:pPr>
            <w:r>
              <w:rPr>
                <w:color w:val="1C3A36"/>
                <w:sz w:val="17"/>
              </w:rPr>
              <w:t>13.01</w:t>
            </w:r>
          </w:p>
        </w:tc>
        <w:tc>
          <w:tcPr>
            <w:tcW w:type="dxa" w:w="1080"/>
          </w:tcPr>
          <w:p>
            <w:pPr>
              <w:spacing w:after="20"/>
              <w:jc w:val="right"/>
            </w:pPr>
            <w:r>
              <w:rPr>
                <w:color w:val="1C3A36"/>
                <w:sz w:val="17"/>
              </w:rPr>
              <w:t>20%</w:t>
            </w:r>
          </w:p>
        </w:tc>
        <w:tc>
          <w:tcPr>
            <w:tcW w:type="dxa" w:w="1224"/>
          </w:tcPr>
          <w:p>
            <w:pPr>
              <w:spacing w:after="20"/>
              <w:jc w:val="right"/>
            </w:pPr>
            <w:r>
              <w:rPr>
                <w:color w:val="1C3A36"/>
                <w:sz w:val="17"/>
              </w:rPr>
              <w:t>-28%</w:t>
            </w:r>
          </w:p>
        </w:tc>
      </w:tr>
      <w:tr>
        <w:tc>
          <w:tcPr>
            <w:tcW w:type="dxa" w:w="3672"/>
          </w:tcPr>
          <w:p>
            <w:pPr>
              <w:spacing w:after="20"/>
            </w:pPr>
            <w:r>
              <w:rPr>
                <w:color w:val="1C3A36"/>
                <w:sz w:val="17"/>
              </w:rPr>
              <w:t>Book value &amp; sustainable return</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14.12</w:t>
            </w:r>
          </w:p>
        </w:tc>
        <w:tc>
          <w:tcPr>
            <w:tcW w:type="dxa" w:w="1224"/>
          </w:tcPr>
          <w:p>
            <w:pPr>
              <w:spacing w:after="20"/>
              <w:jc w:val="right"/>
            </w:pPr>
            <w:r>
              <w:rPr>
                <w:color w:val="1C3A36"/>
                <w:sz w:val="17"/>
              </w:rPr>
              <w:t>15.33</w:t>
            </w:r>
          </w:p>
        </w:tc>
        <w:tc>
          <w:tcPr>
            <w:tcW w:type="dxa" w:w="1080"/>
          </w:tcPr>
          <w:p>
            <w:pPr>
              <w:spacing w:after="20"/>
              <w:jc w:val="right"/>
            </w:pPr>
            <w:r>
              <w:rPr>
                <w:color w:val="1C3A36"/>
                <w:sz w:val="17"/>
              </w:rPr>
              <w:t>10%</w:t>
            </w:r>
          </w:p>
        </w:tc>
        <w:tc>
          <w:tcPr>
            <w:tcW w:type="dxa" w:w="1224"/>
          </w:tcPr>
          <w:p>
            <w:pPr>
              <w:spacing w:after="20"/>
              <w:jc w:val="right"/>
            </w:pPr>
            <w:r>
              <w:rPr>
                <w:color w:val="1C3A36"/>
                <w:sz w:val="17"/>
              </w:rPr>
              <w:t>+15%</w:t>
            </w:r>
          </w:p>
        </w:tc>
      </w:tr>
      <w:tr>
        <w:tc>
          <w:tcPr>
            <w:tcW w:type="dxa" w:w="3672"/>
            <w:shd w:val="clear" w:color="auto" w:fill="F6F1E6"/>
          </w:tcPr>
          <w:p>
            <w:pPr>
              <w:spacing w:after="20"/>
            </w:pPr>
            <w:r>
              <w:rPr>
                <w:b/>
                <w:color w:val="1C3A36"/>
                <w:sz w:val="17"/>
              </w:rPr>
              <w:t>Weighted central</w:t>
            </w:r>
          </w:p>
        </w:tc>
        <w:tc>
          <w:tcPr>
            <w:tcW w:type="dxa" w:w="1224"/>
            <w:shd w:val="clear" w:color="auto" w:fill="F6F1E6"/>
          </w:tcPr>
          <w:p>
            <w:pPr>
              <w:spacing w:after="20"/>
              <w:jc w:val="right"/>
            </w:pPr>
            <w:r>
              <w:rPr>
                <w:b/>
                <w:color w:val="1C3A36"/>
                <w:sz w:val="17"/>
              </w:rPr>
              <w:t>9.74</w:t>
            </w:r>
          </w:p>
        </w:tc>
        <w:tc>
          <w:tcPr>
            <w:tcW w:type="dxa" w:w="1224"/>
            <w:shd w:val="clear" w:color="auto" w:fill="F6F1E6"/>
          </w:tcPr>
          <w:p>
            <w:pPr>
              <w:spacing w:after="20"/>
              <w:jc w:val="right"/>
            </w:pPr>
            <w:r>
              <w:rPr>
                <w:b/>
                <w:color w:val="1C3A36"/>
                <w:sz w:val="17"/>
              </w:rPr>
              <w:t>13.90</w:t>
            </w:r>
          </w:p>
        </w:tc>
        <w:tc>
          <w:tcPr>
            <w:tcW w:type="dxa" w:w="1224"/>
            <w:shd w:val="clear" w:color="auto" w:fill="F6F1E6"/>
          </w:tcPr>
          <w:p>
            <w:pPr>
              <w:spacing w:after="20"/>
              <w:jc w:val="right"/>
            </w:pPr>
            <w:r>
              <w:rPr>
                <w:b/>
                <w:color w:val="1C3A36"/>
                <w:sz w:val="17"/>
              </w:rPr>
              <w:t>20.28</w:t>
            </w:r>
          </w:p>
        </w:tc>
        <w:tc>
          <w:tcPr>
            <w:tcW w:type="dxa" w:w="1080"/>
            <w:shd w:val="clear" w:color="auto" w:fill="F6F1E6"/>
          </w:tcPr>
          <w:p>
            <w:pPr>
              <w:spacing w:after="20"/>
              <w:jc w:val="right"/>
            </w:pPr>
            <w:r>
              <w:rPr>
                <w:b/>
                <w:color w:val="1C3A36"/>
                <w:sz w:val="17"/>
              </w:rPr>
              <w:t>100%</w:t>
            </w:r>
          </w:p>
        </w:tc>
        <w:tc>
          <w:tcPr>
            <w:tcW w:type="dxa" w:w="1224"/>
            <w:shd w:val="clear" w:color="auto" w:fill="F6F1E6"/>
          </w:tcPr>
          <w:p>
            <w:pPr>
              <w:spacing w:after="20"/>
              <w:jc w:val="right"/>
            </w:pPr>
            <w:r>
              <w:rPr>
                <w:b/>
                <w:color w:val="1C3A36"/>
                <w:sz w:val="17"/>
              </w:rPr>
              <w:t>+13%</w:t>
            </w:r>
          </w:p>
        </w:tc>
      </w:tr>
      <w:tr>
        <w:tc>
          <w:tcPr>
            <w:tcW w:type="dxa" w:w="3672"/>
          </w:tcPr>
          <w:p>
            <w:pPr>
              <w:spacing w:after="20"/>
            </w:pPr>
            <w:r>
              <w:rPr>
                <w:color w:val="1C3A36"/>
                <w:sz w:val="17"/>
              </w:rPr>
              <w:t>Span across lenses (min/max, not weighted)</w:t>
            </w:r>
          </w:p>
        </w:tc>
        <w:tc>
          <w:tcPr>
            <w:tcW w:type="dxa" w:w="1224"/>
          </w:tcPr>
          <w:p>
            <w:pPr>
              <w:spacing w:after="20"/>
              <w:jc w:val="right"/>
            </w:pPr>
            <w:r>
              <w:rPr>
                <w:color w:val="1C3A36"/>
                <w:sz w:val="17"/>
              </w:rPr>
              <w:t>8.19</w:t>
            </w:r>
          </w:p>
        </w:tc>
        <w:tc>
          <w:tcPr>
            <w:tcW w:type="dxa" w:w="1224"/>
          </w:tcPr>
          <w:p>
            <w:pPr>
              <w:spacing w:after="20"/>
              <w:jc w:val="right"/>
            </w:pPr>
            <w:r>
              <w:rPr>
                <w:color w:val="1C3A36"/>
                <w:sz w:val="17"/>
              </w:rPr>
            </w:r>
          </w:p>
        </w:tc>
        <w:tc>
          <w:tcPr>
            <w:tcW w:type="dxa" w:w="1224"/>
          </w:tcPr>
          <w:p>
            <w:pPr>
              <w:spacing w:after="20"/>
              <w:jc w:val="right"/>
            </w:pPr>
            <w:r>
              <w:rPr>
                <w:color w:val="1C3A36"/>
                <w:sz w:val="17"/>
              </w:rPr>
              <w:t>28.65</w:t>
            </w:r>
          </w:p>
        </w:tc>
        <w:tc>
          <w:tcPr>
            <w:tcW w:type="dxa" w:w="1080"/>
          </w:tcPr>
          <w:p>
            <w:pPr>
              <w:spacing w:after="20"/>
              <w:jc w:val="right"/>
            </w:pPr>
            <w:r>
              <w:rPr>
                <w:color w:val="1C3A36"/>
                <w:sz w:val="17"/>
              </w:rPr>
              <w:t>—</w:t>
            </w:r>
          </w:p>
        </w:tc>
        <w:tc>
          <w:tcPr>
            <w:tcW w:type="dxa" w:w="1224"/>
          </w:tcPr>
          <w:p>
            <w:pPr>
              <w:spacing w:after="20"/>
              <w:jc w:val="right"/>
            </w:pPr>
            <w:r>
              <w:rPr>
                <w:color w:val="1C3A36"/>
                <w:sz w:val="17"/>
              </w:rPr>
            </w:r>
          </w:p>
        </w:tc>
      </w:tr>
      <w:tr>
        <w:tc>
          <w:tcPr>
            <w:tcW w:type="dxa" w:w="3672"/>
          </w:tcPr>
          <w:p>
            <w:pPr>
              <w:spacing w:after="20"/>
            </w:pPr>
            <w:r>
              <w:rPr>
                <w:color w:val="1C3A36"/>
                <w:sz w:val="17"/>
              </w:rPr>
              <w:t>Contested judgement, other way — no terminal re-rating</w:t>
            </w:r>
          </w:p>
        </w:tc>
        <w:tc>
          <w:tcPr>
            <w:tcW w:type="dxa" w:w="1224"/>
          </w:tcPr>
          <w:p>
            <w:pPr>
              <w:spacing w:after="20"/>
              <w:jc w:val="right"/>
            </w:pPr>
            <w:r>
              <w:rPr>
                <w:color w:val="1C3A36"/>
                <w:sz w:val="17"/>
              </w:rPr>
            </w:r>
          </w:p>
        </w:tc>
        <w:tc>
          <w:tcPr>
            <w:tcW w:type="dxa" w:w="1224"/>
          </w:tcPr>
          <w:p>
            <w:pPr>
              <w:spacing w:after="20"/>
              <w:jc w:val="right"/>
            </w:pPr>
            <w:r>
              <w:rPr>
                <w:color w:val="1C3A36"/>
                <w:sz w:val="17"/>
              </w:rPr>
              <w:t>14.81</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+20%</w:t>
            </w:r>
          </w:p>
        </w:tc>
      </w:tr>
      <w:tr>
        <w:tc>
          <w:tcPr>
            <w:tcW w:type="dxa" w:w="3672"/>
          </w:tcPr>
          <w:p>
            <w:pPr>
              <w:spacing w:after="20"/>
            </w:pPr>
            <w:r>
              <w:rPr>
                <w:color w:val="1C3A36"/>
                <w:sz w:val="17"/>
              </w:rPr>
              <w:t>Expert panel median (Appendix C)</w:t>
            </w:r>
          </w:p>
        </w:tc>
        <w:tc>
          <w:tcPr>
            <w:tcW w:type="dxa" w:w="1224"/>
          </w:tcPr>
          <w:p>
            <w:pPr>
              <w:spacing w:after="20"/>
              <w:jc w:val="right"/>
            </w:pPr>
            <w:r>
              <w:rPr>
                <w:color w:val="1C3A36"/>
                <w:sz w:val="17"/>
              </w:rPr>
            </w:r>
          </w:p>
        </w:tc>
        <w:tc>
          <w:tcPr>
            <w:tcW w:type="dxa" w:w="1224"/>
          </w:tcPr>
          <w:p>
            <w:pPr>
              <w:spacing w:after="20"/>
              <w:jc w:val="right"/>
            </w:pPr>
            <w:r>
              <w:rPr>
                <w:color w:val="1C3A36"/>
                <w:sz w:val="17"/>
              </w:rPr>
              <w:t>18.46</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+50%</w:t>
            </w:r>
          </w:p>
        </w:tc>
      </w:tr>
      <w:tr>
        <w:tc>
          <w:tcPr>
            <w:tcW w:type="dxa" w:w="3672"/>
          </w:tcPr>
          <w:p>
            <w:pPr>
              <w:spacing w:after="20"/>
            </w:pPr>
            <w:r>
              <w:rPr>
                <w:color w:val="1C3A36"/>
                <w:sz w:val="17"/>
              </w:rPr>
              <w:t>DCF terminal value share of enterprise value: 83%</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080"/>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 — the valuation summary. Weighted central AED 13.90, with its bear and bull columns weighted on the same 45/25/20/10 basis; the row beneath shows the wider min/max span across lenses, which is NOT a weighted figure. Every lens value is dated at the 2026-08-07 anchor, net of the AED 0.66 of dividends whose ex-dates fall between the 31-Dec-2025 valuation date and that anchor (the 0.40 final, paid 28-Apr-2026, and the 0.26 interim, ex 31-Jul-2026). The terminal value is 83%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20% and the book lens 10%.</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7,937</w:t>
            </w:r>
          </w:p>
        </w:tc>
        <w:tc>
          <w:tcPr>
            <w:tcW w:type="dxa" w:w="1354"/>
            <w:shd w:val="clear" w:color="auto" w:fill="F6F1E6"/>
          </w:tcPr>
          <w:p>
            <w:pPr>
              <w:spacing w:after="20"/>
              <w:jc w:val="right"/>
            </w:pPr>
            <w:r>
              <w:rPr>
                <w:b/>
                <w:color w:val="1C3A36"/>
                <w:sz w:val="17"/>
              </w:rPr>
              <w:t>8,239</w:t>
            </w:r>
          </w:p>
        </w:tc>
        <w:tc>
          <w:tcPr>
            <w:tcW w:type="dxa" w:w="1354"/>
            <w:shd w:val="clear" w:color="auto" w:fill="F6F1E6"/>
          </w:tcPr>
          <w:p>
            <w:pPr>
              <w:spacing w:after="20"/>
              <w:jc w:val="right"/>
            </w:pPr>
            <w:r>
              <w:rPr>
                <w:b/>
                <w:color w:val="1C3A36"/>
                <w:sz w:val="17"/>
              </w:rPr>
              <w:t>8,624</w:t>
            </w:r>
          </w:p>
        </w:tc>
        <w:tc>
          <w:tcPr>
            <w:tcW w:type="dxa" w:w="1354"/>
            <w:shd w:val="clear" w:color="auto" w:fill="F6F1E6"/>
          </w:tcPr>
          <w:p>
            <w:pPr>
              <w:spacing w:after="20"/>
              <w:jc w:val="right"/>
            </w:pPr>
            <w:r>
              <w:rPr>
                <w:b/>
                <w:color w:val="1C3A36"/>
                <w:sz w:val="17"/>
              </w:rPr>
              <w:t>8,977</w:t>
            </w:r>
          </w:p>
        </w:tc>
        <w:tc>
          <w:tcPr>
            <w:tcW w:type="dxa" w:w="1354"/>
            <w:shd w:val="clear" w:color="auto" w:fill="F6F1E6"/>
          </w:tcPr>
          <w:p>
            <w:pPr>
              <w:spacing w:after="20"/>
              <w:jc w:val="right"/>
            </w:pPr>
            <w:r>
              <w:rPr>
                <w:b/>
                <w:color w:val="1C3A36"/>
                <w:sz w:val="17"/>
              </w:rPr>
              <w:t>9,309</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5,702</w:t>
            </w:r>
          </w:p>
        </w:tc>
        <w:tc>
          <w:tcPr>
            <w:tcW w:type="dxa" w:w="1354"/>
            <w:shd w:val="clear" w:color="auto" w:fill="F6F1E6"/>
          </w:tcPr>
          <w:p>
            <w:pPr>
              <w:spacing w:after="20"/>
              <w:jc w:val="right"/>
            </w:pPr>
            <w:r>
              <w:rPr>
                <w:b/>
                <w:color w:val="1C3A36"/>
                <w:sz w:val="17"/>
              </w:rPr>
              <w:t>5,887</w:t>
            </w:r>
          </w:p>
        </w:tc>
        <w:tc>
          <w:tcPr>
            <w:tcW w:type="dxa" w:w="1354"/>
            <w:shd w:val="clear" w:color="auto" w:fill="F6F1E6"/>
          </w:tcPr>
          <w:p>
            <w:pPr>
              <w:spacing w:after="20"/>
              <w:jc w:val="right"/>
            </w:pPr>
            <w:r>
              <w:rPr>
                <w:b/>
                <w:color w:val="1C3A36"/>
                <w:sz w:val="17"/>
              </w:rPr>
              <w:t>6,176</w:t>
            </w:r>
          </w:p>
        </w:tc>
        <w:tc>
          <w:tcPr>
            <w:tcW w:type="dxa" w:w="1354"/>
            <w:shd w:val="clear" w:color="auto" w:fill="F6F1E6"/>
          </w:tcPr>
          <w:p>
            <w:pPr>
              <w:spacing w:after="20"/>
              <w:jc w:val="right"/>
            </w:pPr>
            <w:r>
              <w:rPr>
                <w:b/>
                <w:color w:val="1C3A36"/>
                <w:sz w:val="17"/>
              </w:rPr>
              <w:t>6,446</w:t>
            </w:r>
          </w:p>
        </w:tc>
        <w:tc>
          <w:tcPr>
            <w:tcW w:type="dxa" w:w="1354"/>
            <w:shd w:val="clear" w:color="auto" w:fill="F6F1E6"/>
          </w:tcPr>
          <w:p>
            <w:pPr>
              <w:spacing w:after="20"/>
              <w:jc w:val="right"/>
            </w:pPr>
            <w:r>
              <w:rPr>
                <w:b/>
                <w:color w:val="1C3A36"/>
                <w:sz w:val="17"/>
              </w:rPr>
              <w:t>6,727</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3,218</w:t>
            </w:r>
          </w:p>
        </w:tc>
        <w:tc>
          <w:tcPr>
            <w:tcW w:type="dxa" w:w="1354"/>
          </w:tcPr>
          <w:p>
            <w:pPr>
              <w:spacing w:after="20"/>
              <w:jc w:val="right"/>
            </w:pPr>
            <w:r>
              <w:rPr>
                <w:color w:val="1C3A36"/>
                <w:sz w:val="17"/>
              </w:rPr>
              <w:t>3,322</w:t>
            </w:r>
          </w:p>
        </w:tc>
        <w:tc>
          <w:tcPr>
            <w:tcW w:type="dxa" w:w="1354"/>
          </w:tcPr>
          <w:p>
            <w:pPr>
              <w:spacing w:after="20"/>
              <w:jc w:val="right"/>
            </w:pPr>
            <w:r>
              <w:rPr>
                <w:color w:val="1C3A36"/>
                <w:sz w:val="17"/>
              </w:rPr>
              <w:t>3,485</w:t>
            </w:r>
          </w:p>
        </w:tc>
        <w:tc>
          <w:tcPr>
            <w:tcW w:type="dxa" w:w="1354"/>
          </w:tcPr>
          <w:p>
            <w:pPr>
              <w:spacing w:after="20"/>
              <w:jc w:val="right"/>
            </w:pPr>
            <w:r>
              <w:rPr>
                <w:color w:val="1C3A36"/>
                <w:sz w:val="17"/>
              </w:rPr>
              <w:t>3,638</w:t>
            </w:r>
          </w:p>
        </w:tc>
        <w:tc>
          <w:tcPr>
            <w:tcW w:type="dxa" w:w="1354"/>
          </w:tcPr>
          <w:p>
            <w:pPr>
              <w:spacing w:after="20"/>
              <w:jc w:val="right"/>
            </w:pPr>
            <w:r>
              <w:rPr>
                <w:color w:val="1C3A36"/>
                <w:sz w:val="17"/>
              </w:rPr>
              <w:t>3,796</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less 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2,927</w:t>
            </w:r>
          </w:p>
        </w:tc>
        <w:tc>
          <w:tcPr>
            <w:tcW w:type="dxa" w:w="1354"/>
            <w:shd w:val="clear" w:color="auto" w:fill="F6F1E6"/>
          </w:tcPr>
          <w:p>
            <w:pPr>
              <w:spacing w:after="20"/>
              <w:jc w:val="right"/>
            </w:pPr>
            <w:r>
              <w:rPr>
                <w:b/>
                <w:color w:val="1C3A36"/>
                <w:sz w:val="17"/>
              </w:rPr>
              <w:t>3,131</w:t>
            </w:r>
          </w:p>
        </w:tc>
        <w:tc>
          <w:tcPr>
            <w:tcW w:type="dxa" w:w="1354"/>
            <w:shd w:val="clear" w:color="auto" w:fill="F6F1E6"/>
          </w:tcPr>
          <w:p>
            <w:pPr>
              <w:spacing w:after="20"/>
              <w:jc w:val="right"/>
            </w:pPr>
            <w:r>
              <w:rPr>
                <w:b/>
                <w:color w:val="1C3A36"/>
                <w:sz w:val="17"/>
              </w:rPr>
              <w:t>3,373</w:t>
            </w:r>
          </w:p>
        </w:tc>
        <w:tc>
          <w:tcPr>
            <w:tcW w:type="dxa" w:w="1354"/>
            <w:shd w:val="clear" w:color="auto" w:fill="F6F1E6"/>
          </w:tcPr>
          <w:p>
            <w:pPr>
              <w:spacing w:after="20"/>
              <w:jc w:val="right"/>
            </w:pPr>
            <w:r>
              <w:rPr>
                <w:b/>
                <w:color w:val="1C3A36"/>
                <w:sz w:val="17"/>
              </w:rPr>
              <w:t>3,687</w:t>
            </w:r>
          </w:p>
        </w:tc>
        <w:tc>
          <w:tcPr>
            <w:tcW w:type="dxa" w:w="1354"/>
            <w:shd w:val="clear" w:color="auto" w:fill="F6F1E6"/>
          </w:tcPr>
          <w:p>
            <w:pPr>
              <w:spacing w:after="20"/>
              <w:jc w:val="right"/>
            </w:pPr>
            <w:r>
              <w:rPr>
                <w:b/>
                <w:color w:val="1C3A36"/>
                <w:sz w:val="17"/>
              </w:rPr>
              <w:t>3,900</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2,750</w:t>
            </w:r>
          </w:p>
        </w:tc>
        <w:tc>
          <w:tcPr>
            <w:tcW w:type="dxa" w:w="1354"/>
            <w:shd w:val="clear" w:color="auto" w:fill="F6F1E6"/>
          </w:tcPr>
          <w:p>
            <w:pPr>
              <w:spacing w:after="20"/>
              <w:jc w:val="right"/>
            </w:pPr>
            <w:r>
              <w:rPr>
                <w:b/>
                <w:color w:val="1C3A36"/>
                <w:sz w:val="17"/>
              </w:rPr>
              <w:t>2,766</w:t>
            </w:r>
          </w:p>
        </w:tc>
        <w:tc>
          <w:tcPr>
            <w:tcW w:type="dxa" w:w="1354"/>
            <w:shd w:val="clear" w:color="auto" w:fill="F6F1E6"/>
          </w:tcPr>
          <w:p>
            <w:pPr>
              <w:spacing w:after="20"/>
              <w:jc w:val="right"/>
            </w:pPr>
            <w:r>
              <w:rPr>
                <w:b/>
                <w:color w:val="1C3A36"/>
                <w:sz w:val="17"/>
              </w:rPr>
              <w:t>2,804</w:t>
            </w:r>
          </w:p>
        </w:tc>
        <w:tc>
          <w:tcPr>
            <w:tcW w:type="dxa" w:w="1354"/>
            <w:shd w:val="clear" w:color="auto" w:fill="F6F1E6"/>
          </w:tcPr>
          <w:p>
            <w:pPr>
              <w:spacing w:after="20"/>
              <w:jc w:val="right"/>
            </w:pPr>
            <w:r>
              <w:rPr>
                <w:b/>
                <w:color w:val="1C3A36"/>
                <w:sz w:val="17"/>
              </w:rPr>
              <w:t>2,885</w:t>
            </w:r>
          </w:p>
        </w:tc>
        <w:tc>
          <w:tcPr>
            <w:tcW w:type="dxa" w:w="1354"/>
            <w:shd w:val="clear" w:color="auto" w:fill="F6F1E6"/>
          </w:tcPr>
          <w:p>
            <w:pPr>
              <w:spacing w:after="20"/>
              <w:jc w:val="right"/>
            </w:pPr>
            <w:r>
              <w:rPr>
                <w:b/>
                <w:color w:val="1C3A36"/>
                <w:sz w:val="17"/>
              </w:rPr>
              <w:t>2,874</w:t>
            </w:r>
          </w:p>
        </w:tc>
      </w:tr>
    </w:tbl>
    <w:p>
      <w:pPr>
        <w:spacing w:after="40"/>
      </w:pPr>
    </w:p>
    <w:p>
      <w:pPr>
        <w:spacing w:after="200" w:before="0"/>
      </w:pPr>
      <w:r>
        <w:rPr>
          <w:b w:val="0"/>
          <w:i/>
          <w:color w:val="6E7B77"/>
          <w:sz w:val="17"/>
        </w:rPr>
        <w:t>Table 2 — the FCFF waterfall. EBITDA margin holds near 47.8%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27.4% = 9.1% of NOPAT — capitalised at the terminal cost of capital of 6.17% less growth. That yields a terminal value of AED 96,248mn, whose present value is AED 70,929mn — 83% of enterprise value. A reader should sit with that number: at a 6.17%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14,079</w:t>
            </w:r>
          </w:p>
        </w:tc>
        <w:tc>
          <w:tcPr>
            <w:tcW w:type="dxa" w:w="1872"/>
          </w:tcPr>
          <w:p>
            <w:pPr>
              <w:spacing w:after="20"/>
              <w:jc w:val="right"/>
            </w:pPr>
            <w:r>
              <w:rPr>
                <w:color w:val="1C3A36"/>
                <w:sz w:val="18"/>
              </w:rPr>
              <w:t>3.11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70,929</w:t>
            </w:r>
          </w:p>
        </w:tc>
        <w:tc>
          <w:tcPr>
            <w:tcW w:type="dxa" w:w="1872"/>
          </w:tcPr>
          <w:p>
            <w:pPr>
              <w:spacing w:after="20"/>
              <w:jc w:val="right"/>
            </w:pPr>
            <w:r>
              <w:rPr>
                <w:color w:val="1C3A36"/>
                <w:sz w:val="18"/>
              </w:rPr>
              <w:t>15.65</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85,009</w:t>
            </w:r>
          </w:p>
        </w:tc>
        <w:tc>
          <w:tcPr>
            <w:tcW w:type="dxa" w:w="1872"/>
            <w:shd w:val="clear" w:color="auto" w:fill="F6F1E6"/>
          </w:tcPr>
          <w:p>
            <w:pPr>
              <w:spacing w:after="20"/>
              <w:jc w:val="right"/>
            </w:pPr>
            <w:r>
              <w:rPr>
                <w:b/>
                <w:color w:val="1C3A36"/>
                <w:sz w:val="18"/>
              </w:rPr>
              <w:t>18.75</w:t>
            </w:r>
          </w:p>
        </w:tc>
      </w:tr>
      <w:tr>
        <w:tc>
          <w:tcPr>
            <w:tcW w:type="dxa" w:w="5832"/>
          </w:tcPr>
          <w:p>
            <w:pPr>
              <w:spacing w:after="20"/>
            </w:pPr>
            <w:r>
              <w:rPr>
                <w:color w:val="1C3A36"/>
                <w:sz w:val="18"/>
              </w:rPr>
              <w:t>Terminal value share of enterprise value: 83%</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85,320</w:t>
            </w:r>
          </w:p>
        </w:tc>
        <w:tc>
          <w:tcPr>
            <w:tcW w:type="dxa" w:w="1872"/>
            <w:shd w:val="clear" w:color="auto" w:fill="F6F1E6"/>
          </w:tcPr>
          <w:p>
            <w:pPr>
              <w:spacing w:after="20"/>
              <w:jc w:val="right"/>
            </w:pPr>
            <w:r>
              <w:rPr>
                <w:b/>
                <w:color w:val="1C3A36"/>
                <w:sz w:val="18"/>
              </w:rPr>
              <w:t>18.82</w:t>
            </w:r>
          </w:p>
        </w:tc>
      </w:tr>
      <w:tr>
        <w:tc>
          <w:tcPr>
            <w:tcW w:type="dxa" w:w="5832"/>
          </w:tcPr>
          <w:p>
            <w:pPr>
              <w:spacing w:after="20"/>
            </w:pPr>
            <w:r>
              <w:rPr>
                <w:color w:val="1C3A36"/>
                <w:sz w:val="18"/>
              </w:rPr>
              <w:t>× anchor accretion (1+Ke)^(219/365) = 1.0387,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18.89</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11.03 (ARPU −5%, a quarter-million fewer subscribers, margins −3%, +100bp on the discount rate, terminal growth 2.0%), bull AED 28.65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− 2.5%) / (6.35% − 2.5%) = 6.36×, i.e. AED 14.12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why it carries only a 10% weight.</w:t>
      </w:r>
    </w:p>
    <w:p>
      <w:pPr>
        <w:spacing w:after="80" w:before="200"/>
      </w:pPr>
      <w:r>
        <w:rPr>
          <w:b/>
          <w:i w:val="0"/>
          <w:color w:val="1C3A36"/>
          <w:sz w:val="24"/>
        </w:rPr>
        <w:t>1.3  Relative multiples</w:t>
      </w:r>
    </w:p>
    <w:p>
      <w:pPr>
        <w:spacing w:after="120" w:before="0"/>
      </w:pPr>
      <w:r>
        <w:rPr>
          <w:b w:val="0"/>
          <w:i w:val="0"/>
          <w:color w:val="1C3A36"/>
          <w:sz w:val="21"/>
        </w:rPr>
        <w:t>du trades at 19.2× its FY2025 earnings and 7.6× FY2025 EBITDA — and on the more current basis, including the reviewed first half of 2026, at 18.1× and 7.2×.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12.30</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18.1×</w:t>
            </w:r>
          </w:p>
        </w:tc>
        <w:tc>
          <w:tcPr>
            <w:tcW w:type="dxa" w:w="864"/>
          </w:tcPr>
          <w:p>
            <w:pPr>
              <w:spacing w:after="20"/>
              <w:jc w:val="right"/>
            </w:pPr>
            <w:r>
              <w:rPr>
                <w:color w:val="1C3A36"/>
                <w:sz w:val="16"/>
              </w:rPr>
              <w:t>5.2%</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18.1× it trades ABOVE every peer in the set.</w:t>
      </w:r>
    </w:p>
    <w:p>
      <w:pPr>
        <w:spacing w:after="120" w:before="0"/>
      </w:pPr>
      <w:r>
        <w:rPr>
          <w:b w:val="0"/>
          <w:i w:val="0"/>
          <w:color w:val="1C3A36"/>
          <w:sz w:val="21"/>
        </w:rPr>
        <w:t>Applied to FY2026E earnings per share of AED 0.71 and rolled to the anchor: AED 8.86 per share [bear 12× → AED 8.19; bull 18.5× → AED 12.99]. A second, independent market cross-check from the dividend: du's FY2026E dividend of AED 0.70 at Mobily's own trailing yield (4.9%) is worth AED 14.24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47.9%) applied to CURRENT-scale revenue (FY2026E, AED 16,593mn), less FY2026E depreciation, plus FY2026E net finance income, taxed at the combined 43.6%: normalised earnings of AED 3,225mn, or AED 0.71 per share. At the justified 12.9× and rolled to the anchor: AED 8.87 [12× → 8.21; 18.5× → 13.01]. It reads within a few fils of the relative lens, and that is worth being blunt about rather than presenting as corroboration: du's current year IS close to mid-cycle — the war knocked the top line, not the margin, and the first half of 2026 printed the best margin in the company's history — so normalising changes the earnings base by less than a fil. The two market-anchored lenses are therefore ONE reading of one multiple against one earnings number, carrying 45% of the weighted central between them, not two independent reads. The synthesis in 1.5 and the comparison in section 4 should be read on that basis.</w:t>
      </w:r>
    </w:p>
    <w:p>
      <w:pPr>
        <w:spacing w:after="80" w:before="200"/>
      </w:pPr>
      <w:r>
        <w:rPr>
          <w:b/>
          <w:i w:val="0"/>
          <w:color w:val="1C3A36"/>
          <w:sz w:val="24"/>
        </w:rPr>
        <w:t>1.5  Synthesis — four lenses, one field</w:t>
      </w:r>
    </w:p>
    <w:p>
      <w:pPr>
        <w:spacing w:after="200" w:before="0"/>
      </w:pPr>
      <w:r>
        <w:rPr>
          <w:b w:val="0"/>
          <w:i w:val="0"/>
          <w:color w:val="1C3A36"/>
          <w:sz w:val="21"/>
        </w:rPr>
        <w:t>Weighted central: AED 13.90 (+13% to spot), full span AED 8.19 to AED 28.65. The DCF (45% weight) reads +54% above the market; the two market-anchored lenses read roughly at the market. Section 4 takes that disagreement seriously — it is a statement about the discount rate, not about the forecast.</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essentially flat (AED 63.4 → 64.2: postpaid mix gains offsetting prepaid dilution, and no price war anywhere in the record).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7,937</w:t>
            </w:r>
          </w:p>
        </w:tc>
        <w:tc>
          <w:tcPr>
            <w:tcW w:type="dxa" w:w="1037"/>
          </w:tcPr>
          <w:p>
            <w:pPr>
              <w:spacing w:after="20"/>
              <w:jc w:val="right"/>
            </w:pPr>
            <w:r>
              <w:rPr>
                <w:color w:val="1C3A36"/>
                <w:sz w:val="16"/>
              </w:rPr>
              <w:t>8,239</w:t>
            </w:r>
          </w:p>
        </w:tc>
        <w:tc>
          <w:tcPr>
            <w:tcW w:type="dxa" w:w="1037"/>
          </w:tcPr>
          <w:p>
            <w:pPr>
              <w:spacing w:after="20"/>
              <w:jc w:val="right"/>
            </w:pPr>
            <w:r>
              <w:rPr>
                <w:color w:val="1C3A36"/>
                <w:sz w:val="16"/>
              </w:rPr>
              <w:t>8,624</w:t>
            </w:r>
          </w:p>
        </w:tc>
        <w:tc>
          <w:tcPr>
            <w:tcW w:type="dxa" w:w="1037"/>
          </w:tcPr>
          <w:p>
            <w:pPr>
              <w:spacing w:after="20"/>
              <w:jc w:val="right"/>
            </w:pPr>
            <w:r>
              <w:rPr>
                <w:color w:val="1C3A36"/>
                <w:sz w:val="16"/>
              </w:rPr>
              <w:t>8,977</w:t>
            </w:r>
          </w:p>
        </w:tc>
        <w:tc>
          <w:tcPr>
            <w:tcW w:type="dxa" w:w="1037"/>
          </w:tcPr>
          <w:p>
            <w:pPr>
              <w:spacing w:after="20"/>
              <w:jc w:val="right"/>
            </w:pPr>
            <w:r>
              <w:rPr>
                <w:color w:val="1C3A36"/>
                <w:sz w:val="16"/>
              </w:rPr>
              <w:t>9,309</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r>
    </w:tbl>
    <w:p>
      <w:pPr>
        <w:spacing w:after="40"/>
      </w:pPr>
    </w:p>
    <w:p>
      <w:pPr>
        <w:spacing w:after="200" w:before="0"/>
      </w:pPr>
      <w:r>
        <w:rPr>
          <w:b w:val="0"/>
          <w:i/>
          <w:color w:val="6E7B77"/>
          <w:sz w:val="17"/>
        </w:rPr>
        <w:t>Table 6 — the build's output. FY2026E growth of +4.3% lands inside the company's own revised 4-6% guidance. EVERY MARGIN IN THIS TABLE IS AN OUTPUT. Nothing about profitability is assumed: each cost line is grown on its own physical driver and the margin is whatever is left. On the direct-cost side that means mobile carries three separate per-subscriber costs — interconnect, which falls as termination rates ratchet down and terminated traffic migrates to messaging apps; commission, which rises with the cost of winning and keeping a customer; and a small, lumpy device line held flat — while fixed carries a per-subscriber capacity cost and wholesale and ICT carry a cost rate on their own revenue, because the company discloses no volume unit for either. On the operating-cost side, wages escalate on UAE wage inflation, network on network scale, the licence fee and credit losses on revenue, administration on CPI — never one blended index across physically different costs. Two things a reader should be able to see. First, the group gross margin 67.9% -&gt; 67.2% DECLINES even though not one segment margin declines: that is mix, not erosion — ICT is the fastest-growing segment and by far the thinnest, so it dilutes the group as it grows. A single blended margin assumption cannot show that, which is the argument for building this way. Second, total operating expenses before depreciation RISE 0.7% in FY2026E against the audited 2025 figure. In an earlier edition of this study they fell, because the staff line was built on a mis-stated seasonal ratio — which made margin expansion an artefact of one input rather than an output of the build.</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margin is flat by construction of the disclosed contribution margins and the escalating cost stack.</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2.5%</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10.09x forward EBITDA</w:t>
            </w:r>
          </w:p>
        </w:tc>
        <w:tc>
          <w:tcPr>
            <w:tcW w:type="dxa" w:w="3600"/>
          </w:tcPr>
          <w:p>
            <w:pPr>
              <w:spacing w:after="20"/>
              <w:jc w:val="right"/>
            </w:pPr>
            <w:r>
              <w:rPr>
                <w:color w:val="1C3A36"/>
                <w:sz w:val="17"/>
              </w:rPr>
              <w:t>7.56x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18.89</w:t>
            </w:r>
          </w:p>
        </w:tc>
        <w:tc>
          <w:tcPr>
            <w:tcW w:type="dxa" w:w="3600"/>
          </w:tcPr>
          <w:p>
            <w:pPr>
              <w:spacing w:after="20"/>
              <w:jc w:val="right"/>
            </w:pPr>
            <w:r>
              <w:rPr>
                <w:color w:val="1C3A36"/>
                <w:sz w:val="17"/>
              </w:rPr>
              <w:t>14.81</w:t>
            </w:r>
          </w:p>
        </w:tc>
      </w:tr>
      <w:tr>
        <w:tc>
          <w:tcPr>
            <w:tcW w:type="dxa" w:w="2808"/>
          </w:tcPr>
          <w:p>
            <w:pPr>
              <w:spacing w:after="20"/>
            </w:pPr>
            <w:r>
              <w:rPr>
                <w:color w:val="1C3A36"/>
                <w:sz w:val="17"/>
              </w:rPr>
              <w:t>Weighted central on the same lens set</w:t>
            </w:r>
          </w:p>
        </w:tc>
        <w:tc>
          <w:tcPr>
            <w:tcW w:type="dxa" w:w="3672"/>
          </w:tcPr>
          <w:p>
            <w:pPr>
              <w:spacing w:after="20"/>
              <w:jc w:val="right"/>
            </w:pPr>
            <w:r>
              <w:rPr>
                <w:color w:val="1C3A36"/>
                <w:sz w:val="17"/>
              </w:rPr>
              <w:t>13.90</w:t>
            </w:r>
          </w:p>
        </w:tc>
        <w:tc>
          <w:tcPr>
            <w:tcW w:type="dxa" w:w="3600"/>
          </w:tcPr>
          <w:p>
            <w:pPr>
              <w:spacing w:after="20"/>
              <w:jc w:val="right"/>
            </w:pPr>
            <w:r>
              <w:rPr>
                <w:color w:val="1C3A36"/>
                <w:sz w:val="17"/>
              </w:rPr>
              <w:t>12.07</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4.08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7 — the study's central judgement, both ways. The cash-flow lens rests on du's own measured beta of 0.488, which prices its equity at 6.53%. That is internally consistent — but the terminal it produces values du at 10.09 times forward EBITDA forever, against the 7.56 times the market pays today: a 34% re-rating embedded in a figure presented as intrinsic value. Framing 2 simply declines to assume it. This is the honest form of the observation that 83%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1.60 per share, so the regression's own 90% interval (0.35 to 0.62) spans AED 16.41 to 22.40, and a sector-average 0.80 gives AED 13.89. On the terminal leg: each turn of the exit multiple is worth about AED 1.61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16.11 per share, against AED 18.89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0.61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6.41%</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8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6.32%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18.89 to AED 13.89 — close to the spot price. The market, at 19.2×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Jan-2031 AED print vs 10y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17.90 vs 18.89 (-0.99)</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6.41% vs 6.32%;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18.89 vs 13.89</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10.09x implied</w:t>
            </w:r>
          </w:p>
        </w:tc>
        <w:tc>
          <w:tcPr>
            <w:tcW w:type="dxa" w:w="1584"/>
          </w:tcPr>
          <w:p>
            <w:pPr>
              <w:spacing w:after="20"/>
              <w:jc w:val="right"/>
            </w:pPr>
            <w:r>
              <w:rPr>
                <w:color w:val="1C3A36"/>
                <w:sz w:val="16"/>
              </w:rPr>
              <w:t>7.56x held</w:t>
            </w:r>
          </w:p>
        </w:tc>
        <w:tc>
          <w:tcPr>
            <w:tcW w:type="dxa" w:w="3024"/>
          </w:tcPr>
          <w:p>
            <w:pPr>
              <w:spacing w:after="20"/>
              <w:jc w:val="right"/>
            </w:pPr>
            <w:r>
              <w:rPr>
                <w:color w:val="1C3A36"/>
                <w:sz w:val="16"/>
              </w:rPr>
              <w:t>18.89 vs 14.81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51.1%</w:t>
            </w:r>
          </w:p>
        </w:tc>
        <w:tc>
          <w:tcPr>
            <w:tcW w:type="dxa" w:w="3024"/>
          </w:tcPr>
          <w:p>
            <w:pPr>
              <w:spacing w:after="20"/>
              <w:jc w:val="right"/>
            </w:pPr>
            <w:r>
              <w:rPr>
                <w:color w:val="1C3A36"/>
                <w:sz w:val="16"/>
              </w:rPr>
              <w:t>18.89 vs 16.11</w:t>
            </w:r>
          </w:p>
        </w:tc>
      </w:tr>
    </w:tbl>
    <w:p>
      <w:pPr>
        <w:spacing w:after="40"/>
      </w:pPr>
    </w:p>
    <w:p>
      <w:pPr>
        <w:spacing w:after="200" w:before="0"/>
      </w:pPr>
      <w:r>
        <w:rPr>
          <w:b w:val="0"/>
          <w:i/>
          <w:color w:val="6E7B77"/>
          <w:sz w:val="17"/>
        </w:rPr>
        <w:t>Table 9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Bold cells sit within about 80 fils of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22.40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16.41</w:t>
            </w:r>
          </w:p>
        </w:tc>
        <w:tc>
          <w:tcPr>
            <w:tcW w:type="dxa" w:w="1008"/>
          </w:tcPr>
          <w:p>
            <w:pPr>
              <w:spacing w:after="20"/>
              <w:jc w:val="right"/>
            </w:pPr>
            <w:r>
              <w:rPr>
                <w:color w:val="1C3A36"/>
                <w:sz w:val="16"/>
              </w:rPr>
              <w:t>15.93</w:t>
            </w:r>
          </w:p>
        </w:tc>
        <w:tc>
          <w:tcPr>
            <w:tcW w:type="dxa" w:w="1008"/>
          </w:tcPr>
          <w:p>
            <w:pPr>
              <w:spacing w:after="20"/>
              <w:jc w:val="right"/>
            </w:pPr>
            <w:r>
              <w:rPr>
                <w:color w:val="1C3A36"/>
                <w:sz w:val="16"/>
              </w:rPr>
              <w:t>13.89</w:t>
            </w:r>
          </w:p>
        </w:tc>
        <w:tc>
          <w:tcPr>
            <w:tcW w:type="dxa" w:w="1008"/>
          </w:tcPr>
          <w:p>
            <w:pPr>
              <w:spacing w:after="20"/>
              <w:jc w:val="right"/>
            </w:pPr>
            <w:r>
              <w:rPr>
                <w:color w:val="1C3A36"/>
                <w:sz w:val="16"/>
              </w:rPr>
              <w:t>8.51</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20.23</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17.60</w:t>
            </w:r>
          </w:p>
        </w:tc>
        <w:tc>
          <w:tcPr>
            <w:tcW w:type="dxa" w:w="1008"/>
          </w:tcPr>
          <w:p>
            <w:pPr>
              <w:spacing w:after="20"/>
              <w:jc w:val="right"/>
            </w:pPr>
            <w:r>
              <w:rPr>
                <w:color w:val="1C3A36"/>
                <w:sz w:val="16"/>
              </w:rPr>
              <w:t>16.47</w:t>
            </w:r>
          </w:p>
        </w:tc>
        <w:tc>
          <w:tcPr>
            <w:tcW w:type="dxa" w:w="1008"/>
          </w:tcPr>
          <w:p>
            <w:pPr>
              <w:spacing w:after="20"/>
              <w:jc w:val="right"/>
            </w:pPr>
            <w:r>
              <w:rPr>
                <w:color w:val="1C3A36"/>
                <w:sz w:val="16"/>
              </w:rPr>
              <w:t>15.31</w:t>
            </w:r>
          </w:p>
        </w:tc>
        <w:tc>
          <w:tcPr>
            <w:tcW w:type="dxa" w:w="1008"/>
          </w:tcPr>
          <w:p>
            <w:pPr>
              <w:spacing w:after="20"/>
              <w:jc w:val="right"/>
            </w:pPr>
            <w:r>
              <w:rPr>
                <w:color w:val="1C3A36"/>
                <w:sz w:val="16"/>
              </w:rPr>
              <w:t>4.92</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16.00</w:t>
            </w:r>
          </w:p>
        </w:tc>
        <w:tc>
          <w:tcPr>
            <w:tcW w:type="dxa" w:w="1008"/>
          </w:tcPr>
          <w:p>
            <w:pPr>
              <w:spacing w:after="20"/>
              <w:jc w:val="right"/>
            </w:pPr>
            <w:r>
              <w:rPr>
                <w:color w:val="1C3A36"/>
                <w:sz w:val="16"/>
              </w:rPr>
              <w:t>17.45</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21.78</w:t>
            </w:r>
          </w:p>
        </w:tc>
        <w:tc>
          <w:tcPr>
            <w:tcW w:type="dxa" w:w="1008"/>
          </w:tcPr>
          <w:p>
            <w:pPr>
              <w:spacing w:after="20"/>
              <w:jc w:val="right"/>
            </w:pPr>
            <w:r>
              <w:rPr>
                <w:color w:val="1C3A36"/>
                <w:sz w:val="16"/>
              </w:rPr>
              <w:t>5.77</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17.95</w:t>
            </w:r>
          </w:p>
        </w:tc>
        <w:tc>
          <w:tcPr>
            <w:tcW w:type="dxa" w:w="1008"/>
          </w:tcPr>
          <w:p>
            <w:pPr>
              <w:spacing w:after="20"/>
              <w:jc w:val="right"/>
            </w:pPr>
            <w:r>
              <w:rPr>
                <w:color w:val="1C3A36"/>
                <w:sz w:val="16"/>
              </w:rPr>
              <w:t>18.42</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19.36</w:t>
            </w:r>
          </w:p>
        </w:tc>
        <w:tc>
          <w:tcPr>
            <w:tcW w:type="dxa" w:w="1008"/>
          </w:tcPr>
          <w:p>
            <w:pPr>
              <w:spacing w:after="20"/>
              <w:jc w:val="right"/>
            </w:pPr>
            <w:r>
              <w:rPr>
                <w:color w:val="1C3A36"/>
                <w:sz w:val="16"/>
              </w:rPr>
              <w:t>19.83</w:t>
            </w:r>
          </w:p>
        </w:tc>
        <w:tc>
          <w:tcPr>
            <w:tcW w:type="dxa" w:w="1008"/>
          </w:tcPr>
          <w:p>
            <w:pPr>
              <w:spacing w:after="20"/>
              <w:jc w:val="right"/>
            </w:pPr>
            <w:r>
              <w:rPr>
                <w:color w:val="1C3A36"/>
                <w:sz w:val="16"/>
              </w:rPr>
              <w:t>1.88</w:t>
            </w:r>
          </w:p>
        </w:tc>
      </w:tr>
      <w:tr>
        <w:tc>
          <w:tcPr>
            <w:tcW w:type="dxa" w:w="3744"/>
          </w:tcPr>
          <w:p>
            <w:pPr>
              <w:spacing w:after="20"/>
            </w:pPr>
            <w:r>
              <w:rPr>
                <w:color w:val="1C3A36"/>
                <w:sz w:val="16"/>
              </w:rPr>
              <w:t>Direct cost per unit (×)  (0.94 / 0.97 / 1.00 / 1.03 / 1.06)</w:t>
            </w:r>
          </w:p>
        </w:tc>
        <w:tc>
          <w:tcPr>
            <w:tcW w:type="dxa" w:w="1008"/>
          </w:tcPr>
          <w:p>
            <w:pPr>
              <w:spacing w:after="20"/>
              <w:jc w:val="right"/>
            </w:pPr>
            <w:r>
              <w:rPr>
                <w:color w:val="1C3A36"/>
                <w:sz w:val="16"/>
              </w:rPr>
              <w:t>20.08</w:t>
            </w:r>
          </w:p>
        </w:tc>
        <w:tc>
          <w:tcPr>
            <w:tcW w:type="dxa" w:w="1008"/>
          </w:tcPr>
          <w:p>
            <w:pPr>
              <w:spacing w:after="20"/>
              <w:jc w:val="right"/>
            </w:pPr>
            <w:r>
              <w:rPr>
                <w:color w:val="1C3A36"/>
                <w:sz w:val="16"/>
              </w:rPr>
              <w:t>19.48</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18.30</w:t>
            </w:r>
          </w:p>
        </w:tc>
        <w:tc>
          <w:tcPr>
            <w:tcW w:type="dxa" w:w="1008"/>
          </w:tcPr>
          <w:p>
            <w:pPr>
              <w:spacing w:after="20"/>
              <w:jc w:val="right"/>
            </w:pPr>
            <w:r>
              <w:rPr>
                <w:color w:val="1C3A36"/>
                <w:sz w:val="16"/>
              </w:rPr>
              <w:t>17.70</w:t>
            </w:r>
          </w:p>
        </w:tc>
        <w:tc>
          <w:tcPr>
            <w:tcW w:type="dxa" w:w="1008"/>
          </w:tcPr>
          <w:p>
            <w:pPr>
              <w:spacing w:after="20"/>
              <w:jc w:val="right"/>
            </w:pPr>
            <w:r>
              <w:rPr>
                <w:color w:val="1C3A36"/>
                <w:sz w:val="16"/>
              </w:rPr>
              <w:t>2.37</w:t>
            </w:r>
          </w:p>
        </w:tc>
      </w:tr>
      <w:tr>
        <w:tc>
          <w:tcPr>
            <w:tcW w:type="dxa" w:w="3744"/>
          </w:tcPr>
          <w:p>
            <w:pPr>
              <w:spacing w:after="20"/>
            </w:pPr>
            <w:r>
              <w:rPr>
                <w:color w:val="1C3A36"/>
                <w:sz w:val="16"/>
              </w:rPr>
              <w:t>Blended ARPU drift (%/yr)  (-2.5% / -1.5% / +0.0% / +0.5% / +1.0%)</w:t>
            </w:r>
          </w:p>
        </w:tc>
        <w:tc>
          <w:tcPr>
            <w:tcW w:type="dxa" w:w="1008"/>
          </w:tcPr>
          <w:p>
            <w:pPr>
              <w:spacing w:after="20"/>
              <w:jc w:val="right"/>
            </w:pPr>
            <w:r>
              <w:rPr>
                <w:color w:val="1C3A36"/>
                <w:sz w:val="16"/>
              </w:rPr>
              <w:t>15.47</w:t>
            </w:r>
          </w:p>
        </w:tc>
        <w:tc>
          <w:tcPr>
            <w:tcW w:type="dxa" w:w="1008"/>
          </w:tcPr>
          <w:p>
            <w:pPr>
              <w:spacing w:after="20"/>
              <w:jc w:val="right"/>
            </w:pPr>
            <w:r>
              <w:rPr>
                <w:color w:val="1C3A36"/>
                <w:sz w:val="16"/>
              </w:rPr>
              <w:t>16.81</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19.61</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4.86</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19.92</w:t>
            </w:r>
          </w:p>
        </w:tc>
        <w:tc>
          <w:tcPr>
            <w:tcW w:type="dxa" w:w="1008"/>
          </w:tcPr>
          <w:p>
            <w:pPr>
              <w:spacing w:after="20"/>
              <w:jc w:val="right"/>
            </w:pPr>
            <w:r>
              <w:rPr>
                <w:color w:val="1C3A36"/>
                <w:sz w:val="16"/>
              </w:rPr>
              <w:t>19.40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18.21</w:t>
            </w:r>
          </w:p>
        </w:tc>
        <w:tc>
          <w:tcPr>
            <w:tcW w:type="dxa" w:w="1008"/>
          </w:tcPr>
          <w:p>
            <w:pPr>
              <w:spacing w:after="20"/>
              <w:jc w:val="right"/>
            </w:pPr>
            <w:r>
              <w:rPr>
                <w:color w:val="1C3A36"/>
                <w:sz w:val="16"/>
              </w:rPr>
              <w:t>17.53</w:t>
            </w:r>
          </w:p>
        </w:tc>
        <w:tc>
          <w:tcPr>
            <w:tcW w:type="dxa" w:w="1008"/>
          </w:tcPr>
          <w:p>
            <w:pPr>
              <w:spacing w:after="20"/>
              <w:jc w:val="right"/>
            </w:pPr>
            <w:r>
              <w:rPr>
                <w:color w:val="1C3A36"/>
                <w:sz w:val="16"/>
              </w:rPr>
              <w:t>2.39</w:t>
            </w:r>
          </w:p>
        </w:tc>
      </w:tr>
      <w:tr>
        <w:tc>
          <w:tcPr>
            <w:tcW w:type="dxa" w:w="3744"/>
          </w:tcPr>
          <w:p>
            <w:pPr>
              <w:spacing w:after="20"/>
            </w:pPr>
            <w:r>
              <w:rPr>
                <w:color w:val="1C3A36"/>
                <w:sz w:val="16"/>
              </w:rPr>
              <w:t>Terminal ROIC  (18% / 22% / 27% / 30% / 34%)</w:t>
            </w:r>
          </w:p>
        </w:tc>
        <w:tc>
          <w:tcPr>
            <w:tcW w:type="dxa" w:w="1008"/>
          </w:tcPr>
          <w:p>
            <w:pPr>
              <w:spacing w:after="20"/>
              <w:jc w:val="right"/>
            </w:pPr>
            <w:r>
              <w:rPr>
                <w:color w:val="1C3A36"/>
                <w:sz w:val="16"/>
              </w:rPr>
              <w:t>18.04</w:t>
            </w:r>
          </w:p>
        </w:tc>
        <w:tc>
          <w:tcPr>
            <w:tcW w:type="dxa" w:w="1008"/>
          </w:tcPr>
          <w:p>
            <w:pPr>
              <w:spacing w:after="20"/>
              <w:jc w:val="right"/>
            </w:pPr>
            <w:r>
              <w:rPr>
                <w:color w:val="1C3A36"/>
                <w:sz w:val="16"/>
              </w:rPr>
              <w:t>18.49</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19.03</w:t>
            </w:r>
          </w:p>
        </w:tc>
        <w:tc>
          <w:tcPr>
            <w:tcW w:type="dxa" w:w="1008"/>
          </w:tcPr>
          <w:p>
            <w:pPr>
              <w:spacing w:after="20"/>
              <w:jc w:val="right"/>
            </w:pPr>
            <w:r>
              <w:rPr>
                <w:color w:val="1C3A36"/>
                <w:sz w:val="16"/>
              </w:rPr>
              <w:t>19.21</w:t>
            </w:r>
          </w:p>
        </w:tc>
        <w:tc>
          <w:tcPr>
            <w:tcW w:type="dxa" w:w="1008"/>
          </w:tcPr>
          <w:p>
            <w:pPr>
              <w:spacing w:after="20"/>
              <w:jc w:val="right"/>
            </w:pPr>
            <w:r>
              <w:rPr>
                <w:color w:val="1C3A36"/>
                <w:sz w:val="16"/>
              </w:rPr>
              <w:t>1.17</w:t>
            </w:r>
          </w:p>
        </w:tc>
      </w:tr>
    </w:tbl>
    <w:p>
      <w:pPr>
        <w:spacing w:after="40"/>
      </w:pPr>
    </w:p>
    <w:p>
      <w:pPr>
        <w:spacing w:after="200" w:before="0"/>
      </w:pPr>
      <w:r>
        <w:rPr>
          <w:b w:val="0"/>
          <w:i/>
          <w:color w:val="6E7B77"/>
          <w:sz w:val="17"/>
        </w:rPr>
        <w:t>Table 10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+35.9%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13.90;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18.89; the two market-anchored lenses read AED 8.86 and AED 8.87; the book lens AED 14.12.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16.11); the measured beta understates the true risk of a single-market, single-licence operator (beta 0.80 alone takes the DCF to AED 13.89); or terminal reinvestment needs are heavier than 9.1% of profit. The weighted central of AED 13.90 embodies exactly this balance: it leans toward the cash flows but pays the market-anchored lenses the 45% respect their discipline has earned — while noting, as 1.4 does, that those two lenses are one reading of one multiple, not two.</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18.89 versus AED 16.11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0.61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0.70; at the regional benchmark yield that alone is worth AED 14.24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13.90 sits inside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at the cone's top the share would still sit below the cash-flow lens but at the weighted central.</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83%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ARPU breaking below AED 60 without a mix explanation;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7,937</w:t>
            </w:r>
          </w:p>
        </w:tc>
        <w:tc>
          <w:tcPr>
            <w:tcW w:type="dxa" w:w="907"/>
            <w:shd w:val="clear" w:color="auto" w:fill="F6F1E6"/>
          </w:tcPr>
          <w:p>
            <w:pPr>
              <w:spacing w:after="20"/>
              <w:jc w:val="right"/>
            </w:pPr>
            <w:r>
              <w:rPr>
                <w:b/>
                <w:color w:val="1C3A36"/>
                <w:sz w:val="16"/>
              </w:rPr>
              <w:t>8,239</w:t>
            </w:r>
          </w:p>
        </w:tc>
        <w:tc>
          <w:tcPr>
            <w:tcW w:type="dxa" w:w="907"/>
            <w:shd w:val="clear" w:color="auto" w:fill="F6F1E6"/>
          </w:tcPr>
          <w:p>
            <w:pPr>
              <w:spacing w:after="20"/>
              <w:jc w:val="right"/>
            </w:pPr>
            <w:r>
              <w:rPr>
                <w:b/>
                <w:color w:val="1C3A36"/>
                <w:sz w:val="16"/>
              </w:rPr>
              <w:t>8,624</w:t>
            </w:r>
          </w:p>
        </w:tc>
        <w:tc>
          <w:tcPr>
            <w:tcW w:type="dxa" w:w="907"/>
            <w:shd w:val="clear" w:color="auto" w:fill="F6F1E6"/>
          </w:tcPr>
          <w:p>
            <w:pPr>
              <w:spacing w:after="20"/>
              <w:jc w:val="right"/>
            </w:pPr>
            <w:r>
              <w:rPr>
                <w:b/>
                <w:color w:val="1C3A36"/>
                <w:sz w:val="16"/>
              </w:rPr>
              <w:t>8,977</w:t>
            </w:r>
          </w:p>
        </w:tc>
        <w:tc>
          <w:tcPr>
            <w:tcW w:type="dxa" w:w="907"/>
            <w:shd w:val="clear" w:color="auto" w:fill="F6F1E6"/>
          </w:tcPr>
          <w:p>
            <w:pPr>
              <w:spacing w:after="20"/>
              <w:jc w:val="right"/>
            </w:pPr>
            <w:r>
              <w:rPr>
                <w:b/>
                <w:color w:val="1C3A36"/>
                <w:sz w:val="16"/>
              </w:rPr>
              <w:t>9,309</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5,702</w:t>
            </w:r>
          </w:p>
        </w:tc>
        <w:tc>
          <w:tcPr>
            <w:tcW w:type="dxa" w:w="907"/>
          </w:tcPr>
          <w:p>
            <w:pPr>
              <w:spacing w:after="20"/>
              <w:jc w:val="right"/>
            </w:pPr>
            <w:r>
              <w:rPr>
                <w:color w:val="1C3A36"/>
                <w:sz w:val="16"/>
              </w:rPr>
              <w:t>5,887</w:t>
            </w:r>
          </w:p>
        </w:tc>
        <w:tc>
          <w:tcPr>
            <w:tcW w:type="dxa" w:w="907"/>
          </w:tcPr>
          <w:p>
            <w:pPr>
              <w:spacing w:after="20"/>
              <w:jc w:val="right"/>
            </w:pPr>
            <w:r>
              <w:rPr>
                <w:color w:val="1C3A36"/>
                <w:sz w:val="16"/>
              </w:rPr>
              <w:t>6,176</w:t>
            </w:r>
          </w:p>
        </w:tc>
        <w:tc>
          <w:tcPr>
            <w:tcW w:type="dxa" w:w="907"/>
          </w:tcPr>
          <w:p>
            <w:pPr>
              <w:spacing w:after="20"/>
              <w:jc w:val="right"/>
            </w:pPr>
            <w:r>
              <w:rPr>
                <w:color w:val="1C3A36"/>
                <w:sz w:val="16"/>
              </w:rPr>
              <w:t>6,446</w:t>
            </w:r>
          </w:p>
        </w:tc>
        <w:tc>
          <w:tcPr>
            <w:tcW w:type="dxa" w:w="907"/>
          </w:tcPr>
          <w:p>
            <w:pPr>
              <w:spacing w:after="20"/>
              <w:jc w:val="right"/>
            </w:pPr>
            <w:r>
              <w:rPr>
                <w:color w:val="1C3A36"/>
                <w:sz w:val="16"/>
              </w:rPr>
              <w:t>6,727</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5,706</w:t>
            </w:r>
          </w:p>
        </w:tc>
        <w:tc>
          <w:tcPr>
            <w:tcW w:type="dxa" w:w="907"/>
          </w:tcPr>
          <w:p>
            <w:pPr>
              <w:spacing w:after="20"/>
              <w:jc w:val="right"/>
            </w:pPr>
            <w:r>
              <w:rPr>
                <w:color w:val="1C3A36"/>
                <w:sz w:val="16"/>
              </w:rPr>
              <w:t>5,884</w:t>
            </w:r>
          </w:p>
        </w:tc>
        <w:tc>
          <w:tcPr>
            <w:tcW w:type="dxa" w:w="907"/>
          </w:tcPr>
          <w:p>
            <w:pPr>
              <w:spacing w:after="20"/>
              <w:jc w:val="right"/>
            </w:pPr>
            <w:r>
              <w:rPr>
                <w:color w:val="1C3A36"/>
                <w:sz w:val="16"/>
              </w:rPr>
              <w:t>6,168</w:t>
            </w:r>
          </w:p>
        </w:tc>
        <w:tc>
          <w:tcPr>
            <w:tcW w:type="dxa" w:w="907"/>
          </w:tcPr>
          <w:p>
            <w:pPr>
              <w:spacing w:after="20"/>
              <w:jc w:val="right"/>
            </w:pPr>
            <w:r>
              <w:rPr>
                <w:color w:val="1C3A36"/>
                <w:sz w:val="16"/>
              </w:rPr>
              <w:t>6,438</w:t>
            </w:r>
          </w:p>
        </w:tc>
        <w:tc>
          <w:tcPr>
            <w:tcW w:type="dxa" w:w="907"/>
          </w:tcPr>
          <w:p>
            <w:pPr>
              <w:spacing w:after="20"/>
              <w:jc w:val="right"/>
            </w:pPr>
            <w:r>
              <w:rPr>
                <w:color w:val="1C3A36"/>
                <w:sz w:val="16"/>
              </w:rPr>
              <w:t>6,723</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-2,486</w:t>
            </w:r>
          </w:p>
        </w:tc>
        <w:tc>
          <w:tcPr>
            <w:tcW w:type="dxa" w:w="907"/>
            <w:shd w:val="clear" w:color="auto" w:fill="F6F1E6"/>
          </w:tcPr>
          <w:p>
            <w:pPr>
              <w:spacing w:after="20"/>
              <w:jc w:val="right"/>
            </w:pPr>
            <w:r>
              <w:rPr>
                <w:b/>
                <w:color w:val="1C3A36"/>
                <w:sz w:val="16"/>
              </w:rPr>
              <w:t>-2,564</w:t>
            </w:r>
          </w:p>
        </w:tc>
        <w:tc>
          <w:tcPr>
            <w:tcW w:type="dxa" w:w="907"/>
            <w:shd w:val="clear" w:color="auto" w:fill="F6F1E6"/>
          </w:tcPr>
          <w:p>
            <w:pPr>
              <w:spacing w:after="20"/>
              <w:jc w:val="right"/>
            </w:pPr>
            <w:r>
              <w:rPr>
                <w:b/>
                <w:color w:val="1C3A36"/>
                <w:sz w:val="16"/>
              </w:rPr>
              <w:t>-2,688</w:t>
            </w:r>
          </w:p>
        </w:tc>
        <w:tc>
          <w:tcPr>
            <w:tcW w:type="dxa" w:w="907"/>
            <w:shd w:val="clear" w:color="auto" w:fill="F6F1E6"/>
          </w:tcPr>
          <w:p>
            <w:pPr>
              <w:spacing w:after="20"/>
              <w:jc w:val="right"/>
            </w:pPr>
            <w:r>
              <w:rPr>
                <w:b/>
                <w:color w:val="1C3A36"/>
                <w:sz w:val="16"/>
              </w:rPr>
              <w:t>-2,805</w:t>
            </w:r>
          </w:p>
        </w:tc>
        <w:tc>
          <w:tcPr>
            <w:tcW w:type="dxa" w:w="907"/>
            <w:shd w:val="clear" w:color="auto" w:fill="F6F1E6"/>
          </w:tcPr>
          <w:p>
            <w:pPr>
              <w:spacing w:after="20"/>
              <w:jc w:val="right"/>
            </w:pPr>
            <w:r>
              <w:rPr>
                <w:b/>
                <w:color w:val="1C3A36"/>
                <w:sz w:val="16"/>
              </w:rPr>
              <w:t>-2,929</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3,220</w:t>
            </w:r>
          </w:p>
        </w:tc>
        <w:tc>
          <w:tcPr>
            <w:tcW w:type="dxa" w:w="907"/>
          </w:tcPr>
          <w:p>
            <w:pPr>
              <w:spacing w:after="20"/>
              <w:jc w:val="right"/>
            </w:pPr>
            <w:r>
              <w:rPr>
                <w:color w:val="1C3A36"/>
                <w:sz w:val="16"/>
              </w:rPr>
              <w:t>3,320</w:t>
            </w:r>
          </w:p>
        </w:tc>
        <w:tc>
          <w:tcPr>
            <w:tcW w:type="dxa" w:w="907"/>
          </w:tcPr>
          <w:p>
            <w:pPr>
              <w:spacing w:after="20"/>
              <w:jc w:val="right"/>
            </w:pPr>
            <w:r>
              <w:rPr>
                <w:color w:val="1C3A36"/>
                <w:sz w:val="16"/>
              </w:rPr>
              <w:t>3,481</w:t>
            </w:r>
          </w:p>
        </w:tc>
        <w:tc>
          <w:tcPr>
            <w:tcW w:type="dxa" w:w="907"/>
          </w:tcPr>
          <w:p>
            <w:pPr>
              <w:spacing w:after="20"/>
              <w:jc w:val="right"/>
            </w:pPr>
            <w:r>
              <w:rPr>
                <w:color w:val="1C3A36"/>
                <w:sz w:val="16"/>
              </w:rPr>
              <w:t>3,633</w:t>
            </w:r>
          </w:p>
        </w:tc>
        <w:tc>
          <w:tcPr>
            <w:tcW w:type="dxa" w:w="907"/>
          </w:tcPr>
          <w:p>
            <w:pPr>
              <w:spacing w:after="20"/>
              <w:jc w:val="right"/>
            </w:pPr>
            <w:r>
              <w:rPr>
                <w:color w:val="1C3A36"/>
                <w:sz w:val="16"/>
              </w:rPr>
              <w:t>3,794</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0.80</w:t>
            </w:r>
          </w:p>
        </w:tc>
        <w:tc>
          <w:tcPr>
            <w:tcW w:type="dxa" w:w="907"/>
          </w:tcPr>
          <w:p>
            <w:pPr>
              <w:spacing w:after="20"/>
              <w:jc w:val="right"/>
            </w:pPr>
            <w:r>
              <w:rPr>
                <w:color w:val="1C3A36"/>
                <w:sz w:val="16"/>
              </w:rPr>
              <w:t>0.84</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0.79</w:t>
            </w:r>
          </w:p>
        </w:tc>
        <w:tc>
          <w:tcPr>
            <w:tcW w:type="dxa" w:w="907"/>
          </w:tcPr>
          <w:p>
            <w:pPr>
              <w:spacing w:after="20"/>
              <w:jc w:val="right"/>
            </w:pPr>
            <w:r>
              <w:rPr>
                <w:color w:val="1C3A36"/>
                <w:sz w:val="16"/>
              </w:rPr>
              <w:t>0.82</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2,023</w:t>
            </w:r>
          </w:p>
        </w:tc>
        <w:tc>
          <w:tcPr>
            <w:tcW w:type="dxa" w:w="907"/>
          </w:tcPr>
          <w:p>
            <w:pPr>
              <w:spacing w:after="20"/>
              <w:jc w:val="right"/>
            </w:pPr>
            <w:r>
              <w:rPr>
                <w:color w:val="1C3A36"/>
                <w:sz w:val="16"/>
              </w:rPr>
              <w:t>1,899</w:t>
            </w:r>
          </w:p>
        </w:tc>
        <w:tc>
          <w:tcPr>
            <w:tcW w:type="dxa" w:w="907"/>
          </w:tcPr>
          <w:p>
            <w:pPr>
              <w:spacing w:after="20"/>
              <w:jc w:val="right"/>
            </w:pPr>
            <w:r>
              <w:rPr>
                <w:color w:val="1C3A36"/>
                <w:sz w:val="16"/>
              </w:rPr>
              <w:t>1,856</w:t>
            </w:r>
          </w:p>
        </w:tc>
        <w:tc>
          <w:tcPr>
            <w:tcW w:type="dxa" w:w="907"/>
          </w:tcPr>
          <w:p>
            <w:pPr>
              <w:spacing w:after="20"/>
              <w:jc w:val="right"/>
            </w:pPr>
            <w:r>
              <w:rPr>
                <w:color w:val="1C3A36"/>
                <w:sz w:val="16"/>
              </w:rPr>
              <w:t>1,979</w:t>
            </w:r>
          </w:p>
        </w:tc>
        <w:tc>
          <w:tcPr>
            <w:tcW w:type="dxa" w:w="907"/>
          </w:tcPr>
          <w:p>
            <w:pPr>
              <w:spacing w:after="20"/>
              <w:jc w:val="right"/>
            </w:pPr>
            <w:r>
              <w:rPr>
                <w:color w:val="1C3A36"/>
                <w:sz w:val="16"/>
              </w:rPr>
              <w:t>2,158</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10,213</w:t>
            </w:r>
          </w:p>
        </w:tc>
        <w:tc>
          <w:tcPr>
            <w:tcW w:type="dxa" w:w="907"/>
            <w:shd w:val="clear" w:color="auto" w:fill="F6F1E6"/>
          </w:tcPr>
          <w:p>
            <w:pPr>
              <w:spacing w:after="20"/>
              <w:jc w:val="right"/>
            </w:pPr>
            <w:r>
              <w:rPr>
                <w:b/>
                <w:color w:val="1C3A36"/>
                <w:sz w:val="16"/>
              </w:rPr>
              <w:t>10,279</w:t>
            </w:r>
          </w:p>
        </w:tc>
        <w:tc>
          <w:tcPr>
            <w:tcW w:type="dxa" w:w="907"/>
            <w:shd w:val="clear" w:color="auto" w:fill="F6F1E6"/>
          </w:tcPr>
          <w:p>
            <w:pPr>
              <w:spacing w:after="20"/>
              <w:jc w:val="right"/>
            </w:pPr>
            <w:r>
              <w:rPr>
                <w:b/>
                <w:color w:val="1C3A36"/>
                <w:sz w:val="16"/>
              </w:rPr>
              <w:t>10,349</w:t>
            </w:r>
          </w:p>
        </w:tc>
        <w:tc>
          <w:tcPr>
            <w:tcW w:type="dxa" w:w="907"/>
            <w:shd w:val="clear" w:color="auto" w:fill="F6F1E6"/>
          </w:tcPr>
          <w:p>
            <w:pPr>
              <w:spacing w:after="20"/>
              <w:jc w:val="right"/>
            </w:pPr>
            <w:r>
              <w:rPr>
                <w:b/>
                <w:color w:val="1C3A36"/>
                <w:sz w:val="16"/>
              </w:rPr>
              <w:t>10,421</w:t>
            </w:r>
          </w:p>
        </w:tc>
        <w:tc>
          <w:tcPr>
            <w:tcW w:type="dxa" w:w="907"/>
            <w:shd w:val="clear" w:color="auto" w:fill="F6F1E6"/>
          </w:tcPr>
          <w:p>
            <w:pPr>
              <w:spacing w:after="20"/>
              <w:jc w:val="right"/>
            </w:pPr>
            <w:r>
              <w:rPr>
                <w:b/>
                <w:color w:val="1C3A36"/>
                <w:sz w:val="16"/>
              </w:rPr>
              <w:t>10,497</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84</w:t>
            </w:r>
          </w:p>
        </w:tc>
        <w:tc>
          <w:tcPr>
            <w:tcW w:type="dxa" w:w="907"/>
          </w:tcPr>
          <w:p>
            <w:pPr>
              <w:spacing w:after="20"/>
              <w:jc w:val="right"/>
            </w:pPr>
            <w:r>
              <w:rPr>
                <w:color w:val="1C3A36"/>
                <w:sz w:val="16"/>
              </w:rPr>
              <w:t>-40</w:t>
            </w:r>
          </w:p>
        </w:tc>
        <w:tc>
          <w:tcPr>
            <w:tcW w:type="dxa" w:w="907"/>
          </w:tcPr>
          <w:p>
            <w:pPr>
              <w:spacing w:after="20"/>
              <w:jc w:val="right"/>
            </w:pPr>
            <w:r>
              <w:rPr>
                <w:color w:val="1C3A36"/>
                <w:sz w:val="16"/>
              </w:rPr>
              <w:t>-83</w:t>
            </w:r>
          </w:p>
        </w:tc>
        <w:tc>
          <w:tcPr>
            <w:tcW w:type="dxa" w:w="907"/>
          </w:tcPr>
          <w:p>
            <w:pPr>
              <w:spacing w:after="20"/>
              <w:jc w:val="right"/>
            </w:pPr>
            <w:r>
              <w:rPr>
                <w:color w:val="1C3A36"/>
                <w:sz w:val="16"/>
              </w:rPr>
              <w:t>40</w:t>
            </w:r>
          </w:p>
        </w:tc>
        <w:tc>
          <w:tcPr>
            <w:tcW w:type="dxa" w:w="907"/>
          </w:tcPr>
          <w:p>
            <w:pPr>
              <w:spacing w:after="20"/>
              <w:jc w:val="right"/>
            </w:pPr>
            <w:r>
              <w:rPr>
                <w:color w:val="1C3A36"/>
                <w:sz w:val="16"/>
              </w:rPr>
              <w:t>219</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10,497mn by FY2030E. The cash walk is the stress line: at a near-total payout plus the data-centre capex peak, cash and term deposits fall from AED 2,250mn to AED 2,158mn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16.11</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0.61/share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13.89</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weight given to market-anchored lenses in the synthesis</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0.77</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(EPS × multiple)</w:t>
            </w:r>
          </w:p>
        </w:tc>
        <w:tc>
          <w:tcPr>
            <w:tcW w:type="dxa" w:w="3312"/>
          </w:tcPr>
          <w:p>
            <w:pPr>
              <w:spacing w:after="20"/>
              <w:jc w:val="right"/>
            </w:pPr>
            <w:r>
              <w:rPr>
                <w:color w:val="1C3A36"/>
                <w:sz w:val="18"/>
              </w:rPr>
              <w:t>11.52</w:t>
            </w:r>
          </w:p>
        </w:tc>
      </w:tr>
      <w:tr>
        <w:tc>
          <w:tcPr>
            <w:tcW w:type="dxa" w:w="6192"/>
          </w:tcPr>
          <w:p>
            <w:pPr>
              <w:spacing w:after="20"/>
            </w:pPr>
            <w:r>
              <w:rPr>
                <w:color w:val="1C3A36"/>
                <w:sz w:val="18"/>
              </w:rPr>
              <w:t>discounted two years at the cost of equity</w:t>
            </w:r>
          </w:p>
        </w:tc>
        <w:tc>
          <w:tcPr>
            <w:tcW w:type="dxa" w:w="3312"/>
          </w:tcPr>
          <w:p>
            <w:pPr>
              <w:spacing w:after="20"/>
              <w:jc w:val="right"/>
            </w:pPr>
            <w:r>
              <w:rPr>
                <w:color w:val="1C3A36"/>
                <w:sz w:val="18"/>
              </w:rPr>
              <w:t>10.15</w:t>
            </w:r>
          </w:p>
        </w:tc>
      </w:tr>
      <w:tr>
        <w:tc>
          <w:tcPr>
            <w:tcW w:type="dxa" w:w="6192"/>
            <w:shd w:val="clear" w:color="auto" w:fill="F6F1E6"/>
          </w:tcPr>
          <w:p>
            <w:pPr>
              <w:spacing w:after="20"/>
            </w:pPr>
            <w:r>
              <w:rPr>
                <w:b/>
                <w:color w:val="1C3A36"/>
                <w:sz w:val="18"/>
              </w:rPr>
              <w:t>× the anchor accretion factor of 1.0387, as every other lens is rolled</w:t>
            </w:r>
          </w:p>
        </w:tc>
        <w:tc>
          <w:tcPr>
            <w:tcW w:type="dxa" w:w="3312"/>
            <w:shd w:val="clear" w:color="auto" w:fill="F6F1E6"/>
          </w:tcPr>
          <w:p>
            <w:pPr>
              <w:spacing w:after="20"/>
              <w:jc w:val="right"/>
            </w:pPr>
            <w:r>
              <w:rPr>
                <w:b/>
                <w:color w:val="1C3A36"/>
                <w:sz w:val="18"/>
              </w:rPr>
              <w:t>12.20</w:t>
            </w:r>
          </w:p>
        </w:tc>
      </w:tr>
      <w:tr>
        <w:tc>
          <w:tcPr>
            <w:tcW w:type="dxa" w:w="6192"/>
          </w:tcPr>
          <w:p>
            <w:pPr>
              <w:spacing w:after="20"/>
            </w:pPr>
            <w:r>
              <w:rPr>
                <w:color w:val="1C3A36"/>
                <w:sz w:val="18"/>
              </w:rPr>
              <w:t>less the dividends gone ex before the anchor</w:t>
            </w:r>
          </w:p>
        </w:tc>
        <w:tc>
          <w:tcPr>
            <w:tcW w:type="dxa" w:w="3312"/>
          </w:tcPr>
          <w:p>
            <w:pPr>
              <w:spacing w:after="20"/>
              <w:jc w:val="right"/>
            </w:pPr>
            <w:r>
              <w:rPr>
                <w:color w:val="1C3A36"/>
                <w:sz w:val="18"/>
              </w:rPr>
              <w:t>0.66</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11.54</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9.56 – 13.19</w:t>
            </w:r>
          </w:p>
        </w:tc>
      </w:tr>
    </w:tbl>
    <w:p>
      <w:pPr>
        <w:spacing w:after="40"/>
      </w:pPr>
    </w:p>
    <w:p>
      <w:pPr>
        <w:spacing w:after="120" w:before="0"/>
      </w:pPr>
      <w:r>
        <w:rPr>
          <w:b w:val="0"/>
          <w:i w:val="0"/>
          <w:color w:val="1C3A36"/>
          <w:sz w:val="21"/>
        </w:rPr>
        <w:t>Named sensitivity: the multiple. Each turn of the multiple is worth AED 0.66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0.70</w:t>
            </w:r>
          </w:p>
        </w:tc>
      </w:tr>
      <w:tr>
        <w:tc>
          <w:tcPr>
            <w:tcW w:type="dxa" w:w="6192"/>
          </w:tcPr>
          <w:p>
            <w:pPr>
              <w:spacing w:after="20"/>
            </w:pPr>
            <w:r>
              <w:rPr>
                <w:color w:val="1C3A36"/>
                <w:sz w:val="18"/>
              </w:rPr>
              <w:t>grown at 2.5% into a perpetuity at the terminal cost of equity 6.35%</w:t>
            </w:r>
          </w:p>
        </w:tc>
        <w:tc>
          <w:tcPr>
            <w:tcW w:type="dxa" w:w="3312"/>
          </w:tcPr>
          <w:p>
            <w:pPr>
              <w:spacing w:after="20"/>
              <w:jc w:val="right"/>
            </w:pPr>
            <w:r>
              <w:rPr>
                <w:color w:val="1C3A36"/>
                <w:sz w:val="18"/>
              </w:rPr>
              <w:t>18.52</w:t>
            </w:r>
          </w:p>
        </w:tc>
      </w:tr>
      <w:tr>
        <w:tc>
          <w:tcPr>
            <w:tcW w:type="dxa" w:w="6192"/>
          </w:tcPr>
          <w:p>
            <w:pPr>
              <w:spacing w:after="20"/>
            </w:pPr>
            <w:r>
              <w:rPr>
                <w:color w:val="1C3A36"/>
                <w:sz w:val="18"/>
              </w:rPr>
              <w:t>× the anchor accretion factor of 1.0387, as every other lens is rolled</w:t>
            </w:r>
          </w:p>
        </w:tc>
        <w:tc>
          <w:tcPr>
            <w:tcW w:type="dxa" w:w="3312"/>
          </w:tcPr>
          <w:p>
            <w:pPr>
              <w:spacing w:after="20"/>
              <w:jc w:val="right"/>
            </w:pPr>
            <w:r>
              <w:rPr>
                <w:color w:val="1C3A36"/>
                <w:sz w:val="18"/>
              </w:rPr>
              <w:t>19.23</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18.57</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9.84 – 21.55</w:t>
            </w:r>
          </w:p>
        </w:tc>
      </w:tr>
    </w:tbl>
    <w:p>
      <w:pPr>
        <w:spacing w:after="40"/>
      </w:pPr>
    </w:p>
    <w:p>
      <w:pPr>
        <w:spacing w:after="120" w:before="0"/>
      </w:pPr>
      <w:r>
        <w:rPr>
          <w:b w:val="0"/>
          <w:i w:val="0"/>
          <w:color w:val="1C3A36"/>
          <w:sz w:val="21"/>
        </w:rPr>
        <w:t>Named sensitivity: the growth-rate spread (Ke − g). At these levels each 50 basis points of spread is worth roughly AED 2.41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11,070</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60,033</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83,127</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18.46</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12.20 – 20.67</w:t>
            </w:r>
          </w:p>
        </w:tc>
      </w:tr>
    </w:tbl>
    <w:p>
      <w:pPr>
        <w:spacing w:after="40"/>
      </w:pPr>
    </w:p>
    <w:p>
      <w:pPr>
        <w:spacing w:after="120" w:before="0"/>
      </w:pPr>
      <w:r>
        <w:rPr>
          <w:b w:val="0"/>
          <w:i w:val="0"/>
          <w:color w:val="1C3A36"/>
          <w:sz w:val="21"/>
        </w:rPr>
        <w:t>The return spread behind it: forecast returns on capital of 26% / 26% / 26% / 26% / 27%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83%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11.54, Expert 2 at AED 18.57, Expert 3 at AED 18.46 — a panel median of AED 18.46.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(11.54) vs Expert 2 (18.57)</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7.04</w:t>
            </w:r>
          </w:p>
        </w:tc>
      </w:tr>
      <w:tr>
        <w:tc>
          <w:tcPr>
            <w:tcW w:type="dxa" w:w="3312"/>
          </w:tcPr>
          <w:p>
            <w:pPr>
              <w:spacing w:after="20"/>
            </w:pPr>
            <w:r>
              <w:rPr>
                <w:color w:val="1C3A36"/>
                <w:sz w:val="17"/>
              </w:rPr>
              <w:t>Expert 2 (18.57) vs Expert 3 (18.46)</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0.11</w:t>
            </w:r>
          </w:p>
        </w:tc>
      </w:tr>
      <w:tr>
        <w:tc>
          <w:tcPr>
            <w:tcW w:type="dxa" w:w="3312"/>
          </w:tcPr>
          <w:p>
            <w:pPr>
              <w:spacing w:after="20"/>
            </w:pPr>
            <w:r>
              <w:rPr>
                <w:color w:val="1C3A36"/>
                <w:sz w:val="17"/>
              </w:rPr>
              <w:t>Panel median vs the study's weighted central (13.90)</w:t>
            </w:r>
          </w:p>
        </w:tc>
        <w:tc>
          <w:tcPr>
            <w:tcW w:type="dxa" w:w="4824"/>
          </w:tcPr>
          <w:p>
            <w:pPr>
              <w:spacing w:after="20"/>
              <w:jc w:val="right"/>
            </w:pPr>
            <w:r>
              <w:rPr>
                <w:color w:val="1C3A36"/>
                <w:sz w:val="17"/>
              </w:rPr>
              <w:t>the synthesis deliberately weights the market-anchored lenses the panel's cash-flow majority does not</w:t>
            </w:r>
          </w:p>
        </w:tc>
        <w:tc>
          <w:tcPr>
            <w:tcW w:type="dxa" w:w="1944"/>
          </w:tcPr>
          <w:p>
            <w:pPr>
              <w:spacing w:after="20"/>
              <w:jc w:val="right"/>
            </w:pPr>
            <w:r>
              <w:rPr>
                <w:color w:val="1C3A36"/>
                <w:sz w:val="17"/>
              </w:rPr>
              <w:t>4.56</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