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Forensic Logic Checks]</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Holding Company Mechanics (NCI Double-Count): In the EV-to-Equity bridge, the analyst deducts BOTH Non-Controlling Interests ($54M) and the "Financial liability over the acquired minorities" ($63M). IFRS 10 dictates that recognizing a put liability against an NCI replaces the minority equity claim. Deducting the debt to buy the minority </w:t>
      </w:r>
      <w:r w:rsidDel="00000000" w:rsidR="00000000" w:rsidRPr="00000000">
        <w:rPr>
          <w:rFonts w:ascii="Arial" w:cs="Arial" w:eastAsia="Arial" w:hAnsi="Arial"/>
          <w:i w:val="1"/>
          <w:iCs w:val="1"/>
          <w:color w:val="1f1f1f"/>
          <w:rtl w:val="0"/>
        </w:rPr>
        <w:t xml:space="preserve">and</w:t>
      </w:r>
      <w:r w:rsidDel="00000000" w:rsidR="00000000" w:rsidRPr="00000000">
        <w:rPr>
          <w:rFonts w:ascii="Arial" w:cs="Arial" w:eastAsia="Arial" w:hAnsi="Arial"/>
          <w:color w:val="1f1f1f"/>
          <w:rtl w:val="0"/>
        </w:rPr>
        <w:t xml:space="preserve"> the minority itself is an illegal double penalty on the parent's equity.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SOTP Contamination (Double-Counting JVs): The Relative Multiples lens applies an 8.66x multiple to a guided EBITDA of $2,250M. The company's group EBITDA includes equity-accounted JV results ($29M in FY25). Thus, the resulting Enterprise Value intrinsically capitalizes the JV earnings. Adding the $462M JV carrying value back in the EV-to-Equity bridge double-counts the asset.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Lens Independence (Phantom Growth): The Normalised Earnings lens claims "no growth credited at all". However, it capitalizes NOPAT at 6.55%, whereas the base WACC is verified at 8.05%. Applying 6.55% implies a WACC - g denominator, actively smuggling a 1.5% perpetual growth rate into a supposedly zero-growth floor lens.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Python Recalculation]</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Adjusted Bridge (Standard): Cash (355) - Debt (2469) - Lease (45) - Put Liab (63) + JV (462) = -$1,760M. (The NCI deduction of $54M is removed to fix the double penalty).</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DCF Continued Expansion: EV $25,997M - $1,760M = $24,237M Eq. Per share = 5.57 AED (Report: 5.55).</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DCF Capacity Plateau: EV $23,079M - $1,760M = $21,319M Eq. Per share = 4.90 AED (Report: 4.88).</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Adjusted Bridge (Multiples): No JV add-back (to fix the double count). Bridge = Cash (355) - Debt (2469) - Lease (45) - Put Liab (63) = -$2,222M.</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Relative Multiples: EV $19,485M (2250 * 8.66) - $2,222M = $17,263M Eq. Per share = 3.96 AED (Report: 4.06).</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Normalised Earnings: EV = $1,554M NOPAT / 0.0805 (True WACC) = $19,304M. Eq = $19,304M - $1,760M (Standard Bridge) = $17,544M. Per share = 4.03 AED (Report: 5.03).</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Book Value &amp; Sustainable Return: 5.71 AED (Mathematically checks out, no structural errors).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Re-weighting: (0.25 * 5.57) + (0.25 * 4.90) + (0.20 * 3.96) + (0.15 * 5.71) + (0.15 * 4.03) = 4.87 AED.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MEMORANDUM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TO:</w:t>
      </w:r>
      <w:r w:rsidDel="00000000" w:rsidR="00000000" w:rsidRPr="00000000">
        <w:rPr>
          <w:rFonts w:ascii="Arial" w:cs="Arial" w:eastAsia="Arial" w:hAnsi="Arial"/>
          <w:color w:val="1f1f1f"/>
          <w:rtl w:val="0"/>
        </w:rPr>
        <w:t xml:space="preserve"> Investment Committee, Goldman Sachs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FROM:</w:t>
      </w:r>
      <w:r w:rsidDel="00000000" w:rsidR="00000000" w:rsidRPr="00000000">
        <w:rPr>
          <w:rFonts w:ascii="Arial" w:cs="Arial" w:eastAsia="Arial" w:hAnsi="Arial"/>
          <w:color w:val="1f1f1f"/>
          <w:rtl w:val="0"/>
        </w:rPr>
        <w:t xml:space="preserve"> Head of Quantitative Model Risk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DATE:</w:t>
      </w:r>
      <w:r w:rsidDel="00000000" w:rsidR="00000000" w:rsidRPr="00000000">
        <w:rPr>
          <w:rFonts w:ascii="Arial" w:cs="Arial" w:eastAsia="Arial" w:hAnsi="Arial"/>
          <w:color w:val="1f1f1f"/>
          <w:rtl w:val="0"/>
        </w:rPr>
        <w:t xml:space="preserve"> 9 August 2026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SUBJECT:</w:t>
      </w:r>
      <w:r w:rsidDel="00000000" w:rsidR="00000000" w:rsidRPr="00000000">
        <w:rPr>
          <w:rFonts w:ascii="Arial" w:cs="Arial" w:eastAsia="Arial" w:hAnsi="Arial"/>
          <w:color w:val="1f1f1f"/>
          <w:rtl w:val="0"/>
        </w:rPr>
        <w:t xml:space="preserve"> Adversarial Audit &amp; Verification — ADNOC Drilling Company P.J.S.C.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PROTOCOL:</w:t>
      </w:r>
      <w:r w:rsidDel="00000000" w:rsidR="00000000" w:rsidRPr="00000000">
        <w:rPr>
          <w:rFonts w:ascii="Arial" w:cs="Arial" w:eastAsia="Arial" w:hAnsi="Arial"/>
          <w:color w:val="1f1f1f"/>
          <w:rtl w:val="0"/>
        </w:rPr>
        <w:t xml:space="preserve"> ZERO-TRUST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your mandate, my desk has executed a forensic adversarial audit of the attached ADNOC Drilling valuation. The model has been empirically fact-checked against 1H 2026 ground truth and deterministically rebuilt from scratch using an isolated Python execution environment.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are the Red Team audit results, executed sequentially across four strict phases.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DATA PROVENANCE &amp; EMPIRICAL GROUNDING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bypassed the model's static assumptions and established an independent baseline using actual Q1/Q2 2026 earnings transcripts, ADX exchange data, and verified macro indicators as of the August 2026 anchor date.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Audit Ledger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Report's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Web-Verified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Variance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Spot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5.94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5.94 - 5.95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ADX Exchange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Shares Outstanding (Net)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15.993B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15.99B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Corporate Filings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Market Capitalization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$25.86B (Implied)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$25.86B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ADX Exchange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FY25 Consolidated Revenue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$4,903M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$4,903M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ADNOC Q4-25 PR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FY25 Consolidated EBITDA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$2,198M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$2,198M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ADNOC Q4-25 PR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 10-Year Yield (Rf)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Fed H.15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UAE Corporate Tax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UAE Tax 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Conclusion:</w:t>
      </w:r>
      <w:r w:rsidDel="00000000" w:rsidR="00000000" w:rsidRPr="00000000">
        <w:rPr>
          <w:rFonts w:ascii="Arial" w:cs="Arial" w:eastAsia="Arial" w:hAnsi="Arial"/>
          <w:color w:val="1f1f1f"/>
          <w:rtl w:val="0"/>
        </w:rPr>
        <w:t xml:space="preserve"> The data provenance passes. The analyst accurately extracted the audited FY25 financials, 1H 2026 interim splits, and macroeconomic WACC building blocks. There are no historical data hallucinations, and algebraic identity (Spot * Shares == Market Cap) holds true.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FORENSIC ACCOUNTING &amp; LOGIC AUDIT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base data is pristine, scrutinizing the financial architecture reveals three severe structural logic traps embedded in the equity bridging and relative valuation lenses:</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Holding Company Mechanics (Double Penalty on Minorities):</w:t>
      </w:r>
      <w:r w:rsidDel="00000000" w:rsidR="00000000" w:rsidRPr="00000000">
        <w:rPr>
          <w:rFonts w:ascii="Arial" w:cs="Arial" w:eastAsia="Arial" w:hAnsi="Arial"/>
          <w:color w:val="1f1f1f"/>
          <w:rtl w:val="0"/>
        </w:rPr>
        <w:t xml:space="preserve"> In the Enterprise Value-to-Equity bridge, the model explicitly deducts </w:t>
      </w:r>
      <w:r w:rsidDel="00000000" w:rsidR="00000000" w:rsidRPr="00000000">
        <w:rPr>
          <w:rFonts w:ascii="Arial" w:cs="Arial" w:eastAsia="Arial" w:hAnsi="Arial"/>
          <w:i w:val="1"/>
          <w:iCs w:val="1"/>
          <w:color w:val="1f1f1f"/>
          <w:rtl w:val="0"/>
        </w:rPr>
        <w:t xml:space="preserve">both</w:t>
      </w:r>
      <w:r w:rsidDel="00000000" w:rsidR="00000000" w:rsidRPr="00000000">
        <w:rPr>
          <w:rFonts w:ascii="Arial" w:cs="Arial" w:eastAsia="Arial" w:hAnsi="Arial"/>
          <w:color w:val="1f1f1f"/>
          <w:rtl w:val="0"/>
        </w:rPr>
        <w:t xml:space="preserve"> the Non-Controlling Interest (NCI) of $54M and the "Financial liability over the acquired minorities" (Put Option) of $63M. This is an illegal double-count under IFRS 10. Because the financial liability already represents the present cash value required to buy out the NCI, deducting the NCI </w:t>
      </w:r>
      <w:r w:rsidDel="00000000" w:rsidR="00000000" w:rsidRPr="00000000">
        <w:rPr>
          <w:rFonts w:ascii="Arial" w:cs="Arial" w:eastAsia="Arial" w:hAnsi="Arial"/>
          <w:i w:val="1"/>
          <w:iCs w:val="1"/>
          <w:color w:val="1f1f1f"/>
          <w:rtl w:val="0"/>
        </w:rPr>
        <w:t xml:space="preserve">as well</w:t>
      </w:r>
      <w:r w:rsidDel="00000000" w:rsidR="00000000" w:rsidRPr="00000000">
        <w:rPr>
          <w:rFonts w:ascii="Arial" w:cs="Arial" w:eastAsia="Arial" w:hAnsi="Arial"/>
          <w:color w:val="1f1f1f"/>
          <w:rtl w:val="0"/>
        </w:rPr>
        <w:t xml:space="preserve"> penalizes the parent equity twice for the exact same minority ownership.</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SOTP Contamination (Double-Counting Joint Ventures):</w:t>
      </w:r>
      <w:r w:rsidDel="00000000" w:rsidR="00000000" w:rsidRPr="00000000">
        <w:rPr>
          <w:rFonts w:ascii="Arial" w:cs="Arial" w:eastAsia="Arial" w:hAnsi="Arial"/>
          <w:color w:val="1f1f1f"/>
          <w:rtl w:val="0"/>
        </w:rPr>
        <w:t xml:space="preserve"> In the Relative Multiples lens, the model applies an 8.66x peer multiple to the company’s </w:t>
      </w:r>
      <w:r w:rsidDel="00000000" w:rsidR="00000000" w:rsidRPr="00000000">
        <w:rPr>
          <w:rFonts w:ascii="Arial" w:cs="Arial" w:eastAsia="Arial" w:hAnsi="Arial"/>
          <w:i w:val="1"/>
          <w:iCs w:val="1"/>
          <w:color w:val="1f1f1f"/>
          <w:rtl w:val="0"/>
        </w:rPr>
        <w:t xml:space="preserve">guided consolidated EBITDA of $2,250M</w:t>
      </w:r>
      <w:r w:rsidDel="00000000" w:rsidR="00000000" w:rsidRPr="00000000">
        <w:rPr>
          <w:rFonts w:ascii="Arial" w:cs="Arial" w:eastAsia="Arial" w:hAnsi="Arial"/>
          <w:color w:val="1f1f1f"/>
          <w:rtl w:val="0"/>
        </w:rPr>
        <w:t xml:space="preserve">. Because the company's EBITDA structurally includes equity-accounted joint venture income (Enersol and Turnwell), the resulting Enterprise Value intrinsically captures these assets. The model then arbitrarily adds the $462M carrying value of the JVs back into the EV-to-Equity bridge. This illegally double-counts the JVs, artificially inflating the output.</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Lens Independence Violation (Smuggled Growth):</w:t>
      </w:r>
      <w:r w:rsidDel="00000000" w:rsidR="00000000" w:rsidRPr="00000000">
        <w:rPr>
          <w:rFonts w:ascii="Arial" w:cs="Arial" w:eastAsia="Arial" w:hAnsi="Arial"/>
          <w:color w:val="1f1f1f"/>
          <w:rtl w:val="0"/>
        </w:rPr>
        <w:t xml:space="preserve"> The "Normalised Earnings Power" lens explicitly professes to credit </w:t>
      </w:r>
      <w:r w:rsidDel="00000000" w:rsidR="00000000" w:rsidRPr="00000000">
        <w:rPr>
          <w:rFonts w:ascii="Arial" w:cs="Arial" w:eastAsia="Arial" w:hAnsi="Arial"/>
          <w:i w:val="1"/>
          <w:iCs w:val="1"/>
          <w:color w:val="1f1f1f"/>
          <w:rtl w:val="0"/>
        </w:rPr>
        <w:t xml:space="preserve">"no growth credited"</w:t>
      </w:r>
      <w:r w:rsidDel="00000000" w:rsidR="00000000" w:rsidRPr="00000000">
        <w:rPr>
          <w:rFonts w:ascii="Arial" w:cs="Arial" w:eastAsia="Arial" w:hAnsi="Arial"/>
          <w:color w:val="1f1f1f"/>
          <w:rtl w:val="0"/>
        </w:rPr>
        <w:t xml:space="preserve"> by analyzing only the installed fleet. However, it capitalizes the generated NOPAT using a rate of </w:t>
      </w:r>
      <w:r w:rsidDel="00000000" w:rsidR="00000000" w:rsidRPr="00000000">
        <w:rPr>
          <w:rFonts w:ascii="Arial" w:cs="Arial" w:eastAsia="Arial" w:hAnsi="Arial"/>
          <w:b w:val="1"/>
          <w:bCs w:val="1"/>
          <w:color w:val="1f1f1f"/>
          <w:rtl w:val="0"/>
        </w:rPr>
        <w:t xml:space="preserve">6.55%</w:t>
      </w:r>
      <w:r w:rsidDel="00000000" w:rsidR="00000000" w:rsidRPr="00000000">
        <w:rPr>
          <w:rFonts w:ascii="Arial" w:cs="Arial" w:eastAsia="Arial" w:hAnsi="Arial"/>
          <w:color w:val="1f1f1f"/>
          <w:rtl w:val="0"/>
        </w:rPr>
        <w:t xml:space="preserve">. Since the base WACC is verifiably </w:t>
      </w:r>
      <w:r w:rsidDel="00000000" w:rsidR="00000000" w:rsidRPr="00000000">
        <w:rPr>
          <w:rFonts w:ascii="Arial" w:cs="Arial" w:eastAsia="Arial" w:hAnsi="Arial"/>
          <w:b w:val="1"/>
          <w:bCs w:val="1"/>
          <w:color w:val="1f1f1f"/>
          <w:rtl w:val="0"/>
        </w:rPr>
        <w:t xml:space="preserve">8.05%</w:t>
      </w:r>
      <w:r w:rsidDel="00000000" w:rsidR="00000000" w:rsidRPr="00000000">
        <w:rPr>
          <w:rFonts w:ascii="Arial" w:cs="Arial" w:eastAsia="Arial" w:hAnsi="Arial"/>
          <w:color w:val="1f1f1f"/>
          <w:rtl w:val="0"/>
        </w:rPr>
        <w:t xml:space="preserve">, utilizing 6.55% mathematically smuggles a perpetual growth rate of 1.5% (8.05% WACC - 1.5% g = 6.55%) into a supposedly zero-growth lens. This fundamental corruption artificially inflates the downside floor by over $4 Billion.</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DETERMINISTIC RECALCULATION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stripped the tainted logic and utilized a deterministic Python script to rebuild the math strictly from the ground up, enforcing the corrections from Phase 2.</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WACC accurately verified at 8.05% (Cost of Equity 8.33%, After-Tax Cost of Debt 4.69%, Equity 92.3%).</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Put liability maintained; redundant NCI deduction of $54M reversed across all bridges.</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JV SOTP double-count neutralized (carrying value stripped from the Multiples bridge).</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Normalised Earnings strictly recalculated utilizing the true 8.05% WACC to enforce actual "zero growth".</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Computational Variance Table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Valuation 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Report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Python Recalculated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Variance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DCF (Continued Expansion)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5.55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5.57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+0.36% </w:t>
            </w:r>
            <w:r w:rsidDel="00000000" w:rsidR="00000000" w:rsidRPr="00000000">
              <w:rPr>
                <w:rFonts w:ascii="Arial" w:cs="Arial" w:eastAsia="Arial" w:hAnsi="Arial"/>
                <w:i w:val="1"/>
                <w:iCs w:val="1"/>
                <w:color w:val="1f1f1f"/>
                <w:rtl w:val="0"/>
              </w:rPr>
              <w:t xml:space="preserve">(Bridge fix)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DCF (Capacity Plateau)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4.88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4.90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+0.41% </w:t>
            </w:r>
            <w:r w:rsidDel="00000000" w:rsidR="00000000" w:rsidRPr="00000000">
              <w:rPr>
                <w:rFonts w:ascii="Arial" w:cs="Arial" w:eastAsia="Arial" w:hAnsi="Arial"/>
                <w:i w:val="1"/>
                <w:iCs w:val="1"/>
                <w:color w:val="1f1f1f"/>
                <w:rtl w:val="0"/>
              </w:rPr>
              <w:t xml:space="preserve">(Bridge fix)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Book Value &amp; Sust. Return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5.71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5.71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Relative Multiples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4.06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3.96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(2.46%)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(JV fix)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Normalised Earnings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5.03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4.03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(19.88%)</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i w:val="1"/>
                <w:iCs w:val="1"/>
                <w:color w:val="1f1f1f"/>
                <w:rtl w:val="0"/>
              </w:rPr>
              <w:t xml:space="preserve">(Growth fix)</w:t>
            </w:r>
          </w:p>
        </w:tc>
      </w:tr>
    </w:tbl>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4: THE RED TEAM VERDICT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CRITICAL FAILURES: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report is severely structurally flawed in the </w:t>
      </w:r>
      <w:r w:rsidDel="00000000" w:rsidR="00000000" w:rsidRPr="00000000">
        <w:rPr>
          <w:rFonts w:ascii="Arial" w:cs="Arial" w:eastAsia="Arial" w:hAnsi="Arial"/>
          <w:i w:val="1"/>
          <w:iCs w:val="1"/>
          <w:color w:val="1f1f1f"/>
          <w:rtl w:val="0"/>
        </w:rPr>
        <w:t xml:space="preserve">Relative Multiples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Normalised Earnings</w:t>
      </w:r>
      <w:r w:rsidDel="00000000" w:rsidR="00000000" w:rsidRPr="00000000">
        <w:rPr>
          <w:rFonts w:ascii="Arial" w:cs="Arial" w:eastAsia="Arial" w:hAnsi="Arial"/>
          <w:color w:val="1f1f1f"/>
          <w:rtl w:val="0"/>
        </w:rPr>
        <w:t xml:space="preserve"> lenses. The author actively disguised a 1.5% perpetual growth premium inside a "no growth" downside floor and illegally capitalized $462M of Joint Venture assets twice. These modeling tricks were used to artificially compress the downside risk and make the valuation appear tighter than reality.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ASSUMPTION WARNINGS: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More than 71% to 75% of the DCF Enterprise Value sits in the Terminal Value (post-2030). The entire model hinges precariously on an uncontracted terminal growth rate for a single-customer operator facing a hard 2027 production target. Furthermore, the Justified P/B multiple (5.87x) operates on a dangerously tight mathematical spread (Ke 8.33% - g 2.5% = 5.83%). A 50 bps move in the cost of equity violently swings this multiple, rendering the Book Value lens highly unstable.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b w:val="1"/>
          <w:bCs w:val="1"/>
          <w:color w:val="1f1f1f"/>
          <w:rtl w:val="0"/>
        </w:rPr>
        <w:t xml:space="preserve">VERIFIED CLEARANCES: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base operational modeling, CapEx burn, Net Working Capital absorption (scaling accurately at 5.91% of incremental revenue), and the fundamental staging of unlevered free cash flows (EBIT*(1-t) + D&amp;A - CapEx - dNWC) are mathematically and empirically sound.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CORRECTED FAIR VALUE: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reject the report's weighted central value of AED 5.03.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Applying the author's own lens weighting matrix (25% DCF-E, 25% DCF-P, 20% Multiples, 15% BV, 15% Normal) to our forensically verified and mathematically corrected Python outputs yields a </w:t>
      </w:r>
      <w:r w:rsidDel="00000000" w:rsidR="00000000" w:rsidRPr="00000000">
        <w:rPr>
          <w:rFonts w:ascii="Arial" w:cs="Arial" w:eastAsia="Arial" w:hAnsi="Arial"/>
          <w:b w:val="1"/>
          <w:bCs w:val="1"/>
          <w:color w:val="1f1f1f"/>
          <w:rtl w:val="0"/>
        </w:rPr>
        <w:t xml:space="preserve">Corrected Central Fair Value of AED 4.87 per share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Against the verified August 2026 spot price of </w:t>
      </w:r>
      <w:r w:rsidDel="00000000" w:rsidR="00000000" w:rsidRPr="00000000">
        <w:rPr>
          <w:rFonts w:ascii="Arial" w:cs="Arial" w:eastAsia="Arial" w:hAnsi="Arial"/>
          <w:b w:val="1"/>
          <w:bCs w:val="1"/>
          <w:color w:val="1f1f1f"/>
          <w:rtl w:val="0"/>
        </w:rPr>
        <w:t xml:space="preserve">AED 5.94</w:t>
      </w:r>
      <w:r w:rsidDel="00000000" w:rsidR="00000000" w:rsidRPr="00000000">
        <w:rPr>
          <w:rFonts w:ascii="Arial" w:cs="Arial" w:eastAsia="Arial" w:hAnsi="Arial"/>
          <w:color w:val="1f1f1f"/>
          <w:rtl w:val="0"/>
        </w:rPr>
        <w:t xml:space="preserve">, the stock is actually overvalued by </w:t>
      </w:r>
      <w:r w:rsidDel="00000000" w:rsidR="00000000" w:rsidRPr="00000000">
        <w:rPr>
          <w:rFonts w:ascii="Arial" w:cs="Arial" w:eastAsia="Arial" w:hAnsi="Arial"/>
          <w:b w:val="1"/>
          <w:bCs w:val="1"/>
          <w:color w:val="1f1f1f"/>
          <w:rtl w:val="0"/>
        </w:rPr>
        <w:t xml:space="preserve">18.0%</w:t>
      </w:r>
      <w:r w:rsidDel="00000000" w:rsidR="00000000" w:rsidRPr="00000000">
        <w:rPr>
          <w:rFonts w:ascii="Arial" w:cs="Arial" w:eastAsia="Arial" w:hAnsi="Arial"/>
          <w:color w:val="1f1f1f"/>
          <w:rtl w:val="0"/>
        </w:rPr>
        <w:t xml:space="preserve">. The report's bearish posture is directionally correct but mathematically understated due to disguised floor padding. Proceed with the corrected baseline of </w:t>
      </w:r>
      <w:r w:rsidDel="00000000" w:rsidR="00000000" w:rsidRPr="00000000">
        <w:rPr>
          <w:rFonts w:ascii="Arial" w:cs="Arial" w:eastAsia="Arial" w:hAnsi="Arial"/>
          <w:b w:val="1"/>
          <w:bCs w:val="1"/>
          <w:color w:val="1f1f1f"/>
          <w:rtl w:val="0"/>
        </w:rPr>
        <w:t xml:space="preserve">4.87 AED</w:t>
      </w:r>
      <w:r w:rsidDel="00000000" w:rsidR="00000000" w:rsidRPr="00000000">
        <w:rPr>
          <w:rFonts w:ascii="Arial" w:cs="Arial" w:eastAsia="Arial" w:hAnsi="Arial"/>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