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30 August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11 June 2026. Two things in that edition were wrong and are corrected here, and both are set out plainly in section 1.8 rather than buried: the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five such gaps and they are listed in section 7.</w:t>
      </w:r>
    </w:p>
    <w:p>
      <w:pPr>
        <w:spacing w:after="140"/>
      </w:pPr>
      <w:r>
        <w:rPr>
          <w:b w:val="0"/>
          <w:i/>
          <w:color w:val="5B6570"/>
          <w:sz w:val="18"/>
        </w:rPr>
        <w:t>Information set: everything the company had published as at 30 August 2026, which ends at its first-quarter 2026 results. No half-year 2026 figures had been released at that date.</w:t>
      </w:r>
    </w:p>
    <w:p>
      <w:pPr>
        <w:pStyle w:val="Heading1"/>
      </w:pPr>
      <w:r>
        <w:t>Headline</w:t>
      </w:r>
    </w:p>
    <w:p>
      <w:pPr>
        <w:spacing w:after="140"/>
      </w:pPr>
      <w:r>
        <w:rPr>
          <w:b/>
          <w:i w:val="0"/>
          <w:color w:val="1A1D21"/>
          <w:sz w:val="23"/>
        </w:rPr>
        <w:t>Palm Hills is worth EGP 10.94 a share on a base case built from the company's own units and prices, in a range of EGP 4.60 to EGP 23.33. The shares trade at EGP 15.20.</w:t>
      </w:r>
    </w:p>
    <w:p>
      <w:pPr>
        <w:pStyle w:val="ListBullet"/>
        <w:spacing w:after="60"/>
      </w:pPr>
      <w:r>
        <w:rPr>
          <w:color w:val="1A1D21"/>
          <w:sz w:val="20"/>
        </w:rPr>
        <w:t>The forecast is built from units and prices the company itself discloses: 5,633 units sold across three regions at EGP 15.70 to 25.09 million a unit, and separately 1,886 units delivered at EGP 21.29 million of revenue each, because units handed over were contracted years earlier at lower prices.</w:t>
      </w:r>
    </w:p>
    <w:p>
      <w:pPr>
        <w:pStyle w:val="ListBullet"/>
        <w:spacing w:after="60"/>
      </w:pPr>
      <w:r>
        <w:rPr>
          <w:color w:val="1A1D21"/>
          <w:sz w:val="20"/>
        </w:rPr>
        <w:t>The discount rate in the previous edition was 18.00%. Egypt's ten-year government bond yields 23.00%. Rebuilt from the ground up, the company's cost of capital is 26.25%.</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9.17; at the high end, EGP 38.74.</w:t>
      </w:r>
    </w:p>
    <w:p>
      <w:pPr>
        <w:pStyle w:val="ListBullet"/>
        <w:spacing w:after="60"/>
      </w:pPr>
      <w:r>
        <w:rPr>
          <w:color w:val="1A1D21"/>
          <w:sz w:val="20"/>
        </w:rPr>
        <w:t>At the closing price of EGP 15.20 the market is paying for a conversion rate of 6.8%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1926"/>
        <w:gridCol w:w="1926"/>
        <w:gridCol w:w="1926"/>
        <w:gridCol w:w="1926"/>
        <w:gridCol w:w="1926"/>
      </w:tblGrid>
      <w:tr>
        <w:trPr>
          <w:tblHeader w:val="true"/>
        </w:trPr>
        <w:tc>
          <w:tcPr>
            <w:tcW w:type="dxa" w:w="3175"/>
          </w:tcPr>
          <w:p>
            <w:r/>
            <w:r>
              <w:rPr>
                <w:b/>
                <w:color w:val="5B6570"/>
                <w:sz w:val="17"/>
              </w:rPr>
              <w:t>Lens</w:t>
            </w:r>
          </w:p>
        </w:tc>
        <w:tc>
          <w:tcPr>
            <w:tcW w:type="dxa" w:w="1474"/>
          </w:tcPr>
          <w:p>
            <w:r/>
            <w:r>
              <w:rPr>
                <w:b/>
                <w:color w:val="5B6570"/>
                <w:sz w:val="17"/>
              </w:rPr>
              <w:t>Bear</w:t>
            </w:r>
          </w:p>
        </w:tc>
        <w:tc>
          <w:tcPr>
            <w:tcW w:type="dxa" w:w="1474"/>
          </w:tcPr>
          <w:p>
            <w:r/>
            <w:r>
              <w:rPr>
                <w:b/>
                <w:color w:val="5B6570"/>
                <w:sz w:val="17"/>
              </w:rPr>
              <w:t>Base</w:t>
            </w:r>
          </w:p>
        </w:tc>
        <w:tc>
          <w:tcPr>
            <w:tcW w:type="dxa" w:w="1474"/>
          </w:tcPr>
          <w:p>
            <w:r/>
            <w:r>
              <w:rPr>
                <w:b/>
                <w:color w:val="5B6570"/>
                <w:sz w:val="17"/>
              </w:rPr>
              <w:t>Full value</w:t>
            </w:r>
          </w:p>
        </w:tc>
        <w:tc>
          <w:tcPr>
            <w:tcW w:type="dxa" w:w="1134"/>
          </w:tcPr>
          <w:p>
            <w:r/>
            <w:r>
              <w:rPr>
                <w:b/>
                <w:color w:val="5B6570"/>
                <w:sz w:val="17"/>
              </w:rPr>
              <w:t>Weight</w:t>
            </w:r>
          </w:p>
        </w:tc>
      </w:tr>
      <w:tr>
        <w:tc>
          <w:tcPr>
            <w:tcW w:type="dxa" w:w="3175"/>
          </w:tcPr>
          <w:p>
            <w:r/>
            <w:r>
              <w:rPr>
                <w:color w:val="1A1D21"/>
                <w:sz w:val="17"/>
              </w:rPr>
              <w:t>Discounted cash flow</w:t>
            </w:r>
          </w:p>
        </w:tc>
        <w:tc>
          <w:tcPr>
            <w:tcW w:type="dxa" w:w="1474"/>
          </w:tcPr>
          <w:p>
            <w:pPr>
              <w:jc w:val="right"/>
            </w:pPr>
            <w:r/>
            <w:r>
              <w:rPr>
                <w:color w:val="1A1D21"/>
                <w:sz w:val="17"/>
              </w:rPr>
              <w:t>2.85</w:t>
            </w:r>
          </w:p>
        </w:tc>
        <w:tc>
          <w:tcPr>
            <w:tcW w:type="dxa" w:w="1474"/>
          </w:tcPr>
          <w:p>
            <w:pPr>
              <w:jc w:val="right"/>
            </w:pPr>
            <w:r/>
            <w:r>
              <w:rPr>
                <w:color w:val="1A1D21"/>
                <w:sz w:val="17"/>
              </w:rPr>
              <w:t>14.86</w:t>
            </w:r>
          </w:p>
        </w:tc>
        <w:tc>
          <w:tcPr>
            <w:tcW w:type="dxa" w:w="1474"/>
          </w:tcPr>
          <w:p>
            <w:pPr>
              <w:jc w:val="right"/>
            </w:pPr>
            <w:r/>
            <w:r>
              <w:rPr>
                <w:color w:val="1A1D21"/>
                <w:sz w:val="17"/>
              </w:rPr>
              <w:t>38.75</w:t>
            </w:r>
          </w:p>
        </w:tc>
        <w:tc>
          <w:tcPr>
            <w:tcW w:type="dxa" w:w="1134"/>
          </w:tcPr>
          <w:p>
            <w:pPr>
              <w:jc w:val="right"/>
            </w:pPr>
            <w:r/>
            <w:r>
              <w:rPr>
                <w:color w:val="1A1D21"/>
                <w:sz w:val="17"/>
              </w:rPr>
              <w:t>45%</w:t>
            </w:r>
          </w:p>
        </w:tc>
      </w:tr>
      <w:tr>
        <w:tc>
          <w:tcPr>
            <w:tcW w:type="dxa" w:w="3175"/>
          </w:tcPr>
          <w:p>
            <w:r/>
            <w:r>
              <w:rPr>
                <w:color w:val="1A1D21"/>
                <w:sz w:val="17"/>
              </w:rPr>
              <w:t>Book value of equity</w:t>
            </w:r>
          </w:p>
        </w:tc>
        <w:tc>
          <w:tcPr>
            <w:tcW w:type="dxa" w:w="1474"/>
          </w:tcPr>
          <w:p>
            <w:pPr>
              <w:jc w:val="right"/>
            </w:pPr>
            <w:r/>
            <w:r>
              <w:rPr>
                <w:color w:val="1A1D21"/>
                <w:sz w:val="17"/>
              </w:rPr>
              <w:t>5.91</w:t>
            </w:r>
          </w:p>
        </w:tc>
        <w:tc>
          <w:tcPr>
            <w:tcW w:type="dxa" w:w="1474"/>
          </w:tcPr>
          <w:p>
            <w:pPr>
              <w:jc w:val="right"/>
            </w:pPr>
            <w:r/>
            <w:r>
              <w:rPr>
                <w:color w:val="1A1D21"/>
                <w:sz w:val="17"/>
              </w:rPr>
              <w:t>6.56</w:t>
            </w:r>
          </w:p>
        </w:tc>
        <w:tc>
          <w:tcPr>
            <w:tcW w:type="dxa" w:w="1474"/>
          </w:tcPr>
          <w:p>
            <w:pPr>
              <w:jc w:val="right"/>
            </w:pPr>
            <w:r/>
            <w:r>
              <w:rPr>
                <w:color w:val="1A1D21"/>
                <w:sz w:val="17"/>
              </w:rPr>
              <w:t>8.53</w:t>
            </w:r>
          </w:p>
        </w:tc>
        <w:tc>
          <w:tcPr>
            <w:tcW w:type="dxa" w:w="1134"/>
          </w:tcPr>
          <w:p>
            <w:pPr>
              <w:jc w:val="right"/>
            </w:pPr>
            <w:r/>
            <w:r>
              <w:rPr>
                <w:color w:val="1A1D21"/>
                <w:sz w:val="17"/>
              </w:rPr>
              <w:t>15%</w:t>
            </w:r>
          </w:p>
        </w:tc>
      </w:tr>
      <w:tr>
        <w:tc>
          <w:tcPr>
            <w:tcW w:type="dxa" w:w="3175"/>
          </w:tcPr>
          <w:p>
            <w:r/>
            <w:r>
              <w:rPr>
                <w:color w:val="1A1D21"/>
                <w:sz w:val="17"/>
              </w:rPr>
              <w:t>Earnings multiple on own history</w:t>
            </w:r>
          </w:p>
        </w:tc>
        <w:tc>
          <w:tcPr>
            <w:tcW w:type="dxa" w:w="1474"/>
          </w:tcPr>
          <w:p>
            <w:pPr>
              <w:jc w:val="right"/>
            </w:pPr>
            <w:r/>
            <w:r>
              <w:rPr>
                <w:color w:val="1A1D21"/>
                <w:sz w:val="17"/>
              </w:rPr>
              <w:t>7.45</w:t>
            </w:r>
          </w:p>
        </w:tc>
        <w:tc>
          <w:tcPr>
            <w:tcW w:type="dxa" w:w="1474"/>
          </w:tcPr>
          <w:p>
            <w:pPr>
              <w:jc w:val="right"/>
            </w:pPr>
            <w:r/>
            <w:r>
              <w:rPr>
                <w:color w:val="1A1D21"/>
                <w:sz w:val="17"/>
              </w:rPr>
              <w:t>11.17</w:t>
            </w:r>
          </w:p>
        </w:tc>
        <w:tc>
          <w:tcPr>
            <w:tcW w:type="dxa" w:w="1474"/>
          </w:tcPr>
          <w:p>
            <w:pPr>
              <w:jc w:val="right"/>
            </w:pPr>
            <w:r/>
            <w:r>
              <w:rPr>
                <w:color w:val="1A1D21"/>
                <w:sz w:val="17"/>
              </w:rPr>
              <w:t>17.37</w:t>
            </w:r>
          </w:p>
        </w:tc>
        <w:tc>
          <w:tcPr>
            <w:tcW w:type="dxa" w:w="1134"/>
          </w:tcPr>
          <w:p>
            <w:pPr>
              <w:jc w:val="right"/>
            </w:pPr>
            <w:r/>
            <w:r>
              <w:rPr>
                <w:color w:val="1A1D21"/>
                <w:sz w:val="17"/>
              </w:rPr>
              <w:t>20%</w:t>
            </w:r>
          </w:p>
        </w:tc>
      </w:tr>
      <w:tr>
        <w:tc>
          <w:tcPr>
            <w:tcW w:type="dxa" w:w="3175"/>
          </w:tcPr>
          <w:p>
            <w:r/>
            <w:r>
              <w:rPr>
                <w:color w:val="1A1D21"/>
                <w:sz w:val="17"/>
              </w:rPr>
              <w:t>Normalised earnings power</w:t>
            </w:r>
          </w:p>
        </w:tc>
        <w:tc>
          <w:tcPr>
            <w:tcW w:type="dxa" w:w="1474"/>
          </w:tcPr>
          <w:p>
            <w:pPr>
              <w:jc w:val="right"/>
            </w:pPr>
            <w:r/>
            <w:r>
              <w:rPr>
                <w:color w:val="1A1D21"/>
                <w:sz w:val="17"/>
              </w:rPr>
              <w:t>4.72</w:t>
            </w:r>
          </w:p>
        </w:tc>
        <w:tc>
          <w:tcPr>
            <w:tcW w:type="dxa" w:w="1474"/>
          </w:tcPr>
          <w:p>
            <w:pPr>
              <w:jc w:val="right"/>
            </w:pPr>
            <w:r/>
            <w:r>
              <w:rPr>
                <w:color w:val="1A1D21"/>
                <w:sz w:val="17"/>
              </w:rPr>
              <w:t>5.17</w:t>
            </w:r>
          </w:p>
        </w:tc>
        <w:tc>
          <w:tcPr>
            <w:tcW w:type="dxa" w:w="1474"/>
          </w:tcPr>
          <w:p>
            <w:pPr>
              <w:jc w:val="right"/>
            </w:pPr>
            <w:r/>
            <w:r>
              <w:rPr>
                <w:color w:val="1A1D21"/>
                <w:sz w:val="17"/>
              </w:rPr>
              <w:t>5.72</w:t>
            </w:r>
          </w:p>
        </w:tc>
        <w:tc>
          <w:tcPr>
            <w:tcW w:type="dxa" w:w="1134"/>
          </w:tcPr>
          <w:p>
            <w:pPr>
              <w:jc w:val="right"/>
            </w:pPr>
            <w:r/>
            <w:r>
              <w:rPr>
                <w:color w:val="1A1D21"/>
                <w:sz w:val="17"/>
              </w:rPr>
              <w:t>20%</w:t>
            </w:r>
          </w:p>
        </w:tc>
      </w:tr>
      <w:tr>
        <w:tc>
          <w:tcPr>
            <w:tcW w:type="dxa" w:w="3175"/>
          </w:tcPr>
          <w:p>
            <w:r/>
            <w:r>
              <w:rPr>
                <w:color w:val="1A1D21"/>
                <w:sz w:val="17"/>
              </w:rPr>
              <w:t>Weighted central</w:t>
            </w:r>
          </w:p>
        </w:tc>
        <w:tc>
          <w:tcPr>
            <w:tcW w:type="dxa" w:w="1474"/>
          </w:tcPr>
          <w:p>
            <w:pPr>
              <w:jc w:val="right"/>
            </w:pPr>
            <w:r/>
            <w:r>
              <w:rPr>
                <w:color w:val="1A1D21"/>
                <w:sz w:val="17"/>
              </w:rPr>
              <w:t>4.60</w:t>
            </w:r>
          </w:p>
        </w:tc>
        <w:tc>
          <w:tcPr>
            <w:tcW w:type="dxa" w:w="1474"/>
          </w:tcPr>
          <w:p>
            <w:pPr>
              <w:jc w:val="right"/>
            </w:pPr>
            <w:r/>
            <w:r>
              <w:rPr>
                <w:color w:val="1A1D21"/>
                <w:sz w:val="17"/>
              </w:rPr>
              <w:t>10.94</w:t>
            </w:r>
          </w:p>
        </w:tc>
        <w:tc>
          <w:tcPr>
            <w:tcW w:type="dxa" w:w="1474"/>
          </w:tcPr>
          <w:p>
            <w:pPr>
              <w:jc w:val="right"/>
            </w:pPr>
            <w:r/>
            <w:r>
              <w:rPr>
                <w:color w:val="1A1D21"/>
                <w:sz w:val="17"/>
              </w:rPr>
              <w:t>23.33</w:t>
            </w:r>
          </w:p>
        </w:tc>
        <w:tc>
          <w:tcPr>
            <w:tcW w:type="dxa" w:w="1134"/>
          </w:tcPr>
          <w:p>
            <w:pPr>
              <w:jc w:val="right"/>
            </w:pPr>
            <w:r/>
            <w:r>
              <w:rPr>
                <w:color w:val="1A1D21"/>
                <w:sz w:val="17"/>
              </w:rPr>
              <w:t>100%</w:t>
            </w:r>
          </w:p>
        </w:tc>
      </w:tr>
      <w:tr>
        <w:tc>
          <w:tcPr>
            <w:tcW w:type="dxa" w:w="3175"/>
          </w:tcPr>
          <w:p>
            <w:r/>
            <w:r>
              <w:rPr>
                <w:color w:val="1A1D21"/>
                <w:sz w:val="17"/>
              </w:rPr>
              <w:t>Market price, 23 Aug 2026</w:t>
            </w:r>
          </w:p>
        </w:tc>
        <w:tc>
          <w:tcPr>
            <w:tcW w:type="dxa" w:w="1474"/>
          </w:tcPr>
          <w:p>
            <w:r/>
            <w:r>
              <w:rPr>
                <w:color w:val="1A1D21"/>
                <w:sz w:val="17"/>
              </w:rPr>
            </w:r>
          </w:p>
        </w:tc>
        <w:tc>
          <w:tcPr>
            <w:tcW w:type="dxa" w:w="1474"/>
          </w:tcPr>
          <w:p>
            <w:pPr>
              <w:jc w:val="right"/>
            </w:pPr>
            <w:r/>
            <w:r>
              <w:rPr>
                <w:color w:val="1A1D21"/>
                <w:sz w:val="17"/>
              </w:rPr>
              <w:t>15.20</w:t>
            </w:r>
          </w:p>
        </w:tc>
        <w:tc>
          <w:tcPr>
            <w:tcW w:type="dxa" w:w="1474"/>
          </w:tcPr>
          <w:p>
            <w:r/>
            <w:r>
              <w:rPr>
                <w:color w:val="1A1D21"/>
                <w:sz w:val="17"/>
              </w:rPr>
            </w:r>
          </w:p>
        </w:tc>
        <w:tc>
          <w:tcPr>
            <w:tcW w:type="dxa" w:w="1134"/>
          </w:tcPr>
          <w:p>
            <w:r/>
            <w:r>
              <w:rPr>
                <w:color w:val="1A1D21"/>
                <w:sz w:val="17"/>
              </w:rPr>
            </w:r>
          </w:p>
        </w:tc>
      </w:tr>
      <w:tr>
        <w:tc>
          <w:tcPr>
            <w:tcW w:type="dxa" w:w="3175"/>
          </w:tcPr>
          <w:p>
            <w:r/>
            <w:r>
              <w:rPr>
                <w:color w:val="1A1D21"/>
                <w:sz w:val="17"/>
              </w:rPr>
              <w:t>vs the weighted central</w:t>
            </w:r>
          </w:p>
        </w:tc>
        <w:tc>
          <w:tcPr>
            <w:tcW w:type="dxa" w:w="1474"/>
          </w:tcPr>
          <w:p>
            <w:r/>
            <w:r>
              <w:rPr>
                <w:color w:val="1A1D21"/>
                <w:sz w:val="17"/>
              </w:rPr>
              <w:t>+230%</w:t>
            </w:r>
          </w:p>
        </w:tc>
        <w:tc>
          <w:tcPr>
            <w:tcW w:type="dxa" w:w="1474"/>
          </w:tcPr>
          <w:p>
            <w:r/>
            <w:r>
              <w:rPr>
                <w:color w:val="1A1D21"/>
                <w:sz w:val="17"/>
              </w:rPr>
              <w:t>+39%</w:t>
            </w:r>
          </w:p>
        </w:tc>
        <w:tc>
          <w:tcPr>
            <w:tcW w:type="dxa" w:w="1474"/>
          </w:tcPr>
          <w:p>
            <w:pPr>
              <w:jc w:val="right"/>
            </w:pPr>
            <w:r/>
            <w:r>
              <w:rPr>
                <w:color w:val="1A1D21"/>
                <w:sz w:val="17"/>
              </w:rPr>
              <w:t>-35%</w:t>
            </w:r>
          </w:p>
        </w:tc>
        <w:tc>
          <w:tcPr>
            <w:tcW w:type="dxa" w:w="1134"/>
          </w:tcPr>
          <w:p>
            <w:r/>
            <w:r>
              <w:rPr>
                <w:color w:val="1A1D21"/>
                <w:sz w:val="17"/>
              </w:rPr>
            </w:r>
          </w:p>
        </w:tc>
      </w:tr>
    </w:tbl>
    <w:p>
      <w:pPr>
        <w:spacing w:after="200"/>
      </w:pPr>
      <w:r>
        <w:rPr>
          <w:b w:val="0"/>
          <w:i/>
          <w:color w:val="5B6570"/>
          <w:sz w:val="16"/>
        </w:rPr>
        <w:t>EGP per share. Weights are stated in advance and are the same across the three columns. The discounted cash flow carries the most weight because it is the only lens built from the company's own units and prices; book value carries the least because it is a floor, not a value.</w:t>
      </w:r>
    </w:p>
    <w:p>
      <w:pPr>
        <w:jc w:val="center"/>
      </w:pPr>
      <w:r>
        <w:drawing>
          <wp:inline xmlns:a="http://schemas.openxmlformats.org/drawingml/2006/main" xmlns:pic="http://schemas.openxmlformats.org/drawingml/2006/picture">
            <wp:extent cx="5832000" cy="262752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627524"/>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previous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ten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Delivery capacity is grown with construction inflation and the order book is rolled behind it, converging back to the multiple of revenue it stood at in 2024.</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605"/>
        <w:gridCol w:w="1605"/>
        <w:gridCol w:w="1605"/>
        <w:gridCol w:w="1605"/>
        <w:gridCol w:w="1605"/>
        <w:gridCol w:w="1605"/>
      </w:tblGrid>
      <w:tr>
        <w:trPr>
          <w:tblHeader w:val="true"/>
        </w:trPr>
        <w:tc>
          <w:tcPr>
            <w:tcW w:type="dxa" w:w="2835"/>
          </w:tcPr>
          <w:p>
            <w:r/>
            <w:r>
              <w:rPr>
                <w:b/>
                <w:color w:val="5B6570"/>
                <w:sz w:val="17"/>
              </w:rPr>
              <w:t>EGP mn unless stated</w:t>
            </w:r>
          </w:p>
        </w:tc>
        <w:tc>
          <w:tcPr>
            <w:tcW w:type="dxa" w:w="1304"/>
          </w:tcPr>
          <w:p>
            <w:r/>
            <w:r>
              <w:rPr>
                <w:b/>
                <w:color w:val="5B6570"/>
                <w:sz w:val="17"/>
              </w:rPr>
              <w:t>2026</w:t>
            </w:r>
          </w:p>
        </w:tc>
        <w:tc>
          <w:tcPr>
            <w:tcW w:type="dxa" w:w="1304"/>
          </w:tcPr>
          <w:p>
            <w:r/>
            <w:r>
              <w:rPr>
                <w:b/>
                <w:color w:val="5B6570"/>
                <w:sz w:val="17"/>
              </w:rPr>
              <w:t>2027</w:t>
            </w:r>
          </w:p>
        </w:tc>
        <w:tc>
          <w:tcPr>
            <w:tcW w:type="dxa" w:w="1304"/>
          </w:tcPr>
          <w:p>
            <w:r/>
            <w:r>
              <w:rPr>
                <w:b/>
                <w:color w:val="5B6570"/>
                <w:sz w:val="17"/>
              </w:rPr>
              <w:t>2028</w:t>
            </w:r>
          </w:p>
        </w:tc>
        <w:tc>
          <w:tcPr>
            <w:tcW w:type="dxa" w:w="1304"/>
          </w:tcPr>
          <w:p>
            <w:r/>
            <w:r>
              <w:rPr>
                <w:b/>
                <w:color w:val="5B6570"/>
                <w:sz w:val="17"/>
              </w:rPr>
              <w:t>2029</w:t>
            </w:r>
          </w:p>
        </w:tc>
        <w:tc>
          <w:tcPr>
            <w:tcW w:type="dxa" w:w="1304"/>
          </w:tcPr>
          <w:p>
            <w:r/>
            <w:r>
              <w:rPr>
                <w:b/>
                <w:color w:val="5B6570"/>
                <w:sz w:val="17"/>
              </w:rPr>
              <w:t>2030</w:t>
            </w:r>
          </w:p>
        </w:tc>
      </w:tr>
      <w:tr>
        <w:tc>
          <w:tcPr>
            <w:tcW w:type="dxa" w:w="2835"/>
          </w:tcPr>
          <w:p>
            <w:r/>
            <w:r>
              <w:rPr>
                <w:color w:val="1A1D21"/>
                <w:sz w:val="17"/>
              </w:rPr>
              <w:t>Units sold</w:t>
            </w:r>
          </w:p>
        </w:tc>
        <w:tc>
          <w:tcPr>
            <w:tcW w:type="dxa" w:w="1304"/>
          </w:tcPr>
          <w:p>
            <w:pPr>
              <w:jc w:val="right"/>
            </w:pPr>
            <w:r/>
            <w:r>
              <w:rPr>
                <w:color w:val="1A1D21"/>
                <w:sz w:val="17"/>
              </w:rPr>
              <w:t>5,633</w:t>
            </w:r>
          </w:p>
        </w:tc>
        <w:tc>
          <w:tcPr>
            <w:tcW w:type="dxa" w:w="1304"/>
          </w:tcPr>
          <w:p>
            <w:pPr>
              <w:jc w:val="right"/>
            </w:pPr>
            <w:r/>
            <w:r>
              <w:rPr>
                <w:color w:val="1A1D21"/>
                <w:sz w:val="17"/>
              </w:rPr>
              <w:t>5,633</w:t>
            </w:r>
          </w:p>
        </w:tc>
        <w:tc>
          <w:tcPr>
            <w:tcW w:type="dxa" w:w="1304"/>
          </w:tcPr>
          <w:p>
            <w:pPr>
              <w:jc w:val="right"/>
            </w:pPr>
            <w:r/>
            <w:r>
              <w:rPr>
                <w:color w:val="1A1D21"/>
                <w:sz w:val="17"/>
              </w:rPr>
              <w:t>5,633</w:t>
            </w:r>
          </w:p>
        </w:tc>
        <w:tc>
          <w:tcPr>
            <w:tcW w:type="dxa" w:w="1304"/>
          </w:tcPr>
          <w:p>
            <w:pPr>
              <w:jc w:val="right"/>
            </w:pPr>
            <w:r/>
            <w:r>
              <w:rPr>
                <w:color w:val="1A1D21"/>
                <w:sz w:val="17"/>
              </w:rPr>
              <w:t>5,633</w:t>
            </w:r>
          </w:p>
        </w:tc>
        <w:tc>
          <w:tcPr>
            <w:tcW w:type="dxa" w:w="1304"/>
          </w:tcPr>
          <w:p>
            <w:pPr>
              <w:jc w:val="right"/>
            </w:pPr>
            <w:r/>
            <w:r>
              <w:rPr>
                <w:color w:val="1A1D21"/>
                <w:sz w:val="17"/>
              </w:rPr>
              <w:t>5,633</w:t>
            </w:r>
          </w:p>
        </w:tc>
      </w:tr>
      <w:tr>
        <w:tc>
          <w:tcPr>
            <w:tcW w:type="dxa" w:w="2835"/>
          </w:tcPr>
          <w:p>
            <w:r/>
            <w:r>
              <w:rPr>
                <w:color w:val="1A1D21"/>
                <w:sz w:val="17"/>
              </w:rPr>
              <w:t>New sales (EGP mn)</w:t>
            </w:r>
          </w:p>
        </w:tc>
        <w:tc>
          <w:tcPr>
            <w:tcW w:type="dxa" w:w="1304"/>
          </w:tcPr>
          <w:p>
            <w:pPr>
              <w:jc w:val="right"/>
            </w:pPr>
            <w:r/>
            <w:r>
              <w:rPr>
                <w:color w:val="1A1D21"/>
                <w:sz w:val="17"/>
              </w:rPr>
              <w:t>139,999</w:t>
            </w:r>
          </w:p>
        </w:tc>
        <w:tc>
          <w:tcPr>
            <w:tcW w:type="dxa" w:w="1304"/>
          </w:tcPr>
          <w:p>
            <w:pPr>
              <w:jc w:val="right"/>
            </w:pPr>
            <w:r/>
            <w:r>
              <w:rPr>
                <w:color w:val="1A1D21"/>
                <w:sz w:val="17"/>
              </w:rPr>
              <w:t>175,279</w:t>
            </w:r>
          </w:p>
        </w:tc>
        <w:tc>
          <w:tcPr>
            <w:tcW w:type="dxa" w:w="1304"/>
          </w:tcPr>
          <w:p>
            <w:pPr>
              <w:jc w:val="right"/>
            </w:pPr>
            <w:r/>
            <w:r>
              <w:rPr>
                <w:color w:val="1A1D21"/>
                <w:sz w:val="17"/>
              </w:rPr>
              <w:t>219,450</w:t>
            </w:r>
          </w:p>
        </w:tc>
        <w:tc>
          <w:tcPr>
            <w:tcW w:type="dxa" w:w="1304"/>
          </w:tcPr>
          <w:p>
            <w:pPr>
              <w:jc w:val="right"/>
            </w:pPr>
            <w:r/>
            <w:r>
              <w:rPr>
                <w:color w:val="1A1D21"/>
                <w:sz w:val="17"/>
              </w:rPr>
              <w:t>274,751</w:t>
            </w:r>
          </w:p>
        </w:tc>
        <w:tc>
          <w:tcPr>
            <w:tcW w:type="dxa" w:w="1304"/>
          </w:tcPr>
          <w:p>
            <w:pPr>
              <w:jc w:val="right"/>
            </w:pPr>
            <w:r/>
            <w:r>
              <w:rPr>
                <w:color w:val="1A1D21"/>
                <w:sz w:val="17"/>
              </w:rPr>
              <w:t>343,988</w:t>
            </w:r>
          </w:p>
        </w:tc>
      </w:tr>
      <w:tr>
        <w:tc>
          <w:tcPr>
            <w:tcW w:type="dxa" w:w="2835"/>
          </w:tcPr>
          <w:p>
            <w:r/>
            <w:r>
              <w:rPr>
                <w:color w:val="1A1D21"/>
                <w:sz w:val="17"/>
              </w:rPr>
              <w:t>Units delivered</w:t>
            </w:r>
          </w:p>
        </w:tc>
        <w:tc>
          <w:tcPr>
            <w:tcW w:type="dxa" w:w="1304"/>
          </w:tcPr>
          <w:p>
            <w:pPr>
              <w:jc w:val="right"/>
            </w:pPr>
            <w:r/>
            <w:r>
              <w:rPr>
                <w:color w:val="1A1D21"/>
                <w:sz w:val="17"/>
              </w:rPr>
              <w:t>1,886</w:t>
            </w:r>
          </w:p>
        </w:tc>
        <w:tc>
          <w:tcPr>
            <w:tcW w:type="dxa" w:w="1304"/>
          </w:tcPr>
          <w:p>
            <w:pPr>
              <w:jc w:val="right"/>
            </w:pPr>
            <w:r/>
            <w:r>
              <w:rPr>
                <w:color w:val="1A1D21"/>
                <w:sz w:val="17"/>
              </w:rPr>
              <w:t>2,168</w:t>
            </w:r>
          </w:p>
        </w:tc>
        <w:tc>
          <w:tcPr>
            <w:tcW w:type="dxa" w:w="1304"/>
          </w:tcPr>
          <w:p>
            <w:pPr>
              <w:jc w:val="right"/>
            </w:pPr>
            <w:r/>
            <w:r>
              <w:rPr>
                <w:color w:val="1A1D21"/>
                <w:sz w:val="17"/>
              </w:rPr>
              <w:t>2,494</w:t>
            </w:r>
          </w:p>
        </w:tc>
        <w:tc>
          <w:tcPr>
            <w:tcW w:type="dxa" w:w="1304"/>
          </w:tcPr>
          <w:p>
            <w:pPr>
              <w:jc w:val="right"/>
            </w:pPr>
            <w:r/>
            <w:r>
              <w:rPr>
                <w:color w:val="1A1D21"/>
                <w:sz w:val="17"/>
              </w:rPr>
              <w:t>2,868</w:t>
            </w:r>
          </w:p>
        </w:tc>
        <w:tc>
          <w:tcPr>
            <w:tcW w:type="dxa" w:w="1304"/>
          </w:tcPr>
          <w:p>
            <w:pPr>
              <w:jc w:val="right"/>
            </w:pPr>
            <w:r/>
            <w:r>
              <w:rPr>
                <w:color w:val="1A1D21"/>
                <w:sz w:val="17"/>
              </w:rPr>
              <w:t>3,298</w:t>
            </w:r>
          </w:p>
        </w:tc>
      </w:tr>
      <w:tr>
        <w:tc>
          <w:tcPr>
            <w:tcW w:type="dxa" w:w="2835"/>
          </w:tcPr>
          <w:p>
            <w:r/>
            <w:r>
              <w:rPr>
                <w:color w:val="1A1D21"/>
                <w:sz w:val="17"/>
              </w:rPr>
              <w:t>Revenue per delivered unit (EGP mn)</w:t>
            </w:r>
          </w:p>
        </w:tc>
        <w:tc>
          <w:tcPr>
            <w:tcW w:type="dxa" w:w="1304"/>
          </w:tcPr>
          <w:p>
            <w:pPr>
              <w:jc w:val="right"/>
            </w:pPr>
            <w:r/>
            <w:r>
              <w:rPr>
                <w:color w:val="1A1D21"/>
                <w:sz w:val="17"/>
              </w:rPr>
              <w:t>21.29</w:t>
            </w:r>
          </w:p>
        </w:tc>
        <w:tc>
          <w:tcPr>
            <w:tcW w:type="dxa" w:w="1304"/>
          </w:tcPr>
          <w:p>
            <w:pPr>
              <w:jc w:val="right"/>
            </w:pPr>
            <w:r/>
            <w:r>
              <w:rPr>
                <w:color w:val="1A1D21"/>
                <w:sz w:val="17"/>
              </w:rPr>
              <w:t>26.66</w:t>
            </w:r>
          </w:p>
        </w:tc>
        <w:tc>
          <w:tcPr>
            <w:tcW w:type="dxa" w:w="1304"/>
          </w:tcPr>
          <w:p>
            <w:pPr>
              <w:jc w:val="right"/>
            </w:pPr>
            <w:r/>
            <w:r>
              <w:rPr>
                <w:color w:val="1A1D21"/>
                <w:sz w:val="17"/>
              </w:rPr>
              <w:t>33.38</w:t>
            </w:r>
          </w:p>
        </w:tc>
        <w:tc>
          <w:tcPr>
            <w:tcW w:type="dxa" w:w="1304"/>
          </w:tcPr>
          <w:p>
            <w:pPr>
              <w:jc w:val="right"/>
            </w:pPr>
            <w:r/>
            <w:r>
              <w:rPr>
                <w:color w:val="1A1D21"/>
                <w:sz w:val="17"/>
              </w:rPr>
              <w:t>41.79</w:t>
            </w:r>
          </w:p>
        </w:tc>
        <w:tc>
          <w:tcPr>
            <w:tcW w:type="dxa" w:w="1304"/>
          </w:tcPr>
          <w:p>
            <w:pPr>
              <w:jc w:val="right"/>
            </w:pPr>
            <w:r/>
            <w:r>
              <w:rPr>
                <w:color w:val="1A1D21"/>
                <w:sz w:val="17"/>
              </w:rPr>
              <w:t>52.32</w:t>
            </w:r>
          </w:p>
        </w:tc>
      </w:tr>
      <w:tr>
        <w:tc>
          <w:tcPr>
            <w:tcW w:type="dxa" w:w="2835"/>
          </w:tcPr>
          <w:p>
            <w:r/>
            <w:r>
              <w:rPr>
                <w:color w:val="1A1D21"/>
                <w:sz w:val="17"/>
              </w:rPr>
              <w:t>Revenue</w:t>
            </w:r>
          </w:p>
        </w:tc>
        <w:tc>
          <w:tcPr>
            <w:tcW w:type="dxa" w:w="1304"/>
          </w:tcPr>
          <w:p>
            <w:pPr>
              <w:jc w:val="right"/>
            </w:pPr>
            <w:r/>
            <w:r>
              <w:rPr>
                <w:color w:val="1A1D21"/>
                <w:sz w:val="17"/>
              </w:rPr>
              <w:t>40,148</w:t>
            </w:r>
          </w:p>
        </w:tc>
        <w:tc>
          <w:tcPr>
            <w:tcW w:type="dxa" w:w="1304"/>
          </w:tcPr>
          <w:p>
            <w:pPr>
              <w:jc w:val="right"/>
            </w:pPr>
            <w:r/>
            <w:r>
              <w:rPr>
                <w:color w:val="1A1D21"/>
                <w:sz w:val="17"/>
              </w:rPr>
              <w:t>57,805</w:t>
            </w:r>
          </w:p>
        </w:tc>
        <w:tc>
          <w:tcPr>
            <w:tcW w:type="dxa" w:w="1304"/>
          </w:tcPr>
          <w:p>
            <w:pPr>
              <w:jc w:val="right"/>
            </w:pPr>
            <w:r/>
            <w:r>
              <w:rPr>
                <w:color w:val="1A1D21"/>
                <w:sz w:val="17"/>
              </w:rPr>
              <w:t>83,228</w:t>
            </w:r>
          </w:p>
        </w:tc>
        <w:tc>
          <w:tcPr>
            <w:tcW w:type="dxa" w:w="1304"/>
          </w:tcPr>
          <w:p>
            <w:pPr>
              <w:jc w:val="right"/>
            </w:pPr>
            <w:r/>
            <w:r>
              <w:rPr>
                <w:color w:val="1A1D21"/>
                <w:sz w:val="17"/>
              </w:rPr>
              <w:t>119,831</w:t>
            </w:r>
          </w:p>
        </w:tc>
        <w:tc>
          <w:tcPr>
            <w:tcW w:type="dxa" w:w="1304"/>
          </w:tcPr>
          <w:p>
            <w:pPr>
              <w:jc w:val="right"/>
            </w:pPr>
            <w:r/>
            <w:r>
              <w:rPr>
                <w:color w:val="1A1D21"/>
                <w:sz w:val="17"/>
              </w:rPr>
              <w:t>172,533</w:t>
            </w:r>
          </w:p>
        </w:tc>
      </w:tr>
      <w:tr>
        <w:tc>
          <w:tcPr>
            <w:tcW w:type="dxa" w:w="2835"/>
          </w:tcPr>
          <w:p>
            <w:r/>
            <w:r>
              <w:rPr>
                <w:color w:val="1A1D21"/>
                <w:sz w:val="17"/>
              </w:rPr>
              <w:t>Cost per delivered unit (EGP mn)</w:t>
            </w:r>
          </w:p>
        </w:tc>
        <w:tc>
          <w:tcPr>
            <w:tcW w:type="dxa" w:w="1304"/>
          </w:tcPr>
          <w:p>
            <w:pPr>
              <w:jc w:val="right"/>
            </w:pPr>
            <w:r/>
            <w:r>
              <w:rPr>
                <w:color w:val="1A1D21"/>
                <w:sz w:val="17"/>
              </w:rPr>
              <w:t>13.13</w:t>
            </w:r>
          </w:p>
        </w:tc>
        <w:tc>
          <w:tcPr>
            <w:tcW w:type="dxa" w:w="1304"/>
          </w:tcPr>
          <w:p>
            <w:pPr>
              <w:jc w:val="right"/>
            </w:pPr>
            <w:r/>
            <w:r>
              <w:rPr>
                <w:color w:val="1A1D21"/>
                <w:sz w:val="17"/>
              </w:rPr>
              <w:t>16.44</w:t>
            </w:r>
          </w:p>
        </w:tc>
        <w:tc>
          <w:tcPr>
            <w:tcW w:type="dxa" w:w="1304"/>
          </w:tcPr>
          <w:p>
            <w:pPr>
              <w:jc w:val="right"/>
            </w:pPr>
            <w:r/>
            <w:r>
              <w:rPr>
                <w:color w:val="1A1D21"/>
                <w:sz w:val="17"/>
              </w:rPr>
              <w:t>20.59</w:t>
            </w:r>
          </w:p>
        </w:tc>
        <w:tc>
          <w:tcPr>
            <w:tcW w:type="dxa" w:w="1304"/>
          </w:tcPr>
          <w:p>
            <w:pPr>
              <w:jc w:val="right"/>
            </w:pPr>
            <w:r/>
            <w:r>
              <w:rPr>
                <w:color w:val="1A1D21"/>
                <w:sz w:val="17"/>
              </w:rPr>
              <w:t>25.77</w:t>
            </w:r>
          </w:p>
        </w:tc>
        <w:tc>
          <w:tcPr>
            <w:tcW w:type="dxa" w:w="1304"/>
          </w:tcPr>
          <w:p>
            <w:pPr>
              <w:jc w:val="right"/>
            </w:pPr>
            <w:r/>
            <w:r>
              <w:rPr>
                <w:color w:val="1A1D21"/>
                <w:sz w:val="17"/>
              </w:rPr>
              <w:t>32.27</w:t>
            </w:r>
          </w:p>
        </w:tc>
      </w:tr>
      <w:tr>
        <w:tc>
          <w:tcPr>
            <w:tcW w:type="dxa" w:w="2835"/>
          </w:tcPr>
          <w:p>
            <w:r/>
            <w:r>
              <w:rPr>
                <w:color w:val="1A1D21"/>
                <w:sz w:val="17"/>
              </w:rPr>
              <w:t>Cost of revenue</w:t>
            </w:r>
          </w:p>
        </w:tc>
        <w:tc>
          <w:tcPr>
            <w:tcW w:type="dxa" w:w="1304"/>
          </w:tcPr>
          <w:p>
            <w:pPr>
              <w:jc w:val="right"/>
            </w:pPr>
            <w:r/>
            <w:r>
              <w:rPr>
                <w:color w:val="1A1D21"/>
                <w:sz w:val="17"/>
              </w:rPr>
              <w:t>24,762</w:t>
            </w:r>
          </w:p>
        </w:tc>
        <w:tc>
          <w:tcPr>
            <w:tcW w:type="dxa" w:w="1304"/>
          </w:tcPr>
          <w:p>
            <w:pPr>
              <w:jc w:val="right"/>
            </w:pPr>
            <w:r/>
            <w:r>
              <w:rPr>
                <w:color w:val="1A1D21"/>
                <w:sz w:val="17"/>
              </w:rPr>
              <w:t>35,653</w:t>
            </w:r>
          </w:p>
        </w:tc>
        <w:tc>
          <w:tcPr>
            <w:tcW w:type="dxa" w:w="1304"/>
          </w:tcPr>
          <w:p>
            <w:pPr>
              <w:jc w:val="right"/>
            </w:pPr>
            <w:r/>
            <w:r>
              <w:rPr>
                <w:color w:val="1A1D21"/>
                <w:sz w:val="17"/>
              </w:rPr>
              <w:t>51,333</w:t>
            </w:r>
          </w:p>
        </w:tc>
        <w:tc>
          <w:tcPr>
            <w:tcW w:type="dxa" w:w="1304"/>
          </w:tcPr>
          <w:p>
            <w:pPr>
              <w:jc w:val="right"/>
            </w:pPr>
            <w:r/>
            <w:r>
              <w:rPr>
                <w:color w:val="1A1D21"/>
                <w:sz w:val="17"/>
              </w:rPr>
              <w:t>73,909</w:t>
            </w:r>
          </w:p>
        </w:tc>
        <w:tc>
          <w:tcPr>
            <w:tcW w:type="dxa" w:w="1304"/>
          </w:tcPr>
          <w:p>
            <w:pPr>
              <w:jc w:val="right"/>
            </w:pPr>
            <w:r/>
            <w:r>
              <w:rPr>
                <w:color w:val="1A1D21"/>
                <w:sz w:val="17"/>
              </w:rPr>
              <w:t>106,414</w:t>
            </w:r>
          </w:p>
        </w:tc>
      </w:tr>
      <w:tr>
        <w:tc>
          <w:tcPr>
            <w:tcW w:type="dxa" w:w="2835"/>
          </w:tcPr>
          <w:p>
            <w:r/>
            <w:r>
              <w:rPr>
                <w:color w:val="1A1D21"/>
                <w:sz w:val="17"/>
              </w:rPr>
              <w:t>Gross profit</w:t>
            </w:r>
          </w:p>
        </w:tc>
        <w:tc>
          <w:tcPr>
            <w:tcW w:type="dxa" w:w="1304"/>
          </w:tcPr>
          <w:p>
            <w:pPr>
              <w:jc w:val="right"/>
            </w:pPr>
            <w:r/>
            <w:r>
              <w:rPr>
                <w:color w:val="1A1D21"/>
                <w:sz w:val="17"/>
              </w:rPr>
              <w:t>15,386</w:t>
            </w:r>
          </w:p>
        </w:tc>
        <w:tc>
          <w:tcPr>
            <w:tcW w:type="dxa" w:w="1304"/>
          </w:tcPr>
          <w:p>
            <w:pPr>
              <w:jc w:val="right"/>
            </w:pPr>
            <w:r/>
            <w:r>
              <w:rPr>
                <w:color w:val="1A1D21"/>
                <w:sz w:val="17"/>
              </w:rPr>
              <w:t>22,152</w:t>
            </w:r>
          </w:p>
        </w:tc>
        <w:tc>
          <w:tcPr>
            <w:tcW w:type="dxa" w:w="1304"/>
          </w:tcPr>
          <w:p>
            <w:pPr>
              <w:jc w:val="right"/>
            </w:pPr>
            <w:r/>
            <w:r>
              <w:rPr>
                <w:color w:val="1A1D21"/>
                <w:sz w:val="17"/>
              </w:rPr>
              <w:t>31,895</w:t>
            </w:r>
          </w:p>
        </w:tc>
        <w:tc>
          <w:tcPr>
            <w:tcW w:type="dxa" w:w="1304"/>
          </w:tcPr>
          <w:p>
            <w:pPr>
              <w:jc w:val="right"/>
            </w:pPr>
            <w:r/>
            <w:r>
              <w:rPr>
                <w:color w:val="1A1D21"/>
                <w:sz w:val="17"/>
              </w:rPr>
              <w:t>45,922</w:t>
            </w:r>
          </w:p>
        </w:tc>
        <w:tc>
          <w:tcPr>
            <w:tcW w:type="dxa" w:w="1304"/>
          </w:tcPr>
          <w:p>
            <w:pPr>
              <w:jc w:val="right"/>
            </w:pPr>
            <w:r/>
            <w:r>
              <w:rPr>
                <w:color w:val="1A1D21"/>
                <w:sz w:val="17"/>
              </w:rPr>
              <w:t>66,119</w:t>
            </w:r>
          </w:p>
        </w:tc>
      </w:tr>
      <w:tr>
        <w:tc>
          <w:tcPr>
            <w:tcW w:type="dxa" w:w="2835"/>
          </w:tcPr>
          <w:p>
            <w:r/>
            <w:r>
              <w:rPr>
                <w:color w:val="1A1D21"/>
                <w:sz w:val="17"/>
              </w:rPr>
              <w:t>Gross margin (output)</w:t>
            </w:r>
          </w:p>
        </w:tc>
        <w:tc>
          <w:tcPr>
            <w:tcW w:type="dxa" w:w="1304"/>
          </w:tcPr>
          <w:p>
            <w:pPr>
              <w:jc w:val="right"/>
            </w:pPr>
            <w:r/>
            <w:r>
              <w:rPr>
                <w:color w:val="1A1D21"/>
                <w:sz w:val="17"/>
              </w:rPr>
              <w:t>38.3%</w:t>
            </w:r>
          </w:p>
        </w:tc>
        <w:tc>
          <w:tcPr>
            <w:tcW w:type="dxa" w:w="1304"/>
          </w:tcPr>
          <w:p>
            <w:pPr>
              <w:jc w:val="right"/>
            </w:pPr>
            <w:r/>
            <w:r>
              <w:rPr>
                <w:color w:val="1A1D21"/>
                <w:sz w:val="17"/>
              </w:rPr>
              <w:t>38.3%</w:t>
            </w:r>
          </w:p>
        </w:tc>
        <w:tc>
          <w:tcPr>
            <w:tcW w:type="dxa" w:w="1304"/>
          </w:tcPr>
          <w:p>
            <w:pPr>
              <w:jc w:val="right"/>
            </w:pPr>
            <w:r/>
            <w:r>
              <w:rPr>
                <w:color w:val="1A1D21"/>
                <w:sz w:val="17"/>
              </w:rPr>
              <w:t>38.3%</w:t>
            </w:r>
          </w:p>
        </w:tc>
        <w:tc>
          <w:tcPr>
            <w:tcW w:type="dxa" w:w="1304"/>
          </w:tcPr>
          <w:p>
            <w:pPr>
              <w:jc w:val="right"/>
            </w:pPr>
            <w:r/>
            <w:r>
              <w:rPr>
                <w:color w:val="1A1D21"/>
                <w:sz w:val="17"/>
              </w:rPr>
              <w:t>38.3%</w:t>
            </w:r>
          </w:p>
        </w:tc>
        <w:tc>
          <w:tcPr>
            <w:tcW w:type="dxa" w:w="1304"/>
          </w:tcPr>
          <w:p>
            <w:pPr>
              <w:jc w:val="right"/>
            </w:pPr>
            <w:r/>
            <w:r>
              <w:rPr>
                <w:color w:val="1A1D21"/>
                <w:sz w:val="17"/>
              </w:rPr>
              <w:t>38.3%</w:t>
            </w:r>
          </w:p>
        </w:tc>
      </w:tr>
      <w:tr>
        <w:tc>
          <w:tcPr>
            <w:tcW w:type="dxa" w:w="2835"/>
          </w:tcPr>
          <w:p>
            <w:r/>
            <w:r>
              <w:rPr>
                <w:color w:val="1A1D21"/>
                <w:sz w:val="17"/>
              </w:rPr>
              <w:t>Overheads</w:t>
            </w:r>
          </w:p>
        </w:tc>
        <w:tc>
          <w:tcPr>
            <w:tcW w:type="dxa" w:w="1304"/>
          </w:tcPr>
          <w:p>
            <w:pPr>
              <w:jc w:val="right"/>
            </w:pPr>
            <w:r/>
            <w:r>
              <w:rPr>
                <w:color w:val="1A1D21"/>
                <w:sz w:val="17"/>
              </w:rPr>
              <w:t>7,066</w:t>
            </w:r>
          </w:p>
        </w:tc>
        <w:tc>
          <w:tcPr>
            <w:tcW w:type="dxa" w:w="1304"/>
          </w:tcPr>
          <w:p>
            <w:pPr>
              <w:jc w:val="right"/>
            </w:pPr>
            <w:r/>
            <w:r>
              <w:rPr>
                <w:color w:val="1A1D21"/>
                <w:sz w:val="17"/>
              </w:rPr>
              <w:t>10,173</w:t>
            </w:r>
          </w:p>
        </w:tc>
        <w:tc>
          <w:tcPr>
            <w:tcW w:type="dxa" w:w="1304"/>
          </w:tcPr>
          <w:p>
            <w:pPr>
              <w:jc w:val="right"/>
            </w:pPr>
            <w:r/>
            <w:r>
              <w:rPr>
                <w:color w:val="1A1D21"/>
                <w:sz w:val="17"/>
              </w:rPr>
              <w:t>14,648</w:t>
            </w:r>
          </w:p>
        </w:tc>
        <w:tc>
          <w:tcPr>
            <w:tcW w:type="dxa" w:w="1304"/>
          </w:tcPr>
          <w:p>
            <w:pPr>
              <w:jc w:val="right"/>
            </w:pPr>
            <w:r/>
            <w:r>
              <w:rPr>
                <w:color w:val="1A1D21"/>
                <w:sz w:val="17"/>
              </w:rPr>
              <w:t>21,090</w:t>
            </w:r>
          </w:p>
        </w:tc>
        <w:tc>
          <w:tcPr>
            <w:tcW w:type="dxa" w:w="1304"/>
          </w:tcPr>
          <w:p>
            <w:pPr>
              <w:jc w:val="right"/>
            </w:pPr>
            <w:r/>
            <w:r>
              <w:rPr>
                <w:color w:val="1A1D21"/>
                <w:sz w:val="17"/>
              </w:rPr>
              <w:t>30,365</w:t>
            </w:r>
          </w:p>
        </w:tc>
      </w:tr>
      <w:tr>
        <w:tc>
          <w:tcPr>
            <w:tcW w:type="dxa" w:w="2835"/>
          </w:tcPr>
          <w:p>
            <w:r/>
            <w:r>
              <w:rPr>
                <w:color w:val="1A1D21"/>
                <w:sz w:val="17"/>
              </w:rPr>
              <w:t>Operating profit</w:t>
            </w:r>
          </w:p>
        </w:tc>
        <w:tc>
          <w:tcPr>
            <w:tcW w:type="dxa" w:w="1304"/>
          </w:tcPr>
          <w:p>
            <w:pPr>
              <w:jc w:val="right"/>
            </w:pPr>
            <w:r/>
            <w:r>
              <w:rPr>
                <w:color w:val="1A1D21"/>
                <w:sz w:val="17"/>
              </w:rPr>
              <w:t>7,927</w:t>
            </w:r>
          </w:p>
        </w:tc>
        <w:tc>
          <w:tcPr>
            <w:tcW w:type="dxa" w:w="1304"/>
          </w:tcPr>
          <w:p>
            <w:pPr>
              <w:jc w:val="right"/>
            </w:pPr>
            <w:r/>
            <w:r>
              <w:rPr>
                <w:color w:val="1A1D21"/>
                <w:sz w:val="17"/>
              </w:rPr>
              <w:t>11,414</w:t>
            </w:r>
          </w:p>
        </w:tc>
        <w:tc>
          <w:tcPr>
            <w:tcW w:type="dxa" w:w="1304"/>
          </w:tcPr>
          <w:p>
            <w:pPr>
              <w:jc w:val="right"/>
            </w:pPr>
            <w:r/>
            <w:r>
              <w:rPr>
                <w:color w:val="1A1D21"/>
                <w:sz w:val="17"/>
              </w:rPr>
              <w:t>16,433</w:t>
            </w:r>
          </w:p>
        </w:tc>
        <w:tc>
          <w:tcPr>
            <w:tcW w:type="dxa" w:w="1304"/>
          </w:tcPr>
          <w:p>
            <w:pPr>
              <w:jc w:val="right"/>
            </w:pPr>
            <w:r/>
            <w:r>
              <w:rPr>
                <w:color w:val="1A1D21"/>
                <w:sz w:val="17"/>
              </w:rPr>
              <w:t>23,661</w:t>
            </w:r>
          </w:p>
        </w:tc>
        <w:tc>
          <w:tcPr>
            <w:tcW w:type="dxa" w:w="1304"/>
          </w:tcPr>
          <w:p>
            <w:pPr>
              <w:jc w:val="right"/>
            </w:pPr>
            <w:r/>
            <w:r>
              <w:rPr>
                <w:color w:val="1A1D21"/>
                <w:sz w:val="17"/>
              </w:rPr>
              <w:t>34,067</w:t>
            </w:r>
          </w:p>
        </w:tc>
      </w:tr>
      <w:tr>
        <w:tc>
          <w:tcPr>
            <w:tcW w:type="dxa" w:w="2835"/>
          </w:tcPr>
          <w:p>
            <w:r/>
            <w:r>
              <w:rPr>
                <w:color w:val="1A1D21"/>
                <w:sz w:val="17"/>
              </w:rPr>
              <w:t>Finance cost</w:t>
            </w:r>
          </w:p>
        </w:tc>
        <w:tc>
          <w:tcPr>
            <w:tcW w:type="dxa" w:w="1304"/>
          </w:tcPr>
          <w:p>
            <w:pPr>
              <w:jc w:val="right"/>
            </w:pPr>
            <w:r/>
            <w:r>
              <w:rPr>
                <w:color w:val="1A1D21"/>
                <w:sz w:val="17"/>
              </w:rPr>
              <w:t>3,348</w:t>
            </w:r>
          </w:p>
        </w:tc>
        <w:tc>
          <w:tcPr>
            <w:tcW w:type="dxa" w:w="1304"/>
          </w:tcPr>
          <w:p>
            <w:pPr>
              <w:jc w:val="right"/>
            </w:pPr>
            <w:r/>
            <w:r>
              <w:rPr>
                <w:color w:val="1A1D21"/>
                <w:sz w:val="17"/>
              </w:rPr>
              <w:t>3,348</w:t>
            </w:r>
          </w:p>
        </w:tc>
        <w:tc>
          <w:tcPr>
            <w:tcW w:type="dxa" w:w="1304"/>
          </w:tcPr>
          <w:p>
            <w:pPr>
              <w:jc w:val="right"/>
            </w:pPr>
            <w:r/>
            <w:r>
              <w:rPr>
                <w:color w:val="1A1D21"/>
                <w:sz w:val="17"/>
              </w:rPr>
              <w:t>3,348</w:t>
            </w:r>
          </w:p>
        </w:tc>
        <w:tc>
          <w:tcPr>
            <w:tcW w:type="dxa" w:w="1304"/>
          </w:tcPr>
          <w:p>
            <w:pPr>
              <w:jc w:val="right"/>
            </w:pPr>
            <w:r/>
            <w:r>
              <w:rPr>
                <w:color w:val="1A1D21"/>
                <w:sz w:val="17"/>
              </w:rPr>
              <w:t>3,348</w:t>
            </w:r>
          </w:p>
        </w:tc>
        <w:tc>
          <w:tcPr>
            <w:tcW w:type="dxa" w:w="1304"/>
          </w:tcPr>
          <w:p>
            <w:pPr>
              <w:jc w:val="right"/>
            </w:pPr>
            <w:r/>
            <w:r>
              <w:rPr>
                <w:color w:val="1A1D21"/>
                <w:sz w:val="17"/>
              </w:rPr>
              <w:t>3,348</w:t>
            </w:r>
          </w:p>
        </w:tc>
      </w:tr>
      <w:tr>
        <w:tc>
          <w:tcPr>
            <w:tcW w:type="dxa" w:w="2835"/>
          </w:tcPr>
          <w:p>
            <w:r/>
            <w:r>
              <w:rPr>
                <w:color w:val="1A1D21"/>
                <w:sz w:val="17"/>
              </w:rPr>
              <w:t>Profit before tax</w:t>
            </w:r>
          </w:p>
        </w:tc>
        <w:tc>
          <w:tcPr>
            <w:tcW w:type="dxa" w:w="1304"/>
          </w:tcPr>
          <w:p>
            <w:pPr>
              <w:jc w:val="right"/>
            </w:pPr>
            <w:r/>
            <w:r>
              <w:rPr>
                <w:color w:val="1A1D21"/>
                <w:sz w:val="17"/>
              </w:rPr>
              <w:t>4,580</w:t>
            </w:r>
          </w:p>
        </w:tc>
        <w:tc>
          <w:tcPr>
            <w:tcW w:type="dxa" w:w="1304"/>
          </w:tcPr>
          <w:p>
            <w:pPr>
              <w:jc w:val="right"/>
            </w:pPr>
            <w:r/>
            <w:r>
              <w:rPr>
                <w:color w:val="1A1D21"/>
                <w:sz w:val="17"/>
              </w:rPr>
              <w:t>8,066</w:t>
            </w:r>
          </w:p>
        </w:tc>
        <w:tc>
          <w:tcPr>
            <w:tcW w:type="dxa" w:w="1304"/>
          </w:tcPr>
          <w:p>
            <w:pPr>
              <w:jc w:val="right"/>
            </w:pPr>
            <w:r/>
            <w:r>
              <w:rPr>
                <w:color w:val="1A1D21"/>
                <w:sz w:val="17"/>
              </w:rPr>
              <w:t>13,086</w:t>
            </w:r>
          </w:p>
        </w:tc>
        <w:tc>
          <w:tcPr>
            <w:tcW w:type="dxa" w:w="1304"/>
          </w:tcPr>
          <w:p>
            <w:pPr>
              <w:jc w:val="right"/>
            </w:pPr>
            <w:r/>
            <w:r>
              <w:rPr>
                <w:color w:val="1A1D21"/>
                <w:sz w:val="17"/>
              </w:rPr>
              <w:t>20,313</w:t>
            </w:r>
          </w:p>
        </w:tc>
        <w:tc>
          <w:tcPr>
            <w:tcW w:type="dxa" w:w="1304"/>
          </w:tcPr>
          <w:p>
            <w:pPr>
              <w:jc w:val="right"/>
            </w:pPr>
            <w:r/>
            <w:r>
              <w:rPr>
                <w:color w:val="1A1D21"/>
                <w:sz w:val="17"/>
              </w:rPr>
              <w:t>30,719</w:t>
            </w:r>
          </w:p>
        </w:tc>
      </w:tr>
      <w:tr>
        <w:tc>
          <w:tcPr>
            <w:tcW w:type="dxa" w:w="2835"/>
          </w:tcPr>
          <w:p>
            <w:r/>
            <w:r>
              <w:rPr>
                <w:color w:val="1A1D21"/>
                <w:sz w:val="17"/>
              </w:rPr>
              <w:t>Tax rate</w:t>
            </w:r>
          </w:p>
        </w:tc>
        <w:tc>
          <w:tcPr>
            <w:tcW w:type="dxa" w:w="1304"/>
          </w:tcPr>
          <w:p>
            <w:pPr>
              <w:jc w:val="right"/>
            </w:pPr>
            <w:r/>
            <w:r>
              <w:rPr>
                <w:color w:val="1A1D21"/>
                <w:sz w:val="17"/>
              </w:rPr>
              <w:t>22.5%</w:t>
            </w:r>
          </w:p>
        </w:tc>
        <w:tc>
          <w:tcPr>
            <w:tcW w:type="dxa" w:w="1304"/>
          </w:tcPr>
          <w:p>
            <w:pPr>
              <w:jc w:val="right"/>
            </w:pPr>
            <w:r/>
            <w:r>
              <w:rPr>
                <w:color w:val="1A1D21"/>
                <w:sz w:val="17"/>
              </w:rPr>
              <w:t>22.5%</w:t>
            </w:r>
          </w:p>
        </w:tc>
        <w:tc>
          <w:tcPr>
            <w:tcW w:type="dxa" w:w="1304"/>
          </w:tcPr>
          <w:p>
            <w:pPr>
              <w:jc w:val="right"/>
            </w:pPr>
            <w:r/>
            <w:r>
              <w:rPr>
                <w:color w:val="1A1D21"/>
                <w:sz w:val="17"/>
              </w:rPr>
              <w:t>22.5%</w:t>
            </w:r>
          </w:p>
        </w:tc>
        <w:tc>
          <w:tcPr>
            <w:tcW w:type="dxa" w:w="1304"/>
          </w:tcPr>
          <w:p>
            <w:pPr>
              <w:jc w:val="right"/>
            </w:pPr>
            <w:r/>
            <w:r>
              <w:rPr>
                <w:color w:val="1A1D21"/>
                <w:sz w:val="17"/>
              </w:rPr>
              <w:t>22.5%</w:t>
            </w:r>
          </w:p>
        </w:tc>
        <w:tc>
          <w:tcPr>
            <w:tcW w:type="dxa" w:w="1304"/>
          </w:tcPr>
          <w:p>
            <w:pPr>
              <w:jc w:val="right"/>
            </w:pPr>
            <w:r/>
            <w:r>
              <w:rPr>
                <w:color w:val="1A1D21"/>
                <w:sz w:val="17"/>
              </w:rPr>
              <w:t>22.5%</w:t>
            </w:r>
          </w:p>
        </w:tc>
      </w:tr>
      <w:tr>
        <w:tc>
          <w:tcPr>
            <w:tcW w:type="dxa" w:w="2835"/>
          </w:tcPr>
          <w:p>
            <w:r/>
            <w:r>
              <w:rPr>
                <w:color w:val="1A1D21"/>
                <w:sz w:val="17"/>
              </w:rPr>
              <w:t>Net profit</w:t>
            </w:r>
          </w:p>
        </w:tc>
        <w:tc>
          <w:tcPr>
            <w:tcW w:type="dxa" w:w="1304"/>
          </w:tcPr>
          <w:p>
            <w:pPr>
              <w:jc w:val="right"/>
            </w:pPr>
            <w:r/>
            <w:r>
              <w:rPr>
                <w:color w:val="1A1D21"/>
                <w:sz w:val="17"/>
              </w:rPr>
              <w:t>3,549</w:t>
            </w:r>
          </w:p>
        </w:tc>
        <w:tc>
          <w:tcPr>
            <w:tcW w:type="dxa" w:w="1304"/>
          </w:tcPr>
          <w:p>
            <w:pPr>
              <w:jc w:val="right"/>
            </w:pPr>
            <w:r/>
            <w:r>
              <w:rPr>
                <w:color w:val="1A1D21"/>
                <w:sz w:val="17"/>
              </w:rPr>
              <w:t>6,251</w:t>
            </w:r>
          </w:p>
        </w:tc>
        <w:tc>
          <w:tcPr>
            <w:tcW w:type="dxa" w:w="1304"/>
          </w:tcPr>
          <w:p>
            <w:pPr>
              <w:jc w:val="right"/>
            </w:pPr>
            <w:r/>
            <w:r>
              <w:rPr>
                <w:color w:val="1A1D21"/>
                <w:sz w:val="17"/>
              </w:rPr>
              <w:t>10,141</w:t>
            </w:r>
          </w:p>
        </w:tc>
        <w:tc>
          <w:tcPr>
            <w:tcW w:type="dxa" w:w="1304"/>
          </w:tcPr>
          <w:p>
            <w:pPr>
              <w:jc w:val="right"/>
            </w:pPr>
            <w:r/>
            <w:r>
              <w:rPr>
                <w:color w:val="1A1D21"/>
                <w:sz w:val="17"/>
              </w:rPr>
              <w:t>15,743</w:t>
            </w:r>
          </w:p>
        </w:tc>
        <w:tc>
          <w:tcPr>
            <w:tcW w:type="dxa" w:w="1304"/>
          </w:tcPr>
          <w:p>
            <w:pPr>
              <w:jc w:val="right"/>
            </w:pPr>
            <w:r/>
            <w:r>
              <w:rPr>
                <w:color w:val="1A1D21"/>
                <w:sz w:val="17"/>
              </w:rPr>
              <w:t>23,807</w:t>
            </w:r>
          </w:p>
        </w:tc>
      </w:tr>
      <w:tr>
        <w:tc>
          <w:tcPr>
            <w:tcW w:type="dxa" w:w="2835"/>
          </w:tcPr>
          <w:p>
            <w:r/>
            <w:r>
              <w:rPr>
                <w:color w:val="1A1D21"/>
                <w:sz w:val="17"/>
              </w:rPr>
              <w:t>Earnings per share (EGP)</w:t>
            </w:r>
          </w:p>
        </w:tc>
        <w:tc>
          <w:tcPr>
            <w:tcW w:type="dxa" w:w="1304"/>
          </w:tcPr>
          <w:p>
            <w:pPr>
              <w:jc w:val="right"/>
            </w:pPr>
            <w:r/>
            <w:r>
              <w:rPr>
                <w:color w:val="1A1D21"/>
                <w:sz w:val="17"/>
              </w:rPr>
              <w:t>1.24</w:t>
            </w:r>
          </w:p>
        </w:tc>
        <w:tc>
          <w:tcPr>
            <w:tcW w:type="dxa" w:w="1304"/>
          </w:tcPr>
          <w:p>
            <w:pPr>
              <w:jc w:val="right"/>
            </w:pPr>
            <w:r/>
            <w:r>
              <w:rPr>
                <w:color w:val="1A1D21"/>
                <w:sz w:val="17"/>
              </w:rPr>
              <w:t>2.19</w:t>
            </w:r>
          </w:p>
        </w:tc>
        <w:tc>
          <w:tcPr>
            <w:tcW w:type="dxa" w:w="1304"/>
          </w:tcPr>
          <w:p>
            <w:pPr>
              <w:jc w:val="right"/>
            </w:pPr>
            <w:r/>
            <w:r>
              <w:rPr>
                <w:color w:val="1A1D21"/>
                <w:sz w:val="17"/>
              </w:rPr>
              <w:t>3.55</w:t>
            </w:r>
          </w:p>
        </w:tc>
        <w:tc>
          <w:tcPr>
            <w:tcW w:type="dxa" w:w="1304"/>
          </w:tcPr>
          <w:p>
            <w:pPr>
              <w:jc w:val="right"/>
            </w:pPr>
            <w:r/>
            <w:r>
              <w:rPr>
                <w:color w:val="1A1D21"/>
                <w:sz w:val="17"/>
              </w:rPr>
              <w:t>5.50</w:t>
            </w:r>
          </w:p>
        </w:tc>
        <w:tc>
          <w:tcPr>
            <w:tcW w:type="dxa" w:w="1304"/>
          </w:tcPr>
          <w:p>
            <w:pPr>
              <w:jc w:val="right"/>
            </w:pPr>
            <w:r/>
            <w:r>
              <w:rPr>
                <w:color w:val="1A1D21"/>
                <w:sz w:val="17"/>
              </w:rPr>
              <w:t>8.32</w:t>
            </w:r>
          </w:p>
        </w:tc>
      </w:tr>
      <w:tr>
        <w:tc>
          <w:tcPr>
            <w:tcW w:type="dxa" w:w="2835"/>
          </w:tcPr>
          <w:p>
            <w:r/>
            <w:r>
              <w:rPr>
                <w:color w:val="1A1D21"/>
                <w:sz w:val="17"/>
              </w:rPr>
              <w:t>Order book, closing</w:t>
            </w:r>
          </w:p>
        </w:tc>
        <w:tc>
          <w:tcPr>
            <w:tcW w:type="dxa" w:w="1304"/>
          </w:tcPr>
          <w:p>
            <w:pPr>
              <w:jc w:val="right"/>
            </w:pPr>
            <w:r/>
            <w:r>
              <w:rPr>
                <w:color w:val="1A1D21"/>
                <w:sz w:val="17"/>
              </w:rPr>
              <w:t>362,852</w:t>
            </w:r>
          </w:p>
        </w:tc>
        <w:tc>
          <w:tcPr>
            <w:tcW w:type="dxa" w:w="1304"/>
          </w:tcPr>
          <w:p>
            <w:pPr>
              <w:jc w:val="right"/>
            </w:pPr>
            <w:r/>
            <w:r>
              <w:rPr>
                <w:color w:val="1A1D21"/>
                <w:sz w:val="17"/>
              </w:rPr>
              <w:t>480,326</w:t>
            </w:r>
          </w:p>
        </w:tc>
        <w:tc>
          <w:tcPr>
            <w:tcW w:type="dxa" w:w="1304"/>
          </w:tcPr>
          <w:p>
            <w:pPr>
              <w:jc w:val="right"/>
            </w:pPr>
            <w:r/>
            <w:r>
              <w:rPr>
                <w:color w:val="1A1D21"/>
                <w:sz w:val="17"/>
              </w:rPr>
              <w:t>616,548</w:t>
            </w:r>
          </w:p>
        </w:tc>
        <w:tc>
          <w:tcPr>
            <w:tcW w:type="dxa" w:w="1304"/>
          </w:tcPr>
          <w:p>
            <w:pPr>
              <w:jc w:val="right"/>
            </w:pPr>
            <w:r/>
            <w:r>
              <w:rPr>
                <w:color w:val="1A1D21"/>
                <w:sz w:val="17"/>
              </w:rPr>
              <w:t>771,468</w:t>
            </w:r>
          </w:p>
        </w:tc>
        <w:tc>
          <w:tcPr>
            <w:tcW w:type="dxa" w:w="1304"/>
          </w:tcPr>
          <w:p>
            <w:pPr>
              <w:jc w:val="right"/>
            </w:pPr>
            <w:r/>
            <w:r>
              <w:rPr>
                <w:color w:val="1A1D21"/>
                <w:sz w:val="17"/>
              </w:rPr>
              <w:t>942,924</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38.3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2408"/>
        <w:gridCol w:w="2408"/>
        <w:gridCol w:w="2408"/>
        <w:gridCol w:w="240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c>
          <w:tcPr>
            <w:tcW w:type="dxa" w:w="3402"/>
          </w:tcPr>
          <w:p>
            <w:r/>
            <w:r>
              <w:rPr>
                <w:color w:val="1A1D21"/>
                <w:sz w:val="17"/>
              </w:rPr>
              <w:t>2028</w:t>
            </w:r>
          </w:p>
        </w:tc>
        <w:tc>
          <w:tcPr>
            <w:tcW w:type="dxa" w:w="1928"/>
          </w:tcPr>
          <w:p>
            <w:pPr>
              <w:jc w:val="right"/>
            </w:pPr>
            <w:r/>
            <w:r>
              <w:rPr>
                <w:color w:val="1A1D21"/>
                <w:sz w:val="17"/>
              </w:rPr>
              <w:t>37,567</w:t>
            </w:r>
          </w:p>
        </w:tc>
        <w:tc>
          <w:tcPr>
            <w:tcW w:type="dxa" w:w="1928"/>
          </w:tcPr>
          <w:p>
            <w:pPr>
              <w:jc w:val="right"/>
            </w:pPr>
            <w:r/>
            <w:r>
              <w:rPr>
                <w:color w:val="1A1D21"/>
                <w:sz w:val="17"/>
              </w:rPr>
              <w:t>83,228</w:t>
            </w:r>
          </w:p>
        </w:tc>
        <w:tc>
          <w:tcPr>
            <w:tcW w:type="dxa" w:w="1928"/>
          </w:tcPr>
          <w:p>
            <w:pPr>
              <w:jc w:val="right"/>
            </w:pPr>
            <w:r/>
            <w:r>
              <w:rPr>
                <w:color w:val="1A1D21"/>
                <w:sz w:val="17"/>
              </w:rPr>
              <w:t>157,708</w:t>
            </w:r>
          </w:p>
        </w:tc>
      </w:tr>
      <w:tr>
        <w:tc>
          <w:tcPr>
            <w:tcW w:type="dxa" w:w="3402"/>
          </w:tcPr>
          <w:p>
            <w:r/>
            <w:r>
              <w:rPr>
                <w:color w:val="1A1D21"/>
                <w:sz w:val="17"/>
              </w:rPr>
              <w:t>2029</w:t>
            </w:r>
          </w:p>
        </w:tc>
        <w:tc>
          <w:tcPr>
            <w:tcW w:type="dxa" w:w="1928"/>
          </w:tcPr>
          <w:p>
            <w:pPr>
              <w:jc w:val="right"/>
            </w:pPr>
            <w:r/>
            <w:r>
              <w:rPr>
                <w:color w:val="1A1D21"/>
                <w:sz w:val="17"/>
              </w:rPr>
              <w:t>57,855</w:t>
            </w:r>
          </w:p>
        </w:tc>
        <w:tc>
          <w:tcPr>
            <w:tcW w:type="dxa" w:w="1928"/>
          </w:tcPr>
          <w:p>
            <w:pPr>
              <w:jc w:val="right"/>
            </w:pPr>
            <w:r/>
            <w:r>
              <w:rPr>
                <w:color w:val="1A1D21"/>
                <w:sz w:val="17"/>
              </w:rPr>
              <w:t>119,831</w:t>
            </w:r>
          </w:p>
        </w:tc>
        <w:tc>
          <w:tcPr>
            <w:tcW w:type="dxa" w:w="1928"/>
          </w:tcPr>
          <w:p>
            <w:pPr>
              <w:jc w:val="right"/>
            </w:pPr>
            <w:r/>
            <w:r>
              <w:rPr>
                <w:color w:val="1A1D21"/>
                <w:sz w:val="17"/>
              </w:rPr>
              <w:t>254,120</w:t>
            </w:r>
          </w:p>
        </w:tc>
      </w:tr>
      <w:tr>
        <w:tc>
          <w:tcPr>
            <w:tcW w:type="dxa" w:w="3402"/>
          </w:tcPr>
          <w:p>
            <w:r/>
            <w:r>
              <w:rPr>
                <w:color w:val="1A1D21"/>
                <w:sz w:val="17"/>
              </w:rPr>
              <w:t>2030</w:t>
            </w:r>
          </w:p>
        </w:tc>
        <w:tc>
          <w:tcPr>
            <w:tcW w:type="dxa" w:w="1928"/>
          </w:tcPr>
          <w:p>
            <w:pPr>
              <w:jc w:val="right"/>
            </w:pPr>
            <w:r/>
            <w:r>
              <w:rPr>
                <w:color w:val="1A1D21"/>
                <w:sz w:val="17"/>
              </w:rPr>
              <w:t>112,623</w:t>
            </w:r>
          </w:p>
        </w:tc>
        <w:tc>
          <w:tcPr>
            <w:tcW w:type="dxa" w:w="1928"/>
          </w:tcPr>
          <w:p>
            <w:pPr>
              <w:jc w:val="right"/>
            </w:pPr>
            <w:r/>
            <w:r>
              <w:rPr>
                <w:color w:val="1A1D21"/>
                <w:sz w:val="17"/>
              </w:rPr>
              <w:t>172,533</w:t>
            </w:r>
          </w:p>
        </w:tc>
        <w:tc>
          <w:tcPr>
            <w:tcW w:type="dxa" w:w="1928"/>
          </w:tcPr>
          <w:p>
            <w:pPr>
              <w:jc w:val="right"/>
            </w:pPr>
            <w:r/>
            <w:r>
              <w:rPr>
                <w:color w:val="1A1D21"/>
                <w:sz w:val="17"/>
              </w:rPr>
              <w:t>288,343</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tbl>
      <w:tblPr>
        <w:tblStyle w:val="TableGrid"/>
        <w:tblW w:type="auto" w:w="0"/>
        <w:jc w:val="center"/>
        <w:tblLayout w:type="fixed"/>
        <w:tblLook w:firstColumn="1" w:firstRow="1" w:lastColumn="0" w:lastRow="0" w:noHBand="0" w:noVBand="1" w:val="04A0"/>
        <w:tblLayout w:type="fixed"/>
      </w:tblPr>
      <w:tblGrid>
        <w:gridCol w:w="4816"/>
        <w:gridCol w:w="4816"/>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c>
          <w:tcPr>
            <w:tcW w:type="dxa" w:w="6009"/>
          </w:tcPr>
          <w:p>
            <w:r/>
            <w:r>
              <w:rPr>
                <w:color w:val="1A1D21"/>
                <w:sz w:val="17"/>
              </w:rPr>
              <w:t>Present value of the explicit five years</w:t>
            </w:r>
          </w:p>
        </w:tc>
        <w:tc>
          <w:tcPr>
            <w:tcW w:type="dxa" w:w="3175"/>
          </w:tcPr>
          <w:p>
            <w:pPr>
              <w:jc w:val="right"/>
            </w:pPr>
            <w:r/>
            <w:r>
              <w:rPr>
                <w:color w:val="1A1D21"/>
                <w:sz w:val="17"/>
              </w:rPr>
              <w:t>23,030.2</w:t>
            </w:r>
          </w:p>
        </w:tc>
      </w:tr>
      <w:tr>
        <w:tc>
          <w:tcPr>
            <w:tcW w:type="dxa" w:w="6009"/>
          </w:tcPr>
          <w:p>
            <w:r/>
            <w:r>
              <w:rPr>
                <w:color w:val="1A1D21"/>
                <w:sz w:val="17"/>
              </w:rPr>
              <w:t>Present value beyond year five</w:t>
            </w:r>
          </w:p>
        </w:tc>
        <w:tc>
          <w:tcPr>
            <w:tcW w:type="dxa" w:w="3175"/>
          </w:tcPr>
          <w:p>
            <w:pPr>
              <w:jc w:val="right"/>
            </w:pPr>
            <w:r/>
            <w:r>
              <w:rPr>
                <w:color w:val="1A1D21"/>
                <w:sz w:val="17"/>
              </w:rPr>
              <w:t>38,969.3</w:t>
            </w:r>
          </w:p>
        </w:tc>
      </w:tr>
      <w:tr>
        <w:tc>
          <w:tcPr>
            <w:tcW w:type="dxa" w:w="6009"/>
          </w:tcPr>
          <w:p>
            <w:r/>
            <w:r>
              <w:rPr>
                <w:color w:val="1A1D21"/>
                <w:sz w:val="17"/>
              </w:rPr>
              <w:t>Enterprise value</w:t>
            </w:r>
          </w:p>
        </w:tc>
        <w:tc>
          <w:tcPr>
            <w:tcW w:type="dxa" w:w="3175"/>
          </w:tcPr>
          <w:p>
            <w:pPr>
              <w:jc w:val="right"/>
            </w:pPr>
            <w:r/>
            <w:r>
              <w:rPr>
                <w:color w:val="1A1D21"/>
                <w:sz w:val="17"/>
              </w:rPr>
              <w:t>61,999.5</w:t>
            </w:r>
          </w:p>
        </w:tc>
      </w:tr>
      <w:tr>
        <w:tc>
          <w:tcPr>
            <w:tcW w:type="dxa" w:w="6009"/>
          </w:tcPr>
          <w:p>
            <w:r/>
            <w:r>
              <w:rPr>
                <w:color w:val="1A1D21"/>
                <w:sz w:val="17"/>
              </w:rPr>
              <w:t>less net debt</w:t>
            </w:r>
          </w:p>
        </w:tc>
        <w:tc>
          <w:tcPr>
            <w:tcW w:type="dxa" w:w="3175"/>
          </w:tcPr>
          <w:p>
            <w:pPr>
              <w:jc w:val="right"/>
            </w:pPr>
            <w:r/>
            <w:r>
              <w:rPr>
                <w:color w:val="1A1D21"/>
                <w:sz w:val="17"/>
              </w:rPr>
              <w:t>-24,133.2</w:t>
            </w:r>
          </w:p>
        </w:tc>
      </w:tr>
      <w:tr>
        <w:tc>
          <w:tcPr>
            <w:tcW w:type="dxa" w:w="6009"/>
          </w:tcPr>
          <w:p>
            <w:r/>
            <w:r>
              <w:rPr>
                <w:color w:val="1A1D21"/>
                <w:sz w:val="17"/>
              </w:rPr>
              <w:t>plus investments in associates</w:t>
            </w:r>
          </w:p>
        </w:tc>
        <w:tc>
          <w:tcPr>
            <w:tcW w:type="dxa" w:w="3175"/>
          </w:tcPr>
          <w:p>
            <w:pPr>
              <w:jc w:val="right"/>
            </w:pPr>
            <w:r/>
            <w:r>
              <w:rPr>
                <w:color w:val="1A1D21"/>
                <w:sz w:val="17"/>
              </w:rPr>
              <w:t>3,611.6</w:t>
            </w:r>
          </w:p>
        </w:tc>
      </w:tr>
      <w:tr>
        <w:tc>
          <w:tcPr>
            <w:tcW w:type="dxa" w:w="6009"/>
          </w:tcPr>
          <w:p>
            <w:r/>
            <w:r>
              <w:rPr>
                <w:color w:val="1A1D21"/>
                <w:sz w:val="17"/>
              </w:rPr>
              <w:t>plus investment property</w:t>
            </w:r>
          </w:p>
        </w:tc>
        <w:tc>
          <w:tcPr>
            <w:tcW w:type="dxa" w:w="3175"/>
          </w:tcPr>
          <w:p>
            <w:pPr>
              <w:jc w:val="right"/>
            </w:pPr>
            <w:r/>
            <w:r>
              <w:rPr>
                <w:color w:val="1A1D21"/>
                <w:sz w:val="17"/>
              </w:rPr>
              <w:t>1,032.5</w:t>
            </w:r>
          </w:p>
        </w:tc>
      </w:tr>
      <w:tr>
        <w:tc>
          <w:tcPr>
            <w:tcW w:type="dxa" w:w="6009"/>
          </w:tcPr>
          <w:p>
            <w:r/>
            <w:r>
              <w:rPr>
                <w:color w:val="1A1D21"/>
                <w:sz w:val="17"/>
              </w:rPr>
              <w:t>Equity value</w:t>
            </w:r>
          </w:p>
        </w:tc>
        <w:tc>
          <w:tcPr>
            <w:tcW w:type="dxa" w:w="3175"/>
          </w:tcPr>
          <w:p>
            <w:pPr>
              <w:jc w:val="right"/>
            </w:pPr>
            <w:r/>
            <w:r>
              <w:rPr>
                <w:color w:val="1A1D21"/>
                <w:sz w:val="17"/>
              </w:rPr>
              <w:t>42,510.4</w:t>
            </w:r>
          </w:p>
        </w:tc>
      </w:tr>
      <w:tr>
        <w:tc>
          <w:tcPr>
            <w:tcW w:type="dxa" w:w="6009"/>
          </w:tcPr>
          <w:p>
            <w:r/>
            <w:r>
              <w:rPr>
                <w:color w:val="1A1D21"/>
                <w:sz w:val="17"/>
              </w:rPr>
              <w:t>Shares outstanding, millions</w:t>
            </w:r>
          </w:p>
        </w:tc>
        <w:tc>
          <w:tcPr>
            <w:tcW w:type="dxa" w:w="3175"/>
          </w:tcPr>
          <w:p>
            <w:pPr>
              <w:jc w:val="right"/>
            </w:pPr>
            <w:r/>
            <w:r>
              <w:rPr>
                <w:color w:val="1A1D21"/>
                <w:sz w:val="17"/>
              </w:rPr>
              <w:t>2,859.9</w:t>
            </w:r>
          </w:p>
        </w:tc>
      </w:tr>
      <w:tr>
        <w:tc>
          <w:tcPr>
            <w:tcW w:type="dxa" w:w="6009"/>
          </w:tcPr>
          <w:p>
            <w:r/>
            <w:r>
              <w:rPr>
                <w:color w:val="1A1D21"/>
                <w:sz w:val="17"/>
              </w:rPr>
              <w:t>Value per share, EGP</w:t>
            </w:r>
          </w:p>
        </w:tc>
        <w:tc>
          <w:tcPr>
            <w:tcW w:type="dxa" w:w="3175"/>
          </w:tcPr>
          <w:p>
            <w:pPr>
              <w:jc w:val="right"/>
            </w:pPr>
            <w:r/>
            <w:r>
              <w:rPr>
                <w:color w:val="1A1D21"/>
                <w:sz w:val="17"/>
              </w:rPr>
              <w:t>14.9</w:t>
            </w:r>
          </w:p>
        </w:tc>
      </w:tr>
    </w:tbl>
    <w:p>
      <w:pPr>
        <w:spacing w:after="200"/>
      </w:pPr>
      <w:r>
        <w:rPr>
          <w:b w:val="0"/>
          <w:i/>
          <w:color w:val="5B6570"/>
          <w:sz w:val="16"/>
        </w:rPr>
        <w:t>The terminal value is 63 per cent of enterprise value, which is high and is one reason the range is published rather than a point.</w:t>
      </w:r>
    </w:p>
    <w:p>
      <w:pPr>
        <w:pStyle w:val="Heading2"/>
      </w:pPr>
      <w:r>
        <w:t>1.2  Book value and sustainable return</w:t>
      </w:r>
    </w:p>
    <w:p>
      <w:pPr>
        <w:spacing w:after="140"/>
      </w:pPr>
      <w:r>
        <w:rPr>
          <w:b w:val="0"/>
          <w:i w:val="0"/>
          <w:color w:val="1A1D21"/>
          <w:sz w:val="20"/>
        </w:rPr>
        <w:t>Shareholders' funds were EGP 18,766 million at the end of 2025, or EGP 6.56 a share, against a market price of EGP 15.20 — the shares change hands at about 2.3 times book. Profit after tax and minority interest of EGP 4,217 million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pStyle w:val="Heading2"/>
      </w:pPr>
      <w:r>
        <w:t>1.5  Synthesis — the lenses in one field</w:t>
      </w:r>
    </w:p>
    <w:p>
      <w:pPr>
        <w:spacing w:after="140"/>
      </w:pPr>
      <w:r>
        <w:rPr>
          <w:b w:val="0"/>
          <w:i w:val="0"/>
          <w:color w:val="1A1D21"/>
          <w:sz w:val="20"/>
        </w:rPr>
        <w:t>The four lenses disagree, and the disagreement is the information. The discounted cash flow is the widest because it carries the crux; book value is the narrowest because it is arithmetic on a reported balance sheet. Normalised earnings power is the most severe: at a 31.3% cost of equity, a company earning a 11.7% net margin does not capitalise to much.</w:t>
      </w:r>
    </w:p>
    <w:tbl>
      <w:tblPr>
        <w:tblStyle w:val="TableGrid"/>
        <w:tblW w:type="auto" w:w="0"/>
        <w:jc w:val="center"/>
        <w:tblLayout w:type="fixed"/>
        <w:tblLook w:firstColumn="1" w:firstRow="1" w:lastColumn="0" w:lastRow="0" w:noHBand="0" w:noVBand="1" w:val="04A0"/>
        <w:tblLayout w:type="fixed"/>
      </w:tblPr>
      <w:tblGrid>
        <w:gridCol w:w="1605"/>
        <w:gridCol w:w="1605"/>
        <w:gridCol w:w="1605"/>
        <w:gridCol w:w="1605"/>
        <w:gridCol w:w="1605"/>
        <w:gridCol w:w="1605"/>
      </w:tblGrid>
      <w:tr>
        <w:trPr>
          <w:tblHeader w:val="true"/>
        </w:trPr>
        <w:tc>
          <w:tcPr>
            <w:tcW w:type="dxa" w:w="2381"/>
          </w:tcPr>
          <w:p>
            <w:r/>
            <w:r>
              <w:rPr>
                <w:b/>
                <w:color w:val="5B6570"/>
                <w:sz w:val="17"/>
              </w:rPr>
              <w:t>Lens</w:t>
            </w:r>
          </w:p>
        </w:tc>
        <w:tc>
          <w:tcPr>
            <w:tcW w:type="dxa" w:w="1134"/>
          </w:tcPr>
          <w:p>
            <w:r/>
            <w:r>
              <w:rPr>
                <w:b/>
                <w:color w:val="5B6570"/>
                <w:sz w:val="17"/>
              </w:rPr>
              <w:t>Bear</w:t>
            </w:r>
          </w:p>
        </w:tc>
        <w:tc>
          <w:tcPr>
            <w:tcW w:type="dxa" w:w="1134"/>
          </w:tcPr>
          <w:p>
            <w:r/>
            <w:r>
              <w:rPr>
                <w:b/>
                <w:color w:val="5B6570"/>
                <w:sz w:val="17"/>
              </w:rPr>
              <w:t>Base</w:t>
            </w:r>
          </w:p>
        </w:tc>
        <w:tc>
          <w:tcPr>
            <w:tcW w:type="dxa" w:w="1247"/>
          </w:tcPr>
          <w:p>
            <w:r/>
            <w:r>
              <w:rPr>
                <w:b/>
                <w:color w:val="5B6570"/>
                <w:sz w:val="17"/>
              </w:rPr>
              <w:t>Full value</w:t>
            </w:r>
          </w:p>
        </w:tc>
        <w:tc>
          <w:tcPr>
            <w:tcW w:type="dxa" w:w="907"/>
          </w:tcPr>
          <w:p>
            <w:r/>
            <w:r>
              <w:rPr>
                <w:b/>
                <w:color w:val="5B6570"/>
                <w:sz w:val="17"/>
              </w:rPr>
              <w:t>Weight</w:t>
            </w:r>
          </w:p>
        </w:tc>
        <w:tc>
          <w:tcPr>
            <w:tcW w:type="dxa" w:w="2494"/>
          </w:tcPr>
          <w:p>
            <w:r/>
            <w:r>
              <w:rPr>
                <w:b/>
                <w:color w:val="5B6570"/>
                <w:sz w:val="17"/>
              </w:rPr>
              <w:t>What moves it</w:t>
            </w:r>
          </w:p>
        </w:tc>
      </w:tr>
      <w:tr>
        <w:tc>
          <w:tcPr>
            <w:tcW w:type="dxa" w:w="2381"/>
          </w:tcPr>
          <w:p>
            <w:r/>
            <w:r>
              <w:rPr>
                <w:color w:val="1A1D21"/>
                <w:sz w:val="17"/>
              </w:rPr>
              <w:t>Discounted cash flow</w:t>
            </w:r>
          </w:p>
        </w:tc>
        <w:tc>
          <w:tcPr>
            <w:tcW w:type="dxa" w:w="1134"/>
          </w:tcPr>
          <w:p>
            <w:pPr>
              <w:jc w:val="right"/>
            </w:pPr>
            <w:r/>
            <w:r>
              <w:rPr>
                <w:color w:val="1A1D21"/>
                <w:sz w:val="17"/>
              </w:rPr>
              <w:t>2.85</w:t>
            </w:r>
          </w:p>
        </w:tc>
        <w:tc>
          <w:tcPr>
            <w:tcW w:type="dxa" w:w="1134"/>
          </w:tcPr>
          <w:p>
            <w:pPr>
              <w:jc w:val="right"/>
            </w:pPr>
            <w:r/>
            <w:r>
              <w:rPr>
                <w:color w:val="1A1D21"/>
                <w:sz w:val="17"/>
              </w:rPr>
              <w:t>14.86</w:t>
            </w:r>
          </w:p>
        </w:tc>
        <w:tc>
          <w:tcPr>
            <w:tcW w:type="dxa" w:w="1247"/>
          </w:tcPr>
          <w:p>
            <w:pPr>
              <w:jc w:val="right"/>
            </w:pPr>
            <w:r/>
            <w:r>
              <w:rPr>
                <w:color w:val="1A1D21"/>
                <w:sz w:val="17"/>
              </w:rPr>
              <w:t>38.75</w:t>
            </w:r>
          </w:p>
        </w:tc>
        <w:tc>
          <w:tcPr>
            <w:tcW w:type="dxa" w:w="907"/>
          </w:tcPr>
          <w:p>
            <w:pPr>
              <w:jc w:val="right"/>
            </w:pPr>
            <w:r/>
            <w:r>
              <w:rPr>
                <w:color w:val="1A1D21"/>
                <w:sz w:val="17"/>
              </w:rPr>
              <w:t>45%</w:t>
            </w:r>
          </w:p>
        </w:tc>
        <w:tc>
          <w:tcPr>
            <w:tcW w:type="dxa" w:w="2494"/>
          </w:tcPr>
          <w:p>
            <w:r/>
            <w:r>
              <w:rPr>
                <w:color w:val="1A1D21"/>
                <w:sz w:val="17"/>
              </w:rPr>
              <w:t>cash conversion, then the discount rate</w:t>
            </w:r>
          </w:p>
        </w:tc>
      </w:tr>
      <w:tr>
        <w:tc>
          <w:tcPr>
            <w:tcW w:type="dxa" w:w="2381"/>
          </w:tcPr>
          <w:p>
            <w:r/>
            <w:r>
              <w:rPr>
                <w:color w:val="1A1D21"/>
                <w:sz w:val="17"/>
              </w:rPr>
              <w:t>Book value of equity</w:t>
            </w:r>
          </w:p>
        </w:tc>
        <w:tc>
          <w:tcPr>
            <w:tcW w:type="dxa" w:w="1134"/>
          </w:tcPr>
          <w:p>
            <w:pPr>
              <w:jc w:val="right"/>
            </w:pPr>
            <w:r/>
            <w:r>
              <w:rPr>
                <w:color w:val="1A1D21"/>
                <w:sz w:val="17"/>
              </w:rPr>
              <w:t>5.91</w:t>
            </w:r>
          </w:p>
        </w:tc>
        <w:tc>
          <w:tcPr>
            <w:tcW w:type="dxa" w:w="1134"/>
          </w:tcPr>
          <w:p>
            <w:pPr>
              <w:jc w:val="right"/>
            </w:pPr>
            <w:r/>
            <w:r>
              <w:rPr>
                <w:color w:val="1A1D21"/>
                <w:sz w:val="17"/>
              </w:rPr>
              <w:t>6.56</w:t>
            </w:r>
          </w:p>
        </w:tc>
        <w:tc>
          <w:tcPr>
            <w:tcW w:type="dxa" w:w="1247"/>
          </w:tcPr>
          <w:p>
            <w:pPr>
              <w:jc w:val="right"/>
            </w:pPr>
            <w:r/>
            <w:r>
              <w:rPr>
                <w:color w:val="1A1D21"/>
                <w:sz w:val="17"/>
              </w:rPr>
              <w:t>8.53</w:t>
            </w:r>
          </w:p>
        </w:tc>
        <w:tc>
          <w:tcPr>
            <w:tcW w:type="dxa" w:w="907"/>
          </w:tcPr>
          <w:p>
            <w:pPr>
              <w:jc w:val="right"/>
            </w:pPr>
            <w:r/>
            <w:r>
              <w:rPr>
                <w:color w:val="1A1D21"/>
                <w:sz w:val="17"/>
              </w:rPr>
              <w:t>15%</w:t>
            </w:r>
          </w:p>
        </w:tc>
        <w:tc>
          <w:tcPr>
            <w:tcW w:type="dxa" w:w="2494"/>
          </w:tcPr>
          <w:p>
            <w:r/>
            <w:r>
              <w:rPr>
                <w:color w:val="1A1D21"/>
                <w:sz w:val="17"/>
              </w:rPr>
              <w:t>nothing — it is a reported figure</w:t>
            </w:r>
          </w:p>
        </w:tc>
      </w:tr>
      <w:tr>
        <w:tc>
          <w:tcPr>
            <w:tcW w:type="dxa" w:w="2381"/>
          </w:tcPr>
          <w:p>
            <w:r/>
            <w:r>
              <w:rPr>
                <w:color w:val="1A1D21"/>
                <w:sz w:val="17"/>
              </w:rPr>
              <w:t>Earnings multiple on own history</w:t>
            </w:r>
          </w:p>
        </w:tc>
        <w:tc>
          <w:tcPr>
            <w:tcW w:type="dxa" w:w="1134"/>
          </w:tcPr>
          <w:p>
            <w:pPr>
              <w:jc w:val="right"/>
            </w:pPr>
            <w:r/>
            <w:r>
              <w:rPr>
                <w:color w:val="1A1D21"/>
                <w:sz w:val="17"/>
              </w:rPr>
              <w:t>7.45</w:t>
            </w:r>
          </w:p>
        </w:tc>
        <w:tc>
          <w:tcPr>
            <w:tcW w:type="dxa" w:w="1134"/>
          </w:tcPr>
          <w:p>
            <w:pPr>
              <w:jc w:val="right"/>
            </w:pPr>
            <w:r/>
            <w:r>
              <w:rPr>
                <w:color w:val="1A1D21"/>
                <w:sz w:val="17"/>
              </w:rPr>
              <w:t>11.17</w:t>
            </w:r>
          </w:p>
        </w:tc>
        <w:tc>
          <w:tcPr>
            <w:tcW w:type="dxa" w:w="1247"/>
          </w:tcPr>
          <w:p>
            <w:pPr>
              <w:jc w:val="right"/>
            </w:pPr>
            <w:r/>
            <w:r>
              <w:rPr>
                <w:color w:val="1A1D21"/>
                <w:sz w:val="17"/>
              </w:rPr>
              <w:t>17.37</w:t>
            </w:r>
          </w:p>
        </w:tc>
        <w:tc>
          <w:tcPr>
            <w:tcW w:type="dxa" w:w="907"/>
          </w:tcPr>
          <w:p>
            <w:pPr>
              <w:jc w:val="right"/>
            </w:pPr>
            <w:r/>
            <w:r>
              <w:rPr>
                <w:color w:val="1A1D21"/>
                <w:sz w:val="17"/>
              </w:rPr>
              <w:t>20%</w:t>
            </w:r>
          </w:p>
        </w:tc>
        <w:tc>
          <w:tcPr>
            <w:tcW w:type="dxa" w:w="2494"/>
          </w:tcPr>
          <w:p>
            <w:r/>
            <w:r>
              <w:rPr>
                <w:color w:val="1A1D21"/>
                <w:sz w:val="17"/>
              </w:rPr>
              <w:t>the multiple the shares have historically carried, 6x to 14x</w:t>
            </w:r>
          </w:p>
        </w:tc>
      </w:tr>
      <w:tr>
        <w:tc>
          <w:tcPr>
            <w:tcW w:type="dxa" w:w="2381"/>
          </w:tcPr>
          <w:p>
            <w:r/>
            <w:r>
              <w:rPr>
                <w:color w:val="1A1D21"/>
                <w:sz w:val="17"/>
              </w:rPr>
              <w:t>Normalised earnings power</w:t>
            </w:r>
          </w:p>
        </w:tc>
        <w:tc>
          <w:tcPr>
            <w:tcW w:type="dxa" w:w="1134"/>
          </w:tcPr>
          <w:p>
            <w:pPr>
              <w:jc w:val="right"/>
            </w:pPr>
            <w:r/>
            <w:r>
              <w:rPr>
                <w:color w:val="1A1D21"/>
                <w:sz w:val="17"/>
              </w:rPr>
              <w:t>4.72</w:t>
            </w:r>
          </w:p>
        </w:tc>
        <w:tc>
          <w:tcPr>
            <w:tcW w:type="dxa" w:w="1134"/>
          </w:tcPr>
          <w:p>
            <w:pPr>
              <w:jc w:val="right"/>
            </w:pPr>
            <w:r/>
            <w:r>
              <w:rPr>
                <w:color w:val="1A1D21"/>
                <w:sz w:val="17"/>
              </w:rPr>
              <w:t>5.17</w:t>
            </w:r>
          </w:p>
        </w:tc>
        <w:tc>
          <w:tcPr>
            <w:tcW w:type="dxa" w:w="1247"/>
          </w:tcPr>
          <w:p>
            <w:pPr>
              <w:jc w:val="right"/>
            </w:pPr>
            <w:r/>
            <w:r>
              <w:rPr>
                <w:color w:val="1A1D21"/>
                <w:sz w:val="17"/>
              </w:rPr>
              <w:t>5.72</w:t>
            </w:r>
          </w:p>
        </w:tc>
        <w:tc>
          <w:tcPr>
            <w:tcW w:type="dxa" w:w="907"/>
          </w:tcPr>
          <w:p>
            <w:pPr>
              <w:jc w:val="right"/>
            </w:pPr>
            <w:r/>
            <w:r>
              <w:rPr>
                <w:color w:val="1A1D21"/>
                <w:sz w:val="17"/>
              </w:rPr>
              <w:t>20%</w:t>
            </w:r>
          </w:p>
        </w:tc>
        <w:tc>
          <w:tcPr>
            <w:tcW w:type="dxa" w:w="2494"/>
          </w:tcPr>
          <w:p>
            <w:r/>
            <w:r>
              <w:rPr>
                <w:color w:val="1A1D21"/>
                <w:sz w:val="17"/>
              </w:rPr>
              <w:t>the cost of equity</w:t>
            </w:r>
          </w:p>
        </w:tc>
      </w:tr>
      <w:tr>
        <w:tc>
          <w:tcPr>
            <w:tcW w:type="dxa" w:w="2381"/>
          </w:tcPr>
          <w:p>
            <w:r/>
            <w:r>
              <w:rPr>
                <w:color w:val="1A1D21"/>
                <w:sz w:val="17"/>
              </w:rPr>
              <w:t>Weighted central</w:t>
            </w:r>
          </w:p>
        </w:tc>
        <w:tc>
          <w:tcPr>
            <w:tcW w:type="dxa" w:w="1134"/>
          </w:tcPr>
          <w:p>
            <w:pPr>
              <w:jc w:val="right"/>
            </w:pPr>
            <w:r/>
            <w:r>
              <w:rPr>
                <w:color w:val="1A1D21"/>
                <w:sz w:val="17"/>
              </w:rPr>
              <w:t>4.60</w:t>
            </w:r>
          </w:p>
        </w:tc>
        <w:tc>
          <w:tcPr>
            <w:tcW w:type="dxa" w:w="1134"/>
          </w:tcPr>
          <w:p>
            <w:pPr>
              <w:jc w:val="right"/>
            </w:pPr>
            <w:r/>
            <w:r>
              <w:rPr>
                <w:color w:val="1A1D21"/>
                <w:sz w:val="17"/>
              </w:rPr>
              <w:t>10.94</w:t>
            </w:r>
          </w:p>
        </w:tc>
        <w:tc>
          <w:tcPr>
            <w:tcW w:type="dxa" w:w="1247"/>
          </w:tcPr>
          <w:p>
            <w:pPr>
              <w:jc w:val="right"/>
            </w:pPr>
            <w:r/>
            <w:r>
              <w:rPr>
                <w:color w:val="1A1D21"/>
                <w:sz w:val="17"/>
              </w:rPr>
              <w:t>23.33</w:t>
            </w:r>
          </w:p>
        </w:tc>
        <w:tc>
          <w:tcPr>
            <w:tcW w:type="dxa" w:w="907"/>
          </w:tcPr>
          <w:p>
            <w:pPr>
              <w:jc w:val="right"/>
            </w:pPr>
            <w:r/>
            <w:r>
              <w:rPr>
                <w:color w:val="1A1D21"/>
                <w:sz w:val="17"/>
              </w:rPr>
              <w:t>100%</w:t>
            </w:r>
          </w:p>
        </w:tc>
        <w:tc>
          <w:tcPr>
            <w:tcW w:type="dxa" w:w="2494"/>
          </w:tcPr>
          <w:p>
            <w:r/>
            <w:r>
              <w:rPr>
                <w:color w:val="1A1D21"/>
                <w:sz w:val="17"/>
              </w:rPr>
            </w:r>
          </w:p>
        </w:tc>
      </w:tr>
    </w:tbl>
    <w:p>
      <w:pPr>
        <w:spacing w:after="200"/>
      </w:pPr>
      <w:r>
        <w:rPr>
          <w:b w:val="0"/>
          <w:i/>
          <w:color w:val="5B6570"/>
          <w:sz w:val="16"/>
        </w:rPr>
        <w:t>EGP per share, against a close of EGP 15.20. The weights are stated before the numbers are read and are identical across the three columns.</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1605"/>
        <w:gridCol w:w="1605"/>
        <w:gridCol w:w="1605"/>
        <w:gridCol w:w="1605"/>
        <w:gridCol w:w="1605"/>
        <w:gridCol w:w="1605"/>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1605"/>
        <w:gridCol w:w="1605"/>
        <w:gridCol w:w="1605"/>
        <w:gridCol w:w="1605"/>
        <w:gridCol w:w="1605"/>
        <w:gridCol w:w="1605"/>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1605"/>
        <w:gridCol w:w="1605"/>
        <w:gridCol w:w="1605"/>
        <w:gridCol w:w="1605"/>
        <w:gridCol w:w="1605"/>
        <w:gridCol w:w="1605"/>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21.29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previous edition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previous edition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2408"/>
        <w:gridCol w:w="2408"/>
        <w:gridCol w:w="2408"/>
        <w:gridCol w:w="2408"/>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previous edition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c>
          <w:tcPr>
            <w:tcW w:type="dxa" w:w="3969"/>
          </w:tcPr>
          <w:p>
            <w:r/>
            <w:r>
              <w:rPr>
                <w:color w:val="1A1D21"/>
                <w:sz w:val="17"/>
              </w:rPr>
              <w:t>Equity weight at market value</w:t>
            </w:r>
          </w:p>
        </w:tc>
        <w:tc>
          <w:tcPr>
            <w:tcW w:type="dxa" w:w="2608"/>
          </w:tcPr>
          <w:p>
            <w:pPr>
              <w:jc w:val="right"/>
            </w:pPr>
            <w:r/>
            <w:r>
              <w:rPr>
                <w:color w:val="1A1D21"/>
                <w:sz w:val="17"/>
              </w:rPr>
              <w:t>56.4%</w:t>
            </w:r>
          </w:p>
        </w:tc>
        <w:tc>
          <w:tcPr>
            <w:tcW w:type="dxa" w:w="2608"/>
          </w:tcPr>
          <w:p>
            <w:pPr>
              <w:jc w:val="right"/>
            </w:pPr>
            <w:r/>
            <w:r>
              <w:rPr>
                <w:color w:val="1A1D21"/>
                <w:sz w:val="17"/>
              </w:rPr>
              <w:t>56.4%</w:t>
            </w:r>
          </w:p>
        </w:tc>
      </w:tr>
      <w:tr>
        <w:tc>
          <w:tcPr>
            <w:tcW w:type="dxa" w:w="3969"/>
          </w:tcPr>
          <w:p>
            <w:r/>
            <w:r>
              <w:rPr>
                <w:color w:val="1A1D21"/>
                <w:sz w:val="17"/>
              </w:rPr>
              <w:t>Debt weight</w:t>
            </w:r>
          </w:p>
        </w:tc>
        <w:tc>
          <w:tcPr>
            <w:tcW w:type="dxa" w:w="2608"/>
          </w:tcPr>
          <w:p>
            <w:pPr>
              <w:jc w:val="right"/>
            </w:pPr>
            <w:r/>
            <w:r>
              <w:rPr>
                <w:color w:val="1A1D21"/>
                <w:sz w:val="17"/>
              </w:rPr>
              <w:t>43.6%</w:t>
            </w:r>
          </w:p>
        </w:tc>
        <w:tc>
          <w:tcPr>
            <w:tcW w:type="dxa" w:w="2608"/>
          </w:tcPr>
          <w:p>
            <w:pPr>
              <w:jc w:val="right"/>
            </w:pPr>
            <w:r/>
            <w:r>
              <w:rPr>
                <w:color w:val="1A1D21"/>
                <w:sz w:val="17"/>
              </w:rPr>
              <w:t>43.6%</w:t>
            </w:r>
          </w:p>
        </w:tc>
      </w:tr>
      <w:tr>
        <w:tc>
          <w:tcPr>
            <w:tcW w:type="dxa" w:w="3969"/>
          </w:tcPr>
          <w:p>
            <w:r/>
            <w:r>
              <w:rPr>
                <w:color w:val="1A1D21"/>
                <w:sz w:val="17"/>
              </w:rPr>
              <w:t>Weighted average cost of capital</w:t>
            </w:r>
          </w:p>
        </w:tc>
        <w:tc>
          <w:tcPr>
            <w:tcW w:type="dxa" w:w="2608"/>
          </w:tcPr>
          <w:p>
            <w:pPr>
              <w:jc w:val="right"/>
            </w:pPr>
            <w:r/>
            <w:r>
              <w:rPr>
                <w:color w:val="1A1D21"/>
                <w:sz w:val="17"/>
              </w:rPr>
              <w:t>26.25%</w:t>
            </w:r>
          </w:p>
        </w:tc>
        <w:tc>
          <w:tcPr>
            <w:tcW w:type="dxa" w:w="2608"/>
          </w:tcPr>
          <w:p>
            <w:pPr>
              <w:jc w:val="right"/>
            </w:pPr>
            <w:r/>
            <w:r>
              <w:rPr>
                <w:color w:val="1A1D21"/>
                <w:sz w:val="17"/>
              </w:rPr>
              <w:t>25.24%</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by the whole 800 basis points of the previous edition's error changes value by less than moving cash conversion from one observed year to another.</w:t>
      </w:r>
    </w:p>
    <w:tbl>
      <w:tblPr>
        <w:tblStyle w:val="TableGrid"/>
        <w:tblW w:type="auto" w:w="0"/>
        <w:jc w:val="center"/>
        <w:tblLayout w:type="fixed"/>
        <w:tblLook w:firstColumn="1" w:firstRow="1" w:lastColumn="0" w:lastRow="0" w:noHBand="0" w:noVBand="1" w:val="04A0"/>
        <w:tblLayout w:type="fixed"/>
      </w:tblPr>
      <w:tblGrid>
        <w:gridCol w:w="1605"/>
        <w:gridCol w:w="1605"/>
        <w:gridCol w:w="1605"/>
        <w:gridCol w:w="1605"/>
        <w:gridCol w:w="1605"/>
        <w:gridCol w:w="1605"/>
      </w:tblGrid>
      <w:tr>
        <w:trPr>
          <w:tblHeader w:val="true"/>
        </w:trPr>
        <w:tc>
          <w:tcPr>
            <w:tcW w:type="dxa" w:w="2494"/>
          </w:tcPr>
          <w:p>
            <w:r/>
            <w:r>
              <w:rPr>
                <w:b/>
                <w:color w:val="5B6570"/>
                <w:sz w:val="17"/>
              </w:rPr>
              <w:t>Cash conversion</w:t>
            </w:r>
          </w:p>
        </w:tc>
        <w:tc>
          <w:tcPr>
            <w:tcW w:type="dxa" w:w="1361"/>
          </w:tcPr>
          <w:p>
            <w:r/>
            <w:r>
              <w:rPr>
                <w:b/>
                <w:color w:val="5B6570"/>
                <w:sz w:val="17"/>
              </w:rPr>
              <w:t>22.25%</w:t>
            </w:r>
          </w:p>
        </w:tc>
        <w:tc>
          <w:tcPr>
            <w:tcW w:type="dxa" w:w="1361"/>
          </w:tcPr>
          <w:p>
            <w:r/>
            <w:r>
              <w:rPr>
                <w:b/>
                <w:color w:val="5B6570"/>
                <w:sz w:val="17"/>
              </w:rPr>
              <w:t>24.25%</w:t>
            </w:r>
          </w:p>
        </w:tc>
        <w:tc>
          <w:tcPr>
            <w:tcW w:type="dxa" w:w="1361"/>
          </w:tcPr>
          <w:p>
            <w:r/>
            <w:r>
              <w:rPr>
                <w:b/>
                <w:color w:val="5B6570"/>
                <w:sz w:val="17"/>
              </w:rPr>
              <w:t>26.25%</w:t>
            </w:r>
          </w:p>
        </w:tc>
        <w:tc>
          <w:tcPr>
            <w:tcW w:type="dxa" w:w="1361"/>
          </w:tcPr>
          <w:p>
            <w:r/>
            <w:r>
              <w:rPr>
                <w:b/>
                <w:color w:val="5B6570"/>
                <w:sz w:val="17"/>
              </w:rPr>
              <w:t>28.25%</w:t>
            </w:r>
          </w:p>
        </w:tc>
        <w:tc>
          <w:tcPr>
            <w:tcW w:type="dxa" w:w="1361"/>
          </w:tcPr>
          <w:p>
            <w:r/>
            <w:r>
              <w:rPr>
                <w:b/>
                <w:color w:val="5B6570"/>
                <w:sz w:val="17"/>
              </w:rPr>
              <w:t>30.25%</w:t>
            </w:r>
          </w:p>
        </w:tc>
      </w:tr>
      <w:tr>
        <w:tc>
          <w:tcPr>
            <w:tcW w:type="dxa" w:w="2494"/>
          </w:tcPr>
          <w:p>
            <w:r/>
            <w:r>
              <w:rPr>
                <w:color w:val="1A1D21"/>
                <w:sz w:val="17"/>
              </w:rPr>
              <w:t>3.9%</w:t>
            </w:r>
          </w:p>
        </w:tc>
        <w:tc>
          <w:tcPr>
            <w:tcW w:type="dxa" w:w="1361"/>
          </w:tcPr>
          <w:p>
            <w:pPr>
              <w:jc w:val="right"/>
            </w:pPr>
            <w:r/>
            <w:r>
              <w:rPr>
                <w:color w:val="1A1D21"/>
                <w:sz w:val="17"/>
              </w:rPr>
              <w:t>15.00</w:t>
            </w:r>
          </w:p>
        </w:tc>
        <w:tc>
          <w:tcPr>
            <w:tcW w:type="dxa" w:w="1361"/>
          </w:tcPr>
          <w:p>
            <w:pPr>
              <w:jc w:val="right"/>
            </w:pPr>
            <w:r/>
            <w:r>
              <w:rPr>
                <w:color w:val="1A1D21"/>
                <w:sz w:val="17"/>
              </w:rPr>
              <w:t>11.61</w:t>
            </w:r>
          </w:p>
        </w:tc>
        <w:tc>
          <w:tcPr>
            <w:tcW w:type="dxa" w:w="1361"/>
          </w:tcPr>
          <w:p>
            <w:pPr>
              <w:jc w:val="right"/>
            </w:pPr>
            <w:r/>
            <w:r>
              <w:rPr>
                <w:color w:val="1A1D21"/>
                <w:sz w:val="17"/>
              </w:rPr>
              <w:t>9.17</w:t>
            </w:r>
          </w:p>
        </w:tc>
        <w:tc>
          <w:tcPr>
            <w:tcW w:type="dxa" w:w="1361"/>
          </w:tcPr>
          <w:p>
            <w:pPr>
              <w:jc w:val="right"/>
            </w:pPr>
            <w:r/>
            <w:r>
              <w:rPr>
                <w:color w:val="1A1D21"/>
                <w:sz w:val="17"/>
              </w:rPr>
              <w:t>7.31</w:t>
            </w:r>
          </w:p>
        </w:tc>
        <w:tc>
          <w:tcPr>
            <w:tcW w:type="dxa" w:w="1361"/>
          </w:tcPr>
          <w:p>
            <w:pPr>
              <w:jc w:val="right"/>
            </w:pPr>
            <w:r/>
            <w:r>
              <w:rPr>
                <w:color w:val="1A1D21"/>
                <w:sz w:val="17"/>
              </w:rPr>
              <w:t>5.86</w:t>
            </w:r>
          </w:p>
        </w:tc>
      </w:tr>
      <w:tr>
        <w:tc>
          <w:tcPr>
            <w:tcW w:type="dxa" w:w="2494"/>
          </w:tcPr>
          <w:p>
            <w:r/>
            <w:r>
              <w:rPr>
                <w:color w:val="1A1D21"/>
                <w:sz w:val="17"/>
              </w:rPr>
              <w:t>6.0%</w:t>
            </w:r>
          </w:p>
        </w:tc>
        <w:tc>
          <w:tcPr>
            <w:tcW w:type="dxa" w:w="1361"/>
          </w:tcPr>
          <w:p>
            <w:pPr>
              <w:jc w:val="right"/>
            </w:pPr>
            <w:r/>
            <w:r>
              <w:rPr>
                <w:color w:val="1A1D21"/>
                <w:sz w:val="17"/>
              </w:rPr>
              <w:t>21.60</w:t>
            </w:r>
          </w:p>
        </w:tc>
        <w:tc>
          <w:tcPr>
            <w:tcW w:type="dxa" w:w="1361"/>
          </w:tcPr>
          <w:p>
            <w:pPr>
              <w:jc w:val="right"/>
            </w:pPr>
            <w:r/>
            <w:r>
              <w:rPr>
                <w:color w:val="1A1D21"/>
                <w:sz w:val="17"/>
              </w:rPr>
              <w:t>16.91</w:t>
            </w:r>
          </w:p>
        </w:tc>
        <w:tc>
          <w:tcPr>
            <w:tcW w:type="dxa" w:w="1361"/>
          </w:tcPr>
          <w:p>
            <w:pPr>
              <w:jc w:val="right"/>
            </w:pPr>
            <w:r/>
            <w:r>
              <w:rPr>
                <w:color w:val="1A1D21"/>
                <w:sz w:val="17"/>
              </w:rPr>
              <w:t>13.54</w:t>
            </w:r>
          </w:p>
        </w:tc>
        <w:tc>
          <w:tcPr>
            <w:tcW w:type="dxa" w:w="1361"/>
          </w:tcPr>
          <w:p>
            <w:pPr>
              <w:jc w:val="right"/>
            </w:pPr>
            <w:r/>
            <w:r>
              <w:rPr>
                <w:color w:val="1A1D21"/>
                <w:sz w:val="17"/>
              </w:rPr>
              <w:t>11.02</w:t>
            </w:r>
          </w:p>
        </w:tc>
        <w:tc>
          <w:tcPr>
            <w:tcW w:type="dxa" w:w="1361"/>
          </w:tcPr>
          <w:p>
            <w:pPr>
              <w:jc w:val="right"/>
            </w:pPr>
            <w:r/>
            <w:r>
              <w:rPr>
                <w:color w:val="1A1D21"/>
                <w:sz w:val="17"/>
              </w:rPr>
              <w:t>9.05</w:t>
            </w:r>
          </w:p>
        </w:tc>
      </w:tr>
      <w:tr>
        <w:tc>
          <w:tcPr>
            <w:tcW w:type="dxa" w:w="2494"/>
          </w:tcPr>
          <w:p>
            <w:r/>
            <w:r>
              <w:rPr>
                <w:color w:val="1A1D21"/>
                <w:sz w:val="17"/>
              </w:rPr>
              <w:t>8.7%</w:t>
            </w:r>
          </w:p>
        </w:tc>
        <w:tc>
          <w:tcPr>
            <w:tcW w:type="dxa" w:w="1361"/>
          </w:tcPr>
          <w:p>
            <w:pPr>
              <w:jc w:val="right"/>
            </w:pPr>
            <w:r/>
            <w:r>
              <w:rPr>
                <w:color w:val="1A1D21"/>
                <w:sz w:val="17"/>
              </w:rPr>
              <w:t>30.28</w:t>
            </w:r>
          </w:p>
        </w:tc>
        <w:tc>
          <w:tcPr>
            <w:tcW w:type="dxa" w:w="1361"/>
          </w:tcPr>
          <w:p>
            <w:pPr>
              <w:jc w:val="right"/>
            </w:pPr>
            <w:r/>
            <w:r>
              <w:rPr>
                <w:color w:val="1A1D21"/>
                <w:sz w:val="17"/>
              </w:rPr>
              <w:t>23.87</w:t>
            </w:r>
          </w:p>
        </w:tc>
        <w:tc>
          <w:tcPr>
            <w:tcW w:type="dxa" w:w="1361"/>
          </w:tcPr>
          <w:p>
            <w:pPr>
              <w:jc w:val="right"/>
            </w:pPr>
            <w:r/>
            <w:r>
              <w:rPr>
                <w:color w:val="1A1D21"/>
                <w:sz w:val="17"/>
              </w:rPr>
              <w:t>19.30</w:t>
            </w:r>
          </w:p>
        </w:tc>
        <w:tc>
          <w:tcPr>
            <w:tcW w:type="dxa" w:w="1361"/>
          </w:tcPr>
          <w:p>
            <w:pPr>
              <w:jc w:val="right"/>
            </w:pPr>
            <w:r/>
            <w:r>
              <w:rPr>
                <w:color w:val="1A1D21"/>
                <w:sz w:val="17"/>
              </w:rPr>
              <w:t>15.89</w:t>
            </w:r>
          </w:p>
        </w:tc>
        <w:tc>
          <w:tcPr>
            <w:tcW w:type="dxa" w:w="1361"/>
          </w:tcPr>
          <w:p>
            <w:pPr>
              <w:jc w:val="right"/>
            </w:pPr>
            <w:r/>
            <w:r>
              <w:rPr>
                <w:color w:val="1A1D21"/>
                <w:sz w:val="17"/>
              </w:rPr>
              <w:t>13.25</w:t>
            </w:r>
          </w:p>
        </w:tc>
      </w:tr>
      <w:tr>
        <w:tc>
          <w:tcPr>
            <w:tcW w:type="dxa" w:w="2494"/>
          </w:tcPr>
          <w:p>
            <w:r/>
            <w:r>
              <w:rPr>
                <w:color w:val="1A1D21"/>
                <w:sz w:val="17"/>
              </w:rPr>
              <w:t>12.0%</w:t>
            </w:r>
          </w:p>
        </w:tc>
        <w:tc>
          <w:tcPr>
            <w:tcW w:type="dxa" w:w="1361"/>
          </w:tcPr>
          <w:p>
            <w:pPr>
              <w:jc w:val="right"/>
            </w:pPr>
            <w:r/>
            <w:r>
              <w:rPr>
                <w:color w:val="1A1D21"/>
                <w:sz w:val="17"/>
              </w:rPr>
              <w:t>40.80</w:t>
            </w:r>
          </w:p>
        </w:tc>
        <w:tc>
          <w:tcPr>
            <w:tcW w:type="dxa" w:w="1361"/>
          </w:tcPr>
          <w:p>
            <w:pPr>
              <w:jc w:val="right"/>
            </w:pPr>
            <w:r/>
            <w:r>
              <w:rPr>
                <w:color w:val="1A1D21"/>
                <w:sz w:val="17"/>
              </w:rPr>
              <w:t>32.31</w:t>
            </w:r>
          </w:p>
        </w:tc>
        <w:tc>
          <w:tcPr>
            <w:tcW w:type="dxa" w:w="1361"/>
          </w:tcPr>
          <w:p>
            <w:pPr>
              <w:jc w:val="right"/>
            </w:pPr>
            <w:r/>
            <w:r>
              <w:rPr>
                <w:color w:val="1A1D21"/>
                <w:sz w:val="17"/>
              </w:rPr>
              <w:t>26.28</w:t>
            </w:r>
          </w:p>
        </w:tc>
        <w:tc>
          <w:tcPr>
            <w:tcW w:type="dxa" w:w="1361"/>
          </w:tcPr>
          <w:p>
            <w:pPr>
              <w:jc w:val="right"/>
            </w:pPr>
            <w:r/>
            <w:r>
              <w:rPr>
                <w:color w:val="1A1D21"/>
                <w:sz w:val="17"/>
              </w:rPr>
              <w:t>21.79</w:t>
            </w:r>
          </w:p>
        </w:tc>
        <w:tc>
          <w:tcPr>
            <w:tcW w:type="dxa" w:w="1361"/>
          </w:tcPr>
          <w:p>
            <w:pPr>
              <w:jc w:val="right"/>
            </w:pPr>
            <w:r/>
            <w:r>
              <w:rPr>
                <w:color w:val="1A1D21"/>
                <w:sz w:val="17"/>
              </w:rPr>
              <w:t>18.33</w:t>
            </w:r>
          </w:p>
        </w:tc>
      </w:tr>
      <w:tr>
        <w:tc>
          <w:tcPr>
            <w:tcW w:type="dxa" w:w="2494"/>
          </w:tcPr>
          <w:p>
            <w:r/>
            <w:r>
              <w:rPr>
                <w:color w:val="1A1D21"/>
                <w:sz w:val="17"/>
              </w:rPr>
              <w:t>17.9%</w:t>
            </w:r>
          </w:p>
        </w:tc>
        <w:tc>
          <w:tcPr>
            <w:tcW w:type="dxa" w:w="1361"/>
          </w:tcPr>
          <w:p>
            <w:pPr>
              <w:jc w:val="right"/>
            </w:pPr>
            <w:r/>
            <w:r>
              <w:rPr>
                <w:color w:val="1A1D21"/>
                <w:sz w:val="17"/>
              </w:rPr>
              <w:t>59.58</w:t>
            </w:r>
          </w:p>
        </w:tc>
        <w:tc>
          <w:tcPr>
            <w:tcW w:type="dxa" w:w="1361"/>
          </w:tcPr>
          <w:p>
            <w:pPr>
              <w:jc w:val="right"/>
            </w:pPr>
            <w:r/>
            <w:r>
              <w:rPr>
                <w:color w:val="1A1D21"/>
                <w:sz w:val="17"/>
              </w:rPr>
              <w:t>47.38</w:t>
            </w:r>
          </w:p>
        </w:tc>
        <w:tc>
          <w:tcPr>
            <w:tcW w:type="dxa" w:w="1361"/>
          </w:tcPr>
          <w:p>
            <w:pPr>
              <w:jc w:val="right"/>
            </w:pPr>
            <w:r/>
            <w:r>
              <w:rPr>
                <w:color w:val="1A1D21"/>
                <w:sz w:val="17"/>
              </w:rPr>
              <w:t>38.74</w:t>
            </w:r>
          </w:p>
        </w:tc>
        <w:tc>
          <w:tcPr>
            <w:tcW w:type="dxa" w:w="1361"/>
          </w:tcPr>
          <w:p>
            <w:pPr>
              <w:jc w:val="right"/>
            </w:pPr>
            <w:r/>
            <w:r>
              <w:rPr>
                <w:color w:val="1A1D21"/>
                <w:sz w:val="17"/>
              </w:rPr>
              <w:t>32.33</w:t>
            </w:r>
          </w:p>
        </w:tc>
        <w:tc>
          <w:tcPr>
            <w:tcW w:type="dxa" w:w="1361"/>
          </w:tcPr>
          <w:p>
            <w:pPr>
              <w:jc w:val="right"/>
            </w:pPr>
            <w:r/>
            <w:r>
              <w:rPr>
                <w:color w:val="1A1D21"/>
                <w:sz w:val="17"/>
              </w:rPr>
              <w:t>27.41</w:t>
            </w:r>
          </w:p>
        </w:tc>
      </w:tr>
    </w:tbl>
    <w:p>
      <w:pPr>
        <w:spacing w:after="200"/>
      </w:pPr>
      <w:r>
        <w:rPr>
          <w:b w:val="0"/>
          <w:i/>
          <w:color w:val="5B6570"/>
          <w:sz w:val="16"/>
        </w:rPr>
        <w:t>Value per share in Egyptian pounds. The closing price on 23 August 2026 was EGP 15.20.</w:t>
      </w:r>
    </w:p>
    <w:p>
      <w:pPr>
        <w:jc w:val="center"/>
      </w:pPr>
      <w:r>
        <w:drawing>
          <wp:inline xmlns:a="http://schemas.openxmlformats.org/drawingml/2006/main" xmlns:pic="http://schemas.openxmlformats.org/drawingml/2006/picture">
            <wp:extent cx="5832000" cy="3272375"/>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272375"/>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6.8%.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408"/>
        <w:gridCol w:w="2408"/>
        <w:gridCol w:w="2408"/>
        <w:gridCol w:w="240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15.20 close</w:t>
            </w:r>
          </w:p>
        </w:tc>
      </w:tr>
      <w:tr>
        <w:tc>
          <w:tcPr>
            <w:tcW w:type="dxa" w:w="2154"/>
          </w:tcPr>
          <w:p>
            <w:r/>
            <w:r>
              <w:rPr>
                <w:color w:val="1A1D21"/>
                <w:sz w:val="17"/>
              </w:rPr>
              <w:t>Fundamental value</w:t>
            </w:r>
          </w:p>
        </w:tc>
        <w:tc>
          <w:tcPr>
            <w:tcW w:type="dxa" w:w="3628"/>
          </w:tcPr>
          <w:p>
            <w:r/>
            <w:r>
              <w:rPr>
                <w:color w:val="1A1D21"/>
                <w:sz w:val="17"/>
              </w:rPr>
              <w:t>EGP 9.17 to EGP 38.74 depending on cash conversion</w:t>
            </w:r>
          </w:p>
        </w:tc>
        <w:tc>
          <w:tcPr>
            <w:tcW w:type="dxa" w:w="3175"/>
          </w:tcPr>
          <w:p>
            <w:r/>
            <w:r>
              <w:rPr>
                <w:color w:val="1A1D21"/>
                <w:sz w:val="17"/>
              </w:rPr>
              <w:t>the close sits inside the range, near its lower half</w:t>
            </w:r>
          </w:p>
        </w:tc>
      </w:tr>
      <w:t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1.2 per cent away</w:t>
            </w:r>
          </w:p>
        </w:tc>
      </w:tr>
    </w:tbl>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24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2408"/>
        <w:gridCol w:w="2408"/>
        <w:gridCol w:w="2408"/>
        <w:gridCol w:w="2408"/>
      </w:tblGrid>
      <w:tr>
        <w:trPr>
          <w:tblHeader w:val="true"/>
        </w:trPr>
        <w:tc>
          <w:tcPr>
            <w:tcW w:type="dxa" w:w="3515"/>
          </w:tcPr>
          <w:p>
            <w:r/>
            <w:r>
              <w:rPr>
                <w:b/>
                <w:color w:val="5B6570"/>
                <w:sz w:val="17"/>
              </w:rPr>
              <w:t>EGP million</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-17,837.2</w:t>
            </w:r>
          </w:p>
        </w:tc>
        <w:tc>
          <w:tcPr>
            <w:tcW w:type="dxa" w:w="1871"/>
          </w:tcPr>
          <w:p>
            <w:pPr>
              <w:jc w:val="right"/>
            </w:pPr>
            <w:r/>
            <w:r>
              <w:rPr>
                <w:color w:val="1A1D21"/>
                <w:sz w:val="17"/>
              </w:rPr>
              <w:t>-21,118.9</w:t>
            </w:r>
          </w:p>
        </w:tc>
      </w:tr>
      <w:t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c>
          <w:tcPr>
            <w:tcW w:type="dxa" w:w="3515"/>
          </w:tcPr>
          <w:p>
            <w:r/>
            <w:r>
              <w:rPr>
                <w:color w:val="1A1D21"/>
                <w:sz w:val="17"/>
              </w:rPr>
              <w:t>Profit before tax and minority</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c>
          <w:tcPr>
            <w:tcW w:type="dxa" w:w="3515"/>
          </w:tcPr>
          <w:p>
            <w:r/>
            <w:r>
              <w:rPr>
                <w:color w:val="1A1D21"/>
                <w:sz w:val="17"/>
              </w:rPr>
              <w:t>Profit after tax and minority</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as reported in the company's audited statements.</w:t>
      </w:r>
    </w:p>
    <w:tbl>
      <w:tblPr>
        <w:tblStyle w:val="TableGrid"/>
        <w:tblW w:type="auto" w:w="0"/>
        <w:jc w:val="center"/>
        <w:tblLayout w:type="fixed"/>
        <w:tblLook w:firstColumn="1" w:firstRow="1" w:lastColumn="0" w:lastRow="0" w:noHBand="0" w:noVBand="1" w:val="04A0"/>
        <w:tblLayout w:type="fixed"/>
      </w:tblPr>
      <w:tblGrid>
        <w:gridCol w:w="1926"/>
        <w:gridCol w:w="1926"/>
        <w:gridCol w:w="1926"/>
        <w:gridCol w:w="1926"/>
        <w:gridCol w:w="1926"/>
      </w:tblGrid>
      <w:tr>
        <w:trPr>
          <w:tblHeader w:val="true"/>
        </w:trPr>
        <w:tc>
          <w:tcPr>
            <w:tcW w:type="dxa" w:w="2494"/>
          </w:tcPr>
          <w:p>
            <w:r/>
            <w:r>
              <w:rPr>
                <w:b/>
                <w:color w:val="5B6570"/>
                <w:sz w:val="17"/>
              </w:rPr>
              <w:t>Forecast, EGP million</w:t>
            </w:r>
          </w:p>
        </w:tc>
        <w:tc>
          <w:tcPr>
            <w:tcW w:type="dxa" w:w="1701"/>
          </w:tcPr>
          <w:p>
            <w:r/>
            <w:r>
              <w:rPr>
                <w:b/>
                <w:color w:val="5B6570"/>
                <w:sz w:val="17"/>
              </w:rPr>
              <w:t>Revenue</w:t>
            </w:r>
          </w:p>
        </w:tc>
        <w:tc>
          <w:tcPr>
            <w:tcW w:type="dxa" w:w="1701"/>
          </w:tcPr>
          <w:p>
            <w:r/>
            <w:r>
              <w:rPr>
                <w:b/>
                <w:color w:val="5B6570"/>
                <w:sz w:val="17"/>
              </w:rPr>
              <w:t>Gross profit</w:t>
            </w:r>
          </w:p>
        </w:tc>
        <w:tc>
          <w:tcPr>
            <w:tcW w:type="dxa" w:w="1701"/>
          </w:tcPr>
          <w:p>
            <w:r/>
            <w:r>
              <w:rPr>
                <w:b/>
                <w:color w:val="5B6570"/>
                <w:sz w:val="17"/>
              </w:rPr>
              <w:t>Pre-tax profit</w:t>
            </w:r>
          </w:p>
        </w:tc>
        <w:tc>
          <w:tcPr>
            <w:tcW w:type="dxa" w:w="1701"/>
          </w:tcPr>
          <w:p>
            <w:r/>
            <w:r>
              <w:rPr>
                <w:b/>
                <w:color w:val="5B6570"/>
                <w:sz w:val="17"/>
              </w:rPr>
              <w:t>Operating cash</w:t>
            </w:r>
          </w:p>
        </w:tc>
      </w:tr>
      <w:tr>
        <w:tc>
          <w:tcPr>
            <w:tcW w:type="dxa" w:w="2494"/>
          </w:tcPr>
          <w:p>
            <w:r/>
            <w:r>
              <w:rPr>
                <w:color w:val="1A1D21"/>
                <w:sz w:val="17"/>
              </w:rPr>
              <w:t>2026</w:t>
            </w:r>
          </w:p>
        </w:tc>
        <w:tc>
          <w:tcPr>
            <w:tcW w:type="dxa" w:w="1701"/>
          </w:tcPr>
          <w:p>
            <w:pPr>
              <w:jc w:val="right"/>
            </w:pPr>
            <w:r/>
            <w:r>
              <w:rPr>
                <w:color w:val="1A1D21"/>
                <w:sz w:val="17"/>
              </w:rPr>
              <w:t>45,284</w:t>
            </w:r>
          </w:p>
        </w:tc>
        <w:tc>
          <w:tcPr>
            <w:tcW w:type="dxa" w:w="1701"/>
          </w:tcPr>
          <w:p>
            <w:pPr>
              <w:jc w:val="right"/>
            </w:pPr>
            <w:r/>
            <w:r>
              <w:rPr>
                <w:color w:val="1A1D21"/>
                <w:sz w:val="17"/>
              </w:rPr>
              <w:t>17,354</w:t>
            </w:r>
          </w:p>
        </w:tc>
        <w:tc>
          <w:tcPr>
            <w:tcW w:type="dxa" w:w="1701"/>
          </w:tcPr>
          <w:p>
            <w:pPr>
              <w:jc w:val="right"/>
            </w:pPr>
            <w:r/>
            <w:r>
              <w:rPr>
                <w:color w:val="1A1D21"/>
                <w:sz w:val="17"/>
              </w:rPr>
              <w:t>828</w:t>
            </w:r>
          </w:p>
        </w:tc>
        <w:tc>
          <w:tcPr>
            <w:tcW w:type="dxa" w:w="1701"/>
          </w:tcPr>
          <w:p>
            <w:pPr>
              <w:jc w:val="right"/>
            </w:pPr>
            <w:r/>
            <w:r>
              <w:rPr>
                <w:color w:val="1A1D21"/>
                <w:sz w:val="17"/>
              </w:rPr>
              <w:t>3,946</w:t>
            </w:r>
          </w:p>
        </w:tc>
      </w:tr>
      <w:tr>
        <w:tc>
          <w:tcPr>
            <w:tcW w:type="dxa" w:w="2494"/>
          </w:tcPr>
          <w:p>
            <w:r/>
            <w:r>
              <w:rPr>
                <w:color w:val="1A1D21"/>
                <w:sz w:val="17"/>
              </w:rPr>
              <w:t>2027</w:t>
            </w:r>
          </w:p>
        </w:tc>
        <w:tc>
          <w:tcPr>
            <w:tcW w:type="dxa" w:w="1701"/>
          </w:tcPr>
          <w:p>
            <w:pPr>
              <w:jc w:val="right"/>
            </w:pPr>
            <w:r/>
            <w:r>
              <w:rPr>
                <w:color w:val="1A1D21"/>
                <w:sz w:val="17"/>
              </w:rPr>
              <w:t>56,696</w:t>
            </w:r>
          </w:p>
        </w:tc>
        <w:tc>
          <w:tcPr>
            <w:tcW w:type="dxa" w:w="1701"/>
          </w:tcPr>
          <w:p>
            <w:pPr>
              <w:jc w:val="right"/>
            </w:pPr>
            <w:r/>
            <w:r>
              <w:rPr>
                <w:color w:val="1A1D21"/>
                <w:sz w:val="17"/>
              </w:rPr>
              <w:t>21,727</w:t>
            </w:r>
          </w:p>
        </w:tc>
        <w:tc>
          <w:tcPr>
            <w:tcW w:type="dxa" w:w="1701"/>
          </w:tcPr>
          <w:p>
            <w:pPr>
              <w:jc w:val="right"/>
            </w:pPr>
            <w:r/>
            <w:r>
              <w:rPr>
                <w:color w:val="1A1D21"/>
                <w:sz w:val="17"/>
              </w:rPr>
              <w:t>3,193</w:t>
            </w:r>
          </w:p>
        </w:tc>
        <w:tc>
          <w:tcPr>
            <w:tcW w:type="dxa" w:w="1701"/>
          </w:tcPr>
          <w:p>
            <w:pPr>
              <w:jc w:val="right"/>
            </w:pPr>
            <w:r/>
            <w:r>
              <w:rPr>
                <w:color w:val="1A1D21"/>
                <w:sz w:val="17"/>
              </w:rPr>
              <w:t>4,940</w:t>
            </w:r>
          </w:p>
        </w:tc>
      </w:tr>
      <w:tr>
        <w:tc>
          <w:tcPr>
            <w:tcW w:type="dxa" w:w="2494"/>
          </w:tcPr>
          <w:p>
            <w:r/>
            <w:r>
              <w:rPr>
                <w:color w:val="1A1D21"/>
                <w:sz w:val="17"/>
              </w:rPr>
              <w:t>2028</w:t>
            </w:r>
          </w:p>
        </w:tc>
        <w:tc>
          <w:tcPr>
            <w:tcW w:type="dxa" w:w="1701"/>
          </w:tcPr>
          <w:p>
            <w:pPr>
              <w:jc w:val="right"/>
            </w:pPr>
            <w:r/>
            <w:r>
              <w:rPr>
                <w:color w:val="1A1D21"/>
                <w:sz w:val="17"/>
              </w:rPr>
              <w:t>70,983</w:t>
            </w:r>
          </w:p>
        </w:tc>
        <w:tc>
          <w:tcPr>
            <w:tcW w:type="dxa" w:w="1701"/>
          </w:tcPr>
          <w:p>
            <w:pPr>
              <w:jc w:val="right"/>
            </w:pPr>
            <w:r/>
            <w:r>
              <w:rPr>
                <w:color w:val="1A1D21"/>
                <w:sz w:val="17"/>
              </w:rPr>
              <w:t>27,202</w:t>
            </w:r>
          </w:p>
        </w:tc>
        <w:tc>
          <w:tcPr>
            <w:tcW w:type="dxa" w:w="1701"/>
          </w:tcPr>
          <w:p>
            <w:pPr>
              <w:jc w:val="right"/>
            </w:pPr>
            <w:r/>
            <w:r>
              <w:rPr>
                <w:color w:val="1A1D21"/>
                <w:sz w:val="17"/>
              </w:rPr>
              <w:t>6,154</w:t>
            </w:r>
          </w:p>
        </w:tc>
        <w:tc>
          <w:tcPr>
            <w:tcW w:type="dxa" w:w="1701"/>
          </w:tcPr>
          <w:p>
            <w:pPr>
              <w:jc w:val="right"/>
            </w:pPr>
            <w:r/>
            <w:r>
              <w:rPr>
                <w:color w:val="1A1D21"/>
                <w:sz w:val="17"/>
              </w:rPr>
              <w:t>6,185</w:t>
            </w:r>
          </w:p>
        </w:tc>
      </w:tr>
      <w:tr>
        <w:tc>
          <w:tcPr>
            <w:tcW w:type="dxa" w:w="2494"/>
          </w:tcPr>
          <w:p>
            <w:r/>
            <w:r>
              <w:rPr>
                <w:color w:val="1A1D21"/>
                <w:sz w:val="17"/>
              </w:rPr>
              <w:t>2029</w:t>
            </w:r>
          </w:p>
        </w:tc>
        <w:tc>
          <w:tcPr>
            <w:tcW w:type="dxa" w:w="1701"/>
          </w:tcPr>
          <w:p>
            <w:pPr>
              <w:jc w:val="right"/>
            </w:pPr>
            <w:r/>
            <w:r>
              <w:rPr>
                <w:color w:val="1A1D21"/>
                <w:sz w:val="17"/>
              </w:rPr>
              <w:t>88,870</w:t>
            </w:r>
          </w:p>
        </w:tc>
        <w:tc>
          <w:tcPr>
            <w:tcW w:type="dxa" w:w="1701"/>
          </w:tcPr>
          <w:p>
            <w:pPr>
              <w:jc w:val="right"/>
            </w:pPr>
            <w:r/>
            <w:r>
              <w:rPr>
                <w:color w:val="1A1D21"/>
                <w:sz w:val="17"/>
              </w:rPr>
              <w:t>34,057</w:t>
            </w:r>
          </w:p>
        </w:tc>
        <w:tc>
          <w:tcPr>
            <w:tcW w:type="dxa" w:w="1701"/>
          </w:tcPr>
          <w:p>
            <w:pPr>
              <w:jc w:val="right"/>
            </w:pPr>
            <w:r/>
            <w:r>
              <w:rPr>
                <w:color w:val="1A1D21"/>
                <w:sz w:val="17"/>
              </w:rPr>
              <w:t>9,861</w:t>
            </w:r>
          </w:p>
        </w:tc>
        <w:tc>
          <w:tcPr>
            <w:tcW w:type="dxa" w:w="1701"/>
          </w:tcPr>
          <w:p>
            <w:pPr>
              <w:jc w:val="right"/>
            </w:pPr>
            <w:r/>
            <w:r>
              <w:rPr>
                <w:color w:val="1A1D21"/>
                <w:sz w:val="17"/>
              </w:rPr>
              <w:t>7,744</w:t>
            </w:r>
          </w:p>
        </w:tc>
      </w:tr>
      <w:tr>
        <w:tc>
          <w:tcPr>
            <w:tcW w:type="dxa" w:w="2494"/>
          </w:tcPr>
          <w:p>
            <w:r/>
            <w:r>
              <w:rPr>
                <w:color w:val="1A1D21"/>
                <w:sz w:val="17"/>
              </w:rPr>
              <w:t>2030</w:t>
            </w:r>
          </w:p>
        </w:tc>
        <w:tc>
          <w:tcPr>
            <w:tcW w:type="dxa" w:w="1701"/>
          </w:tcPr>
          <w:p>
            <w:pPr>
              <w:jc w:val="right"/>
            </w:pPr>
            <w:r/>
            <w:r>
              <w:rPr>
                <w:color w:val="1A1D21"/>
                <w:sz w:val="17"/>
              </w:rPr>
              <w:t>111,266</w:t>
            </w:r>
          </w:p>
        </w:tc>
        <w:tc>
          <w:tcPr>
            <w:tcW w:type="dxa" w:w="1701"/>
          </w:tcPr>
          <w:p>
            <w:pPr>
              <w:jc w:val="right"/>
            </w:pPr>
            <w:r/>
            <w:r>
              <w:rPr>
                <w:color w:val="1A1D21"/>
                <w:sz w:val="17"/>
              </w:rPr>
              <w:t>42,640</w:t>
            </w:r>
          </w:p>
        </w:tc>
        <w:tc>
          <w:tcPr>
            <w:tcW w:type="dxa" w:w="1701"/>
          </w:tcPr>
          <w:p>
            <w:pPr>
              <w:jc w:val="right"/>
            </w:pPr>
            <w:r/>
            <w:r>
              <w:rPr>
                <w:color w:val="1A1D21"/>
                <w:sz w:val="17"/>
              </w:rPr>
              <w:t>14,502</w:t>
            </w:r>
          </w:p>
        </w:tc>
        <w:tc>
          <w:tcPr>
            <w:tcW w:type="dxa" w:w="1701"/>
          </w:tcPr>
          <w:p>
            <w:pPr>
              <w:jc w:val="right"/>
            </w:pPr>
            <w:r/>
            <w:r>
              <w:rPr>
                <w:color w:val="1A1D21"/>
                <w:sz w:val="17"/>
              </w:rPr>
              <w:t>9,695</w:t>
            </w:r>
          </w:p>
        </w:tc>
      </w:tr>
    </w:tbl>
    <w:p>
      <w:pPr>
        <w:spacing w:after="200"/>
      </w:pPr>
      <w:r>
        <w:rPr>
          <w:b w:val="0"/>
          <w:i/>
          <w:color w:val="5B6570"/>
          <w:sz w:val="16"/>
        </w:rPr>
        <w:t>Five forecast years, central case. Years three to five should be read as the corresponding rows of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4195"/>
          </w:tcPr>
          <w:p>
            <w:r/>
            <w:r>
              <w:rPr>
                <w:b/>
                <w:color w:val="5B6570"/>
                <w:sz w:val="17"/>
              </w:rPr>
              <w:t>EGP million</w:t>
            </w:r>
          </w:p>
        </w:tc>
        <w:tc>
          <w:tcPr>
            <w:tcW w:type="dxa" w:w="2494"/>
          </w:tcPr>
          <w:p>
            <w:r/>
            <w:r>
              <w:rPr>
                <w:b/>
                <w:color w:val="5B6570"/>
                <w:sz w:val="17"/>
              </w:rPr>
              <w:t>2025</w:t>
            </w:r>
          </w:p>
        </w:tc>
        <w:tc>
          <w:tcPr>
            <w:tcW w:type="dxa" w:w="2494"/>
          </w:tcPr>
          <w:p>
            <w:r/>
            <w:r>
              <w:rPr>
                <w:b/>
                <w:color w:val="5B6570"/>
                <w:sz w:val="17"/>
              </w:rPr>
              <w:t>2024</w:t>
            </w:r>
          </w:p>
        </w:tc>
      </w:tr>
      <w:tr>
        <w:tc>
          <w:tcPr>
            <w:tcW w:type="dxa" w:w="4195"/>
          </w:tcPr>
          <w:p>
            <w:r/>
            <w:r>
              <w:rPr>
                <w:color w:val="1A1D21"/>
                <w:sz w:val="17"/>
              </w:rPr>
              <w:t>Non-current assets</w:t>
            </w:r>
          </w:p>
        </w:tc>
        <w:tc>
          <w:tcPr>
            <w:tcW w:type="dxa" w:w="2494"/>
          </w:tcPr>
          <w:p>
            <w:pPr>
              <w:jc w:val="right"/>
            </w:pPr>
            <w:r/>
            <w:r>
              <w:rPr>
                <w:color w:val="1A1D21"/>
                <w:sz w:val="17"/>
              </w:rPr>
              <w:t>65,900.2</w:t>
            </w:r>
          </w:p>
        </w:tc>
        <w:tc>
          <w:tcPr>
            <w:tcW w:type="dxa" w:w="2494"/>
          </w:tcPr>
          <w:p>
            <w:pPr>
              <w:jc w:val="right"/>
            </w:pPr>
            <w:r/>
            <w:r>
              <w:rPr>
                <w:color w:val="1A1D21"/>
                <w:sz w:val="17"/>
              </w:rPr>
              <w:t>54,166.4</w:t>
            </w:r>
          </w:p>
        </w:tc>
      </w:tr>
      <w:tr>
        <w:tc>
          <w:tcPr>
            <w:tcW w:type="dxa" w:w="4195"/>
          </w:tcPr>
          <w:p>
            <w:r/>
            <w:r>
              <w:rPr>
                <w:color w:val="1A1D21"/>
                <w:sz w:val="17"/>
              </w:rPr>
              <w:t xml:space="preserve">  of which notes receivable, long term</w:t>
            </w:r>
          </w:p>
        </w:tc>
        <w:tc>
          <w:tcPr>
            <w:tcW w:type="dxa" w:w="2494"/>
          </w:tcPr>
          <w:p>
            <w:pPr>
              <w:jc w:val="right"/>
            </w:pPr>
            <w:r/>
            <w:r>
              <w:rPr>
                <w:color w:val="1A1D21"/>
                <w:sz w:val="17"/>
              </w:rPr>
              <w:t>56,319.8</w:t>
            </w:r>
          </w:p>
        </w:tc>
        <w:tc>
          <w:tcPr>
            <w:tcW w:type="dxa" w:w="2494"/>
          </w:tcPr>
          <w:p>
            <w:pPr>
              <w:jc w:val="right"/>
            </w:pPr>
            <w:r/>
            <w:r>
              <w:rPr>
                <w:color w:val="1A1D21"/>
                <w:sz w:val="17"/>
              </w:rPr>
              <w:t>46,309.1</w:t>
            </w:r>
          </w:p>
        </w:tc>
      </w:tr>
      <w:tr>
        <w:tc>
          <w:tcPr>
            <w:tcW w:type="dxa" w:w="4195"/>
          </w:tcPr>
          <w:p>
            <w:r/>
            <w:r>
              <w:rPr>
                <w:color w:val="1A1D21"/>
                <w:sz w:val="17"/>
              </w:rPr>
              <w:t>Current assets</w:t>
            </w:r>
          </w:p>
        </w:tc>
        <w:tc>
          <w:tcPr>
            <w:tcW w:type="dxa" w:w="2494"/>
          </w:tcPr>
          <w:p>
            <w:pPr>
              <w:jc w:val="right"/>
            </w:pPr>
            <w:r/>
            <w:r>
              <w:rPr>
                <w:color w:val="1A1D21"/>
                <w:sz w:val="17"/>
              </w:rPr>
              <w:t>106,229.6</w:t>
            </w:r>
          </w:p>
        </w:tc>
        <w:tc>
          <w:tcPr>
            <w:tcW w:type="dxa" w:w="2494"/>
          </w:tcPr>
          <w:p>
            <w:pPr>
              <w:jc w:val="right"/>
            </w:pPr>
            <w:r/>
            <w:r>
              <w:rPr>
                <w:color w:val="1A1D21"/>
                <w:sz w:val="17"/>
              </w:rPr>
              <w:t>69,270.9</w:t>
            </w:r>
          </w:p>
        </w:tc>
      </w:tr>
      <w:tr>
        <w:tc>
          <w:tcPr>
            <w:tcW w:type="dxa" w:w="4195"/>
          </w:tcPr>
          <w:p>
            <w:r/>
            <w:r>
              <w:rPr>
                <w:color w:val="1A1D21"/>
                <w:sz w:val="17"/>
              </w:rPr>
              <w:t xml:space="preserve">  of which work in progress</w:t>
            </w:r>
          </w:p>
        </w:tc>
        <w:tc>
          <w:tcPr>
            <w:tcW w:type="dxa" w:w="2494"/>
          </w:tcPr>
          <w:p>
            <w:pPr>
              <w:jc w:val="right"/>
            </w:pPr>
            <w:r/>
            <w:r>
              <w:rPr>
                <w:color w:val="1A1D21"/>
                <w:sz w:val="17"/>
              </w:rPr>
              <w:t>17,570.9</w:t>
            </w:r>
          </w:p>
        </w:tc>
        <w:tc>
          <w:tcPr>
            <w:tcW w:type="dxa" w:w="2494"/>
          </w:tcPr>
          <w:p>
            <w:pPr>
              <w:jc w:val="right"/>
            </w:pPr>
            <w:r/>
            <w:r>
              <w:rPr>
                <w:color w:val="1A1D21"/>
                <w:sz w:val="17"/>
              </w:rPr>
              <w:t>13,209.8</w:t>
            </w:r>
          </w:p>
        </w:tc>
      </w:tr>
      <w:tr>
        <w:tc>
          <w:tcPr>
            <w:tcW w:type="dxa" w:w="4195"/>
          </w:tcPr>
          <w:p>
            <w:r/>
            <w:r>
              <w:rPr>
                <w:color w:val="1A1D21"/>
                <w:sz w:val="17"/>
              </w:rPr>
              <w:t xml:space="preserve">  of which trade receivables</w:t>
            </w:r>
          </w:p>
        </w:tc>
        <w:tc>
          <w:tcPr>
            <w:tcW w:type="dxa" w:w="2494"/>
          </w:tcPr>
          <w:p>
            <w:pPr>
              <w:jc w:val="right"/>
            </w:pPr>
            <w:r/>
            <w:r>
              <w:rPr>
                <w:color w:val="1A1D21"/>
                <w:sz w:val="17"/>
              </w:rPr>
              <w:t>28,118.1</w:t>
            </w:r>
          </w:p>
        </w:tc>
        <w:tc>
          <w:tcPr>
            <w:tcW w:type="dxa" w:w="2494"/>
          </w:tcPr>
          <w:p>
            <w:pPr>
              <w:jc w:val="right"/>
            </w:pPr>
            <w:r/>
            <w:r>
              <w:rPr>
                <w:color w:val="1A1D21"/>
                <w:sz w:val="17"/>
              </w:rPr>
              <w:t>15,561.1</w:t>
            </w:r>
          </w:p>
        </w:tc>
      </w:tr>
      <w:tr>
        <w:tc>
          <w:tcPr>
            <w:tcW w:type="dxa" w:w="4195"/>
          </w:tcPr>
          <w:p>
            <w:r/>
            <w:r>
              <w:rPr>
                <w:color w:val="1A1D21"/>
                <w:sz w:val="17"/>
              </w:rPr>
              <w:t xml:space="preserve">  of which cash</w:t>
            </w:r>
          </w:p>
        </w:tc>
        <w:tc>
          <w:tcPr>
            <w:tcW w:type="dxa" w:w="2494"/>
          </w:tcPr>
          <w:p>
            <w:pPr>
              <w:jc w:val="right"/>
            </w:pPr>
            <w:r/>
            <w:r>
              <w:rPr>
                <w:color w:val="1A1D21"/>
                <w:sz w:val="17"/>
              </w:rPr>
              <w:t>9,419.5</w:t>
            </w:r>
          </w:p>
        </w:tc>
        <w:tc>
          <w:tcPr>
            <w:tcW w:type="dxa" w:w="2494"/>
          </w:tcPr>
          <w:p>
            <w:pPr>
              <w:jc w:val="right"/>
            </w:pPr>
            <w:r/>
            <w:r>
              <w:rPr>
                <w:color w:val="1A1D21"/>
                <w:sz w:val="17"/>
              </w:rPr>
              <w:t>6,372.4</w:t>
            </w:r>
          </w:p>
        </w:tc>
      </w:tr>
      <w:tr>
        <w:tc>
          <w:tcPr>
            <w:tcW w:type="dxa" w:w="4195"/>
          </w:tcPr>
          <w:p>
            <w:r/>
            <w:r>
              <w:rPr>
                <w:color w:val="1A1D21"/>
                <w:sz w:val="17"/>
              </w:rPr>
              <w:t>Total assets</w:t>
            </w:r>
          </w:p>
        </w:tc>
        <w:tc>
          <w:tcPr>
            <w:tcW w:type="dxa" w:w="2494"/>
          </w:tcPr>
          <w:p>
            <w:pPr>
              <w:jc w:val="right"/>
            </w:pPr>
            <w:r/>
            <w:r>
              <w:rPr>
                <w:color w:val="1A1D21"/>
                <w:sz w:val="17"/>
              </w:rPr>
              <w:t>172,129.8</w:t>
            </w:r>
          </w:p>
        </w:tc>
        <w:tc>
          <w:tcPr>
            <w:tcW w:type="dxa" w:w="2494"/>
          </w:tcPr>
          <w:p>
            <w:pPr>
              <w:jc w:val="right"/>
            </w:pPr>
            <w:r/>
            <w:r>
              <w:rPr>
                <w:color w:val="1A1D21"/>
                <w:sz w:val="17"/>
              </w:rPr>
              <w:t>123,437.3</w:t>
            </w:r>
          </w:p>
        </w:tc>
      </w:tr>
      <w:tr>
        <w:tc>
          <w:tcPr>
            <w:tcW w:type="dxa" w:w="4195"/>
          </w:tcPr>
          <w:p>
            <w:r/>
            <w:r>
              <w:rPr>
                <w:color w:val="1A1D21"/>
                <w:sz w:val="17"/>
              </w:rPr>
              <w:t>Current liabilities</w:t>
            </w:r>
          </w:p>
        </w:tc>
        <w:tc>
          <w:tcPr>
            <w:tcW w:type="dxa" w:w="2494"/>
          </w:tcPr>
          <w:p>
            <w:pPr>
              <w:jc w:val="right"/>
            </w:pPr>
            <w:r/>
            <w:r>
              <w:rPr>
                <w:color w:val="1A1D21"/>
                <w:sz w:val="17"/>
              </w:rPr>
              <w:t>105,099.0</w:t>
            </w:r>
          </w:p>
        </w:tc>
        <w:tc>
          <w:tcPr>
            <w:tcW w:type="dxa" w:w="2494"/>
          </w:tcPr>
          <w:p>
            <w:pPr>
              <w:jc w:val="right"/>
            </w:pPr>
            <w:r/>
            <w:r>
              <w:rPr>
                <w:color w:val="1A1D21"/>
                <w:sz w:val="17"/>
              </w:rPr>
              <w:t>74,496.9</w:t>
            </w:r>
          </w:p>
        </w:tc>
      </w:tr>
      <w:tr>
        <w:tc>
          <w:tcPr>
            <w:tcW w:type="dxa" w:w="4195"/>
          </w:tcPr>
          <w:p>
            <w:r/>
            <w:r>
              <w:rPr>
                <w:color w:val="1A1D21"/>
                <w:sz w:val="17"/>
              </w:rPr>
              <w:t xml:space="preserve">  of which advances from customers</w:t>
            </w:r>
          </w:p>
        </w:tc>
        <w:tc>
          <w:tcPr>
            <w:tcW w:type="dxa" w:w="2494"/>
          </w:tcPr>
          <w:p>
            <w:pPr>
              <w:jc w:val="right"/>
            </w:pPr>
            <w:r/>
            <w:r>
              <w:rPr>
                <w:color w:val="1A1D21"/>
                <w:sz w:val="17"/>
              </w:rPr>
              <w:t>69,354.1</w:t>
            </w:r>
          </w:p>
        </w:tc>
        <w:tc>
          <w:tcPr>
            <w:tcW w:type="dxa" w:w="2494"/>
          </w:tcPr>
          <w:p>
            <w:pPr>
              <w:jc w:val="right"/>
            </w:pPr>
            <w:r/>
            <w:r>
              <w:rPr>
                <w:color w:val="1A1D21"/>
                <w:sz w:val="17"/>
              </w:rPr>
              <w:t>47,403.8</w:t>
            </w:r>
          </w:p>
        </w:tc>
      </w:tr>
      <w:tr>
        <w:tc>
          <w:tcPr>
            <w:tcW w:type="dxa" w:w="4195"/>
          </w:tcPr>
          <w:p>
            <w:r/>
            <w:r>
              <w:rPr>
                <w:color w:val="1A1D21"/>
                <w:sz w:val="17"/>
              </w:rPr>
              <w:t>Non-current liabilities</w:t>
            </w:r>
          </w:p>
        </w:tc>
        <w:tc>
          <w:tcPr>
            <w:tcW w:type="dxa" w:w="2494"/>
          </w:tcPr>
          <w:p>
            <w:pPr>
              <w:jc w:val="right"/>
            </w:pPr>
            <w:r/>
            <w:r>
              <w:rPr>
                <w:color w:val="1A1D21"/>
                <w:sz w:val="17"/>
              </w:rPr>
              <w:t>48,265.1</w:t>
            </w:r>
          </w:p>
        </w:tc>
        <w:tc>
          <w:tcPr>
            <w:tcW w:type="dxa" w:w="2494"/>
          </w:tcPr>
          <w:p>
            <w:pPr>
              <w:jc w:val="right"/>
            </w:pPr>
            <w:r/>
            <w:r>
              <w:rPr>
                <w:color w:val="1A1D21"/>
                <w:sz w:val="17"/>
              </w:rPr>
              <w:t>34,315.7</w:t>
            </w:r>
          </w:p>
        </w:tc>
      </w:tr>
      <w:tr>
        <w:tc>
          <w:tcPr>
            <w:tcW w:type="dxa" w:w="4195"/>
          </w:tcPr>
          <w:p>
            <w:r/>
            <w:r>
              <w:rPr>
                <w:color w:val="1A1D21"/>
                <w:sz w:val="17"/>
              </w:rPr>
              <w:t>Total liabilities</w:t>
            </w:r>
          </w:p>
        </w:tc>
        <w:tc>
          <w:tcPr>
            <w:tcW w:type="dxa" w:w="2494"/>
          </w:tcPr>
          <w:p>
            <w:pPr>
              <w:jc w:val="right"/>
            </w:pPr>
            <w:r/>
            <w:r>
              <w:rPr>
                <w:color w:val="1A1D21"/>
                <w:sz w:val="17"/>
              </w:rPr>
              <w:t>153,364.1</w:t>
            </w:r>
          </w:p>
        </w:tc>
        <w:tc>
          <w:tcPr>
            <w:tcW w:type="dxa" w:w="2494"/>
          </w:tcPr>
          <w:p>
            <w:pPr>
              <w:jc w:val="right"/>
            </w:pPr>
            <w:r/>
            <w:r>
              <w:rPr>
                <w:color w:val="1A1D21"/>
                <w:sz w:val="17"/>
              </w:rPr>
              <w:t>108,812.6</w:t>
            </w:r>
          </w:p>
        </w:tc>
      </w:tr>
      <w:tr>
        <w:tc>
          <w:tcPr>
            <w:tcW w:type="dxa" w:w="4195"/>
          </w:tcPr>
          <w:p>
            <w:r/>
            <w:r>
              <w:rPr>
                <w:color w:val="1A1D21"/>
                <w:sz w:val="17"/>
              </w:rPr>
              <w:t>Shareholders' funds</w:t>
            </w:r>
          </w:p>
        </w:tc>
        <w:tc>
          <w:tcPr>
            <w:tcW w:type="dxa" w:w="2494"/>
          </w:tcPr>
          <w:p>
            <w:pPr>
              <w:jc w:val="right"/>
            </w:pPr>
            <w:r/>
            <w:r>
              <w:rPr>
                <w:color w:val="1A1D21"/>
                <w:sz w:val="17"/>
              </w:rPr>
              <w:t>18,765.8</w:t>
            </w:r>
          </w:p>
        </w:tc>
        <w:tc>
          <w:tcPr>
            <w:tcW w:type="dxa" w:w="2494"/>
          </w:tcPr>
          <w:p>
            <w:pPr>
              <w:jc w:val="right"/>
            </w:pPr>
            <w:r/>
            <w:r>
              <w:rPr>
                <w:color w:val="1A1D21"/>
                <w:sz w:val="17"/>
              </w:rPr>
              <w:t>14,624.7</w:t>
            </w:r>
          </w:p>
        </w:tc>
      </w:tr>
      <w:tr>
        <w:tc>
          <w:tcPr>
            <w:tcW w:type="dxa" w:w="4195"/>
          </w:tcPr>
          <w:p>
            <w:r/>
            <w:r>
              <w:rPr>
                <w:color w:val="1A1D21"/>
                <w:sz w:val="17"/>
              </w:rPr>
              <w:t>Total equity and liabilities</w:t>
            </w:r>
          </w:p>
        </w:tc>
        <w:tc>
          <w:tcPr>
            <w:tcW w:type="dxa" w:w="2494"/>
          </w:tcPr>
          <w:p>
            <w:pPr>
              <w:jc w:val="right"/>
            </w:pPr>
            <w:r/>
            <w:r>
              <w:rPr>
                <w:color w:val="1A1D21"/>
                <w:sz w:val="17"/>
              </w:rPr>
              <w:t>172,129.8</w:t>
            </w:r>
          </w:p>
        </w:tc>
        <w:tc>
          <w:tcPr>
            <w:tcW w:type="dxa" w:w="2494"/>
          </w:tcPr>
          <w:p>
            <w:pPr>
              <w:jc w:val="right"/>
            </w:pPr>
            <w:r/>
            <w:r>
              <w:rPr>
                <w:color w:val="1A1D21"/>
                <w:sz w:val="17"/>
              </w:rPr>
              <w:t>123,437.3</w:t>
            </w:r>
          </w:p>
        </w:tc>
      </w:tr>
    </w:tbl>
    <w:p>
      <w:pPr>
        <w:spacing w:after="200"/>
      </w:pPr>
      <w:r>
        <w:rPr>
          <w:b w:val="0"/>
          <w:i/>
          <w:color w:val="5B6570"/>
          <w:sz w:val="16"/>
        </w:rPr>
        <w:t>As reported. Total assets equal total liabilities plus shareholders' funds in both years, and each subtotal reconciles to its components.</w:t>
      </w:r>
    </w:p>
    <w:p>
      <w:pPr>
        <w:pStyle w:val="Heading2"/>
      </w:pPr>
      <w:r>
        <w:t>A.3  Forecast balance sheet and cash-flow markers</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2835"/>
          </w:tcPr>
          <w:p>
            <w:r/>
            <w:r>
              <w:rPr>
                <w:b/>
                <w:color w:val="5B6570"/>
                <w:sz w:val="17"/>
              </w:rPr>
              <w:t>Marker</w:t>
            </w:r>
          </w:p>
        </w:tc>
        <w:tc>
          <w:tcPr>
            <w:tcW w:type="dxa" w:w="2381"/>
          </w:tcPr>
          <w:p>
            <w:r/>
            <w:r>
              <w:rPr>
                <w:b/>
                <w:color w:val="5B6570"/>
                <w:sz w:val="17"/>
              </w:rPr>
              <w:t>2025 actual</w:t>
            </w:r>
          </w:p>
        </w:tc>
        <w:tc>
          <w:tcPr>
            <w:tcW w:type="dxa" w:w="3969"/>
          </w:tcPr>
          <w:p>
            <w:r/>
            <w:r>
              <w:rPr>
                <w:b/>
                <w:color w:val="5B6570"/>
                <w:sz w:val="17"/>
              </w:rPr>
              <w:t>Basis carried forward</w:t>
            </w:r>
          </w:p>
        </w:tc>
      </w:tr>
      <w:tr>
        <w:tc>
          <w:tcPr>
            <w:tcW w:type="dxa" w:w="2835"/>
          </w:tcPr>
          <w:p>
            <w:r/>
            <w:r>
              <w:rPr>
                <w:color w:val="1A1D21"/>
                <w:sz w:val="17"/>
              </w:rPr>
              <w:t>Gross borrowings (EGP mn)</w:t>
            </w:r>
          </w:p>
        </w:tc>
        <w:tc>
          <w:tcPr>
            <w:tcW w:type="dxa" w:w="2381"/>
          </w:tcPr>
          <w:p>
            <w:pPr>
              <w:jc w:val="right"/>
            </w:pPr>
            <w:r/>
            <w:r>
              <w:rPr>
                <w:color w:val="1A1D21"/>
                <w:sz w:val="17"/>
              </w:rPr>
              <w:t>33,552.7</w:t>
            </w:r>
          </w:p>
        </w:tc>
        <w:tc>
          <w:tcPr>
            <w:tcW w:type="dxa" w:w="3969"/>
          </w:tcPr>
          <w:p>
            <w:r/>
            <w:r>
              <w:rPr>
                <w:color w:val="1A1D21"/>
                <w:sz w:val="17"/>
              </w:rPr>
              <w:t>held at the 2025 level; no repayment schedule is disclosed</w:t>
            </w:r>
          </w:p>
        </w:tc>
      </w:tr>
      <w:tr>
        <w:tc>
          <w:tcPr>
            <w:tcW w:type="dxa" w:w="2835"/>
          </w:tcPr>
          <w:p>
            <w:r/>
            <w:r>
              <w:rPr>
                <w:color w:val="1A1D21"/>
                <w:sz w:val="17"/>
              </w:rPr>
              <w:t>Net debt (EGP mn)</w:t>
            </w:r>
          </w:p>
        </w:tc>
        <w:tc>
          <w:tcPr>
            <w:tcW w:type="dxa" w:w="2381"/>
          </w:tcPr>
          <w:p>
            <w:pPr>
              <w:jc w:val="right"/>
            </w:pPr>
            <w:r/>
            <w:r>
              <w:rPr>
                <w:color w:val="1A1D21"/>
                <w:sz w:val="17"/>
              </w:rPr>
              <w:t>24,133.2</w:t>
            </w:r>
          </w:p>
        </w:tc>
        <w:tc>
          <w:tcPr>
            <w:tcW w:type="dxa" w:w="3969"/>
          </w:tcPr>
          <w:p>
            <w:r/>
            <w:r>
              <w:rPr>
                <w:color w:val="1A1D21"/>
                <w:sz w:val="17"/>
              </w:rPr>
              <w:t>gross borrowings less cash</w:t>
            </w:r>
          </w:p>
        </w:tc>
      </w:tr>
      <w:tr>
        <w:tc>
          <w:tcPr>
            <w:tcW w:type="dxa" w:w="2835"/>
          </w:tcPr>
          <w:p>
            <w:r/>
            <w:r>
              <w:rPr>
                <w:color w:val="1A1D21"/>
                <w:sz w:val="17"/>
              </w:rPr>
              <w:t>Order book (EGP mn)</w:t>
            </w:r>
          </w:p>
        </w:tc>
        <w:tc>
          <w:tcPr>
            <w:tcW w:type="dxa" w:w="2381"/>
          </w:tcPr>
          <w:p>
            <w:r/>
            <w:r>
              <w:rPr>
                <w:color w:val="1A1D21"/>
                <w:sz w:val="17"/>
              </w:rPr>
              <w:t>263,000 at 31 Mar 2026</w:t>
            </w:r>
          </w:p>
        </w:tc>
        <w:tc>
          <w:tcPr>
            <w:tcW w:type="dxa" w:w="3969"/>
          </w:tcPr>
          <w:p>
            <w:r/>
            <w:r>
              <w:rPr>
                <w:color w:val="1A1D21"/>
                <w:sz w:val="17"/>
              </w:rPr>
              <w:t>converges to 5.4 times revenue, its 2024 level</w:t>
            </w:r>
          </w:p>
        </w:tc>
      </w:tr>
      <w:tr>
        <w:tc>
          <w:tcPr>
            <w:tcW w:type="dxa" w:w="2835"/>
          </w:tcPr>
          <w:p>
            <w:r/>
            <w:r>
              <w:rPr>
                <w:color w:val="1A1D21"/>
                <w:sz w:val="17"/>
              </w:rPr>
              <w:t>Cash from operations</w:t>
            </w:r>
          </w:p>
        </w:tc>
        <w:tc>
          <w:tcPr>
            <w:tcW w:type="dxa" w:w="2381"/>
          </w:tcPr>
          <w:p>
            <w:pPr>
              <w:jc w:val="right"/>
            </w:pPr>
            <w:r/>
            <w:r>
              <w:rPr>
                <w:color w:val="1A1D21"/>
                <w:sz w:val="17"/>
              </w:rPr>
              <w:t>1,424.2</w:t>
            </w:r>
          </w:p>
        </w:tc>
        <w:tc>
          <w:tcPr>
            <w:tcW w:type="dxa" w:w="3969"/>
          </w:tcPr>
          <w:p>
            <w:r/>
            <w:r>
              <w:rPr>
                <w:color w:val="1A1D21"/>
                <w:sz w:val="17"/>
              </w:rPr>
              <w:t>modelled as a share of revenue across the observed range</w:t>
            </w:r>
          </w:p>
        </w:tc>
      </w:tr>
      <w:tr>
        <w:tc>
          <w:tcPr>
            <w:tcW w:type="dxa" w:w="2835"/>
          </w:tcPr>
          <w:p>
            <w:r/>
            <w:r>
              <w:rPr>
                <w:color w:val="1A1D21"/>
                <w:sz w:val="17"/>
              </w:rPr>
              <w:t>Overheads as a share of revenue</w:t>
            </w:r>
          </w:p>
        </w:tc>
        <w:tc>
          <w:tcPr>
            <w:tcW w:type="dxa" w:w="2381"/>
          </w:tcPr>
          <w:p>
            <w:pPr>
              <w:jc w:val="right"/>
            </w:pPr>
            <w:r/>
            <w:r>
              <w:rPr>
                <w:color w:val="1A1D21"/>
                <w:sz w:val="17"/>
              </w:rPr>
              <w:t>17.6%</w:t>
            </w:r>
          </w:p>
        </w:tc>
        <w:tc>
          <w:tcPr>
            <w:tcW w:type="dxa" w:w="3969"/>
          </w:tcPr>
          <w:p>
            <w:r/>
            <w:r>
              <w:rPr>
                <w:color w:val="1A1D21"/>
                <w:sz w:val="17"/>
              </w:rPr>
              <w:t>held at the 2025 rate</w:t>
            </w:r>
          </w:p>
        </w:tc>
      </w:tr>
    </w:tbl>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1376"/>
        <w:gridCol w:w="1376"/>
        <w:gridCol w:w="1376"/>
        <w:gridCol w:w="1376"/>
        <w:gridCol w:w="1376"/>
        <w:gridCol w:w="1376"/>
        <w:gridCol w:w="1376"/>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3211"/>
        <w:gridCol w:w="3211"/>
        <w:gridCol w:w="3211"/>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c>
          <w:tcPr>
            <w:tcW w:type="dxa" w:w="2608"/>
          </w:tcPr>
          <w:p>
            <w:r/>
            <w:r>
              <w:rPr>
                <w:color w:val="1A1D21"/>
                <w:sz w:val="17"/>
              </w:rPr>
              <w:t>Egyptian rates stay high or rise</w:t>
            </w:r>
          </w:p>
        </w:tc>
        <w:tc>
          <w:tcPr>
            <w:tcW w:type="dxa" w:w="3175"/>
          </w:tcPr>
          <w:p>
            <w:r/>
            <w:r>
              <w:rPr>
                <w:color w:val="1A1D21"/>
                <w:sz w:val="17"/>
              </w:rPr>
              <w:t>cost of capital above 26.25%</w:t>
            </w:r>
          </w:p>
        </w:tc>
        <w:tc>
          <w:tcPr>
            <w:tcW w:type="dxa" w:w="3402"/>
          </w:tcPr>
          <w:p>
            <w:r/>
            <w:r>
              <w:rPr>
                <w:color w:val="1A1D21"/>
                <w:sz w:val="17"/>
              </w:rPr>
              <w:t>right-hand columns of the same table</w:t>
            </w:r>
          </w:p>
        </w:tc>
      </w:tr>
      <w:t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pStyle w:val="Heading2"/>
      </w:pPr>
      <w:r>
        <w:t>B.3  Research register</w:t>
      </w:r>
    </w:p>
    <w:p>
      <w:pPr>
        <w:spacing w:after="140"/>
      </w:pPr>
      <w:r>
        <w:rPr>
          <w:b w:val="0"/>
          <w:i w:val="0"/>
          <w:color w:val="1A1D21"/>
          <w:sz w:val="20"/>
        </w:rPr>
        <w:t>This study is built on 70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4816"/>
        <w:gridCol w:w="4816"/>
      </w:tblGrid>
      <w:tr>
        <w:trPr>
          <w:tblHeader w:val="true"/>
        </w:trPr>
        <w:tc>
          <w:tcPr>
            <w:tcW w:type="dxa" w:w="5102"/>
          </w:tcPr>
          <w:p>
            <w:r/>
            <w:r>
              <w:rPr>
                <w:b/>
                <w:color w:val="5B6570"/>
                <w:sz w:val="17"/>
              </w:rPr>
              <w:t>Working</w:t>
            </w:r>
          </w:p>
        </w:tc>
        <w:tc>
          <w:tcPr>
            <w:tcW w:type="dxa" w:w="2835"/>
          </w:tcPr>
          <w:p>
            <w:r/>
            <w:r>
              <w:rPr>
                <w:b/>
                <w:color w:val="5B6570"/>
                <w:sz w:val="17"/>
              </w:rPr>
              <w:t>EGP mn</w:t>
            </w:r>
          </w:p>
        </w:tc>
      </w:tr>
      <w:tr>
        <w:tc>
          <w:tcPr>
            <w:tcW w:type="dxa" w:w="5102"/>
          </w:tcPr>
          <w:p>
            <w:r/>
            <w:r>
              <w:rPr>
                <w:color w:val="1A1D21"/>
                <w:sz w:val="17"/>
              </w:rPr>
              <w:t>Present value of ten explicit years</w:t>
            </w:r>
          </w:p>
        </w:tc>
        <w:tc>
          <w:tcPr>
            <w:tcW w:type="dxa" w:w="2835"/>
          </w:tcPr>
          <w:p>
            <w:pPr>
              <w:jc w:val="right"/>
            </w:pPr>
            <w:r/>
            <w:r>
              <w:rPr>
                <w:color w:val="1A1D21"/>
                <w:sz w:val="17"/>
              </w:rPr>
              <w:t>49,460</w:t>
            </w:r>
          </w:p>
        </w:tc>
      </w:tr>
      <w:tr>
        <w:tc>
          <w:tcPr>
            <w:tcW w:type="dxa" w:w="5102"/>
          </w:tcPr>
          <w:p>
            <w:r/>
            <w:r>
              <w:rPr>
                <w:color w:val="1A1D21"/>
                <w:sz w:val="17"/>
              </w:rPr>
              <w:t>Present value beyond year ten</w:t>
            </w:r>
          </w:p>
        </w:tc>
        <w:tc>
          <w:tcPr>
            <w:tcW w:type="dxa" w:w="2835"/>
          </w:tcPr>
          <w:p>
            <w:pPr>
              <w:jc w:val="right"/>
            </w:pPr>
            <w:r/>
            <w:r>
              <w:rPr>
                <w:color w:val="1A1D21"/>
                <w:sz w:val="17"/>
              </w:rPr>
              <w:t>25,237</w:t>
            </w:r>
          </w:p>
        </w:tc>
      </w:tr>
      <w:tr>
        <w:tc>
          <w:tcPr>
            <w:tcW w:type="dxa" w:w="5102"/>
          </w:tcPr>
          <w:p>
            <w:r/>
            <w:r>
              <w:rPr>
                <w:color w:val="1A1D21"/>
                <w:sz w:val="17"/>
              </w:rPr>
              <w:t>Enterprise value</w:t>
            </w:r>
          </w:p>
        </w:tc>
        <w:tc>
          <w:tcPr>
            <w:tcW w:type="dxa" w:w="2835"/>
          </w:tcPr>
          <w:p>
            <w:pPr>
              <w:jc w:val="right"/>
            </w:pPr>
            <w:r/>
            <w:r>
              <w:rPr>
                <w:color w:val="1A1D21"/>
                <w:sz w:val="17"/>
              </w:rPr>
              <w:t>74,697</w:t>
            </w:r>
          </w:p>
        </w:tc>
      </w:tr>
      <w:tr>
        <w:tc>
          <w:tcPr>
            <w:tcW w:type="dxa" w:w="5102"/>
          </w:tcPr>
          <w:p>
            <w:r/>
            <w:r>
              <w:rPr>
                <w:color w:val="1A1D21"/>
                <w:sz w:val="17"/>
              </w:rPr>
              <w:t>less net debt</w:t>
            </w:r>
          </w:p>
        </w:tc>
        <w:tc>
          <w:tcPr>
            <w:tcW w:type="dxa" w:w="2835"/>
          </w:tcPr>
          <w:p>
            <w:pPr>
              <w:jc w:val="right"/>
            </w:pPr>
            <w:r/>
            <w:r>
              <w:rPr>
                <w:color w:val="1A1D21"/>
                <w:sz w:val="17"/>
              </w:rPr>
              <w:t>(24,133)</w:t>
            </w:r>
          </w:p>
        </w:tc>
      </w:tr>
      <w:tr>
        <w:tc>
          <w:tcPr>
            <w:tcW w:type="dxa" w:w="5102"/>
          </w:tcPr>
          <w:p>
            <w:r/>
            <w:r>
              <w:rPr>
                <w:color w:val="1A1D21"/>
                <w:sz w:val="17"/>
              </w:rPr>
              <w:t>plus associates and investment property</w:t>
            </w:r>
          </w:p>
        </w:tc>
        <w:tc>
          <w:tcPr>
            <w:tcW w:type="dxa" w:w="2835"/>
          </w:tcPr>
          <w:p>
            <w:pPr>
              <w:jc w:val="right"/>
            </w:pPr>
            <w:r/>
            <w:r>
              <w:rPr>
                <w:color w:val="1A1D21"/>
                <w:sz w:val="17"/>
              </w:rPr>
              <w:t>4,644</w:t>
            </w:r>
          </w:p>
        </w:tc>
      </w:tr>
      <w:tr>
        <w:tc>
          <w:tcPr>
            <w:tcW w:type="dxa" w:w="5102"/>
          </w:tcPr>
          <w:p>
            <w:r/>
            <w:r>
              <w:rPr>
                <w:color w:val="1A1D21"/>
                <w:sz w:val="17"/>
              </w:rPr>
              <w:t>Equity</w:t>
            </w:r>
          </w:p>
        </w:tc>
        <w:tc>
          <w:tcPr>
            <w:tcW w:type="dxa" w:w="2835"/>
          </w:tcPr>
          <w:p>
            <w:pPr>
              <w:jc w:val="right"/>
            </w:pPr>
            <w:r/>
            <w:r>
              <w:rPr>
                <w:color w:val="1A1D21"/>
                <w:sz w:val="17"/>
              </w:rPr>
              <w:t>55,208</w:t>
            </w:r>
          </w:p>
        </w:tc>
      </w:tr>
      <w:tr>
        <w:tc>
          <w:tcPr>
            <w:tcW w:type="dxa" w:w="5102"/>
          </w:tcPr>
          <w:p>
            <w:r/>
            <w:r>
              <w:rPr>
                <w:color w:val="1A1D21"/>
                <w:sz w:val="17"/>
              </w:rPr>
              <w:t>Per share (EGP)</w:t>
            </w:r>
          </w:p>
        </w:tc>
        <w:tc>
          <w:tcPr>
            <w:tcW w:type="dxa" w:w="2835"/>
          </w:tcPr>
          <w:p>
            <w:pPr>
              <w:jc w:val="right"/>
            </w:pPr>
            <w:r/>
            <w:r>
              <w:rPr>
                <w:color w:val="1A1D21"/>
                <w:sz w:val="17"/>
              </w:rPr>
              <w:t>19.30</w:t>
            </w:r>
          </w:p>
        </w:tc>
      </w:tr>
    </w:tbl>
    <w:p>
      <w:pPr>
        <w:spacing w:after="140"/>
      </w:pPr>
      <w:r>
        <w:rPr>
          <w:b w:val="0"/>
          <w:i w:val="0"/>
          <w:color w:val="1A1D21"/>
          <w:sz w:val="20"/>
        </w:rPr>
        <w:t>Named sensitivity: a move in cash conversion from 3.9% to 17.9% takes the answer from EGP 9.17 to EGP 38.74.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4816"/>
        <w:gridCol w:w="4816"/>
      </w:tblGrid>
      <w:tr>
        <w:trPr>
          <w:tblHeader w:val="true"/>
        </w:trPr>
        <w:tc>
          <w:tcPr>
            <w:tcW w:type="dxa" w:w="5102"/>
          </w:tcPr>
          <w:p>
            <w:r/>
            <w:r>
              <w:rPr>
                <w:b/>
                <w:color w:val="5B6570"/>
                <w:sz w:val="17"/>
              </w:rPr>
              <w:t>Working</w:t>
            </w:r>
          </w:p>
        </w:tc>
        <w:tc>
          <w:tcPr>
            <w:tcW w:type="dxa" w:w="2835"/>
          </w:tcPr>
          <w:p>
            <w:r/>
            <w:r>
              <w:rPr>
                <w:b/>
                <w:color w:val="5B6570"/>
                <w:sz w:val="17"/>
              </w:rPr>
              <w:t>EGP mn</w:t>
            </w:r>
          </w:p>
        </w:tc>
      </w:tr>
      <w:tr>
        <w:tc>
          <w:tcPr>
            <w:tcW w:type="dxa" w:w="5102"/>
          </w:tcPr>
          <w:p>
            <w:r/>
            <w:r>
              <w:rPr>
                <w:color w:val="1A1D21"/>
                <w:sz w:val="17"/>
              </w:rPr>
              <w:t>Work in progress</w:t>
            </w:r>
          </w:p>
        </w:tc>
        <w:tc>
          <w:tcPr>
            <w:tcW w:type="dxa" w:w="2835"/>
          </w:tcPr>
          <w:p>
            <w:pPr>
              <w:jc w:val="right"/>
            </w:pPr>
            <w:r/>
            <w:r>
              <w:rPr>
                <w:color w:val="1A1D21"/>
                <w:sz w:val="17"/>
              </w:rPr>
              <w:t>17,571</w:t>
            </w:r>
          </w:p>
        </w:tc>
      </w:tr>
      <w:tr>
        <w:tc>
          <w:tcPr>
            <w:tcW w:type="dxa" w:w="5102"/>
          </w:tcPr>
          <w:p>
            <w:r/>
            <w:r>
              <w:rPr>
                <w:color w:val="1A1D21"/>
                <w:sz w:val="17"/>
              </w:rPr>
              <w:t>Receivables, trade and instalment</w:t>
            </w:r>
          </w:p>
        </w:tc>
        <w:tc>
          <w:tcPr>
            <w:tcW w:type="dxa" w:w="2835"/>
          </w:tcPr>
          <w:p>
            <w:pPr>
              <w:jc w:val="right"/>
            </w:pPr>
            <w:r/>
            <w:r>
              <w:rPr>
                <w:color w:val="1A1D21"/>
                <w:sz w:val="17"/>
              </w:rPr>
              <w:t>103,511</w:t>
            </w:r>
          </w:p>
        </w:tc>
      </w:tr>
      <w:tr>
        <w:tc>
          <w:tcPr>
            <w:tcW w:type="dxa" w:w="5102"/>
          </w:tcPr>
          <w:p>
            <w:r/>
            <w:r>
              <w:rPr>
                <w:color w:val="1A1D21"/>
                <w:sz w:val="17"/>
              </w:rPr>
              <w:t>Cash</w:t>
            </w:r>
          </w:p>
        </w:tc>
        <w:tc>
          <w:tcPr>
            <w:tcW w:type="dxa" w:w="2835"/>
          </w:tcPr>
          <w:p>
            <w:pPr>
              <w:jc w:val="right"/>
            </w:pPr>
            <w:r/>
            <w:r>
              <w:rPr>
                <w:color w:val="1A1D21"/>
                <w:sz w:val="17"/>
              </w:rPr>
              <w:t>9,420</w:t>
            </w:r>
          </w:p>
        </w:tc>
      </w:tr>
      <w:tr>
        <w:tc>
          <w:tcPr>
            <w:tcW w:type="dxa" w:w="5102"/>
          </w:tcPr>
          <w:p>
            <w:r/>
            <w:r>
              <w:rPr>
                <w:color w:val="1A1D21"/>
                <w:sz w:val="17"/>
              </w:rPr>
              <w:t>Investments and investment property</w:t>
            </w:r>
          </w:p>
        </w:tc>
        <w:tc>
          <w:tcPr>
            <w:tcW w:type="dxa" w:w="2835"/>
          </w:tcPr>
          <w:p>
            <w:pPr>
              <w:jc w:val="right"/>
            </w:pPr>
            <w:r/>
            <w:r>
              <w:rPr>
                <w:color w:val="1A1D21"/>
                <w:sz w:val="17"/>
              </w:rPr>
              <w:t>4,644</w:t>
            </w:r>
          </w:p>
        </w:tc>
      </w:tr>
      <w:tr>
        <w:tc>
          <w:tcPr>
            <w:tcW w:type="dxa" w:w="5102"/>
          </w:tcPr>
          <w:p>
            <w:r/>
            <w:r>
              <w:rPr>
                <w:color w:val="1A1D21"/>
                <w:sz w:val="17"/>
              </w:rPr>
              <w:t>less advances from customers</w:t>
            </w:r>
          </w:p>
        </w:tc>
        <w:tc>
          <w:tcPr>
            <w:tcW w:type="dxa" w:w="2835"/>
          </w:tcPr>
          <w:p>
            <w:pPr>
              <w:jc w:val="right"/>
            </w:pPr>
            <w:r/>
            <w:r>
              <w:rPr>
                <w:color w:val="1A1D21"/>
                <w:sz w:val="17"/>
              </w:rPr>
              <w:t>(69,354)</w:t>
            </w:r>
          </w:p>
        </w:tc>
      </w:tr>
      <w:tr>
        <w:tc>
          <w:tcPr>
            <w:tcW w:type="dxa" w:w="5102"/>
          </w:tcPr>
          <w:p>
            <w:r/>
            <w:r>
              <w:rPr>
                <w:color w:val="1A1D21"/>
                <w:sz w:val="17"/>
              </w:rPr>
              <w:t>less gross borrowings</w:t>
            </w:r>
          </w:p>
        </w:tc>
        <w:tc>
          <w:tcPr>
            <w:tcW w:type="dxa" w:w="2835"/>
          </w:tcPr>
          <w:p>
            <w:pPr>
              <w:jc w:val="right"/>
            </w:pPr>
            <w:r/>
            <w:r>
              <w:rPr>
                <w:color w:val="1A1D21"/>
                <w:sz w:val="17"/>
              </w:rPr>
              <w:t>(33,552.7)</w:t>
            </w:r>
          </w:p>
        </w:tc>
      </w:tr>
      <w:tr>
        <w:tc>
          <w:tcPr>
            <w:tcW w:type="dxa" w:w="5102"/>
          </w:tcPr>
          <w:p>
            <w:r/>
            <w:r>
              <w:rPr>
                <w:color w:val="1A1D21"/>
                <w:sz w:val="17"/>
              </w:rPr>
              <w:t>less other liabilities, balancing</w:t>
            </w:r>
          </w:p>
        </w:tc>
        <w:tc>
          <w:tcPr>
            <w:tcW w:type="dxa" w:w="2835"/>
          </w:tcPr>
          <w:p>
            <w:pPr>
              <w:jc w:val="right"/>
            </w:pPr>
            <w:r/>
            <w:r>
              <w:rPr>
                <w:color w:val="1A1D21"/>
                <w:sz w:val="17"/>
              </w:rPr>
              <w:t>(50,457.3)</w:t>
            </w:r>
          </w:p>
        </w:tc>
      </w:tr>
      <w:tr>
        <w:tc>
          <w:tcPr>
            <w:tcW w:type="dxa" w:w="5102"/>
          </w:tcPr>
          <w:p>
            <w:r/>
            <w:r>
              <w:rPr>
                <w:color w:val="1A1D21"/>
                <w:sz w:val="17"/>
              </w:rPr>
              <w:t>Shareholders' funds as reported</w:t>
            </w:r>
          </w:p>
        </w:tc>
        <w:tc>
          <w:tcPr>
            <w:tcW w:type="dxa" w:w="2835"/>
          </w:tcPr>
          <w:p>
            <w:pPr>
              <w:jc w:val="right"/>
            </w:pPr>
            <w:r/>
            <w:r>
              <w:rPr>
                <w:color w:val="1A1D21"/>
                <w:sz w:val="17"/>
              </w:rPr>
              <w:t>18,766</w:t>
            </w:r>
          </w:p>
        </w:tc>
      </w:tr>
      <w:tr>
        <w:tc>
          <w:tcPr>
            <w:tcW w:type="dxa" w:w="5102"/>
          </w:tcPr>
          <w:p>
            <w:r/>
            <w:r>
              <w:rPr>
                <w:color w:val="1A1D21"/>
                <w:sz w:val="17"/>
              </w:rPr>
              <w:t>Per share (EGP)</w:t>
            </w:r>
          </w:p>
        </w:tc>
        <w:tc>
          <w:tcPr>
            <w:tcW w:type="dxa" w:w="2835"/>
          </w:tcPr>
          <w:p>
            <w:pPr>
              <w:jc w:val="right"/>
            </w:pPr>
            <w:r/>
            <w:r>
              <w:rPr>
                <w:color w:val="1A1D21"/>
                <w:sz w:val="17"/>
              </w:rPr>
              <w:t>6.56</w:t>
            </w:r>
          </w:p>
        </w:tc>
      </w:tr>
    </w:tbl>
    <w:p>
      <w:pPr>
        <w:spacing w:after="140"/>
      </w:pPr>
      <w:r>
        <w:rPr>
          <w:b w:val="0"/>
          <w:i w:val="0"/>
          <w:color w:val="1A1D21"/>
          <w:sz w:val="20"/>
        </w:rPr>
        <w:t>Named sensitivity: the instalment receivable book is carried at face value less unwinding discount. A 10 per cent write-down of that book would remove roughly EGP 10,106 million, about EGP 3.53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26.25% and every other input at the audited 2025 base, the closing price of EGP 15.20 implies cash conversion of 6.8%. The company achieved 4.3% in 2023, 17.9% in 2024 and 3.9% in 2025. Named sensitivity: at a 25.24% cost of capital the implied rate would be lower still. Falsifier: if 2026 conversion prints above 6.8%, the price was too low.</w:t>
      </w:r>
    </w:p>
    <w:p>
      <w:pPr>
        <w:pStyle w:val="Heading2"/>
      </w:pPr>
      <w:r>
        <w:t>C.4  Cross-examination</w:t>
      </w:r>
    </w:p>
    <w:p>
      <w:pPr>
        <w:pStyle w:val="ListBullet"/>
        <w:spacing w:after="60"/>
      </w:pPr>
      <w:r>
        <w:rPr>
          <w:color w:val="1A1D21"/>
          <w:sz w:val="20"/>
        </w:rPr>
        <w:t>Expert 2 to Expert 1: your terminal value is 34%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26.25% cost of capital and the order book. Expert 1 needs a conversion rate to produce an answer; Expert 2 refuses to forecast one and prices the assets instead; Expert 3 asks what rate is already in the price. The room's joint position is that Palm Hills is worth between EGP 9.17 and EGP 38.74, that the price of EGP 15.20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6"/>
        <w:gridCol w:w="1926"/>
        <w:gridCol w:w="1926"/>
        <w:gridCol w:w="1926"/>
        <w:gridCol w:w="1926"/>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6.8% implied</w:t>
            </w:r>
          </w:p>
        </w:tc>
        <w:tc>
          <w:tcPr>
            <w:tcW w:type="dxa" w:w="1928"/>
          </w:tcPr>
          <w:p>
            <w:r/>
            <w:r>
              <w:rPr>
                <w:color w:val="1A1D21"/>
                <w:sz w:val="17"/>
              </w:rPr>
              <w:t>YES — this is the whole gap</w:t>
            </w:r>
          </w:p>
        </w:tc>
      </w:tr>
      <w:tr>
        <w:tc>
          <w:tcPr>
            <w:tcW w:type="dxa" w:w="1928"/>
          </w:tcPr>
          <w:p>
            <w:r/>
            <w:r>
              <w:rPr>
                <w:color w:val="1A1D21"/>
                <w:sz w:val="17"/>
              </w:rPr>
              <w:t>Cost of capital</w:t>
            </w:r>
          </w:p>
        </w:tc>
        <w:tc>
          <w:tcPr>
            <w:tcW w:type="dxa" w:w="1928"/>
          </w:tcPr>
          <w:p>
            <w:pPr>
              <w:jc w:val="right"/>
            </w:pPr>
            <w:r/>
            <w:r>
              <w:rPr>
                <w:color w:val="1A1D21"/>
                <w:sz w:val="17"/>
              </w:rPr>
              <w:t>26.25%</w:t>
            </w:r>
          </w:p>
        </w:tc>
        <w:tc>
          <w:tcPr>
            <w:tcW w:type="dxa" w:w="1701"/>
          </w:tcPr>
          <w:p>
            <w:r/>
            <w:r>
              <w:rPr>
                <w:color w:val="1A1D21"/>
                <w:sz w:val="17"/>
              </w:rPr>
              <w:t>not used</w:t>
            </w:r>
          </w:p>
        </w:tc>
        <w:tc>
          <w:tcPr>
            <w:tcW w:type="dxa" w:w="1814"/>
          </w:tcPr>
          <w:p>
            <w:pPr>
              <w:jc w:val="right"/>
            </w:pPr>
            <w:r/>
            <w:r>
              <w:rPr>
                <w:color w:val="1A1D21"/>
                <w:sz w:val="17"/>
              </w:rPr>
              <w:t>26.25%</w:t>
            </w:r>
          </w:p>
        </w:tc>
        <w:tc>
          <w:tcPr>
            <w:tcW w:type="dxa" w:w="1928"/>
          </w:tcPr>
          <w:p>
            <w:r/>
            <w:r>
              <w:rPr>
                <w:color w:val="1A1D21"/>
                <w:sz w:val="17"/>
              </w:rPr>
              <w:t>no — shared</w:t>
            </w:r>
          </w:p>
        </w:tc>
      </w:tr>
      <w:t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c>
          <w:tcPr>
            <w:tcW w:type="dxa" w:w="1928"/>
          </w:tcPr>
          <w:p>
            <w:r/>
            <w:r>
              <w:rPr>
                <w:color w:val="1A1D21"/>
                <w:sz w:val="17"/>
              </w:rPr>
              <w:t>Terminal value</w:t>
            </w:r>
          </w:p>
        </w:tc>
        <w:tc>
          <w:tcPr>
            <w:tcW w:type="dxa" w:w="1928"/>
          </w:tcPr>
          <w:p>
            <w:r/>
            <w:r>
              <w:rPr>
                <w:color w:val="1A1D21"/>
                <w:sz w:val="17"/>
              </w:rPr>
              <w:t>34%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30 August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