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Emirates Integrated Telecommunications Company PJSC (DFM: DU)</w:t>
      </w:r>
    </w:p>
    <w:p>
      <w:pPr>
        <w:spacing w:after="200" w:before="0"/>
      </w:pPr>
      <w:r>
        <w:rPr>
          <w:b w:val="0"/>
          <w:i w:val="0"/>
          <w:color w:val="1C3A36"/>
          <w:sz w:val="21"/>
        </w:rPr>
        <w:t xml:space="preserve">du · United Arab Emirates · Integrated telecom operator (mobile · fixed · wholesale · ICT and data centres)   </w:t>
      </w:r>
      <w:r>
        <w:rPr>
          <w:b w:val="0"/>
          <w:i w:val="0"/>
          <w:color w:val="6E7B77"/>
          <w:sz w:val="21"/>
        </w:rPr>
        <w:t>Anchor 2026-08-07 · Spot AED 12.30 · Market capitalisation AED 55,755mn</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United Arab Emirates dirhams (AED); the company reports, lists and pays dividends in AED, so no currency translation enters the model anywhere. Historical financials come exclusively from the company's own audited and reviewed consolidated financial statements, read from its investor-relations portal;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du is the second operator in the UAE's two-player telecom market: 9,280 thousand mobile customers, 744 thousand fixed subscriptions, four disclosed segments (Mobile, Fixed, Wholesale, ICT), FY2025 revenue AED 15,905mn and an EBITDA margin of 46.1% — with ZERO drawn debt in every year studied and a dividend paid out of essentially all of profit.</w:t>
            </w:r>
          </w:p>
          <w:p>
            <w:pPr>
              <w:spacing w:after="100"/>
            </w:pPr>
            <w:r>
              <w:rPr>
                <w:b/>
                <w:color w:val="1C3A36"/>
                <w:sz w:val="19"/>
              </w:rPr>
              <w:t xml:space="preserve">The valuation. </w:t>
            </w:r>
            <w:r>
              <w:rPr>
                <w:color w:val="1C3A36"/>
                <w:sz w:val="19"/>
              </w:rPr>
              <w:t>Weighted central AED 14.98 per share against a spot of AED 12.30 (+22%), inside a full bear-to-bull span of AED 8.25 to AED 29.58. The cash-flow lens alone reads AED 19.14; the market-anchored relative lens reads AED 10.80. That gap is the study's honest tension, and section 4 explains rather than hides it.</w:t>
            </w:r>
          </w:p>
          <w:p>
            <w:pPr>
              <w:spacing w:after="100"/>
            </w:pPr>
            <w:r>
              <w:rPr>
                <w:b/>
                <w:color w:val="1C3A36"/>
                <w:sz w:val="19"/>
              </w:rPr>
              <w:t xml:space="preserve">The contested judgement. </w:t>
            </w:r>
            <w:r>
              <w:rPr>
                <w:color w:val="1C3A36"/>
                <w:sz w:val="19"/>
              </w:rPr>
              <w:t>The 38% federal royalty plus 9% corporate tax regime (a 43.6% combined take) is legislated only through 2026. Carried forward it gives AED 19.14; a reversion to the heavier pre-2024 construction gives AED 16.29. Both are published side by side — the judgement is worth AED 2.85 per share and is never averaged into one number.</w:t>
            </w:r>
          </w:p>
          <w:p>
            <w:pPr>
              <w:spacing w:after="100"/>
            </w:pPr>
            <w:r>
              <w:rPr>
                <w:b/>
                <w:color w:val="1C3A36"/>
                <w:sz w:val="19"/>
              </w:rPr>
              <w:t xml:space="preserve">The moment. </w:t>
            </w:r>
            <w:r>
              <w:rPr>
                <w:color w:val="1C3A36"/>
                <w:sz w:val="19"/>
              </w:rPr>
              <w:t>This study is struck weeks after a regional war collapsed Gulf tourism and took 412 thousand mobile customers off du's base in a single quarter, and days after the company cut its own revenue guidance while raising the interim dividend. The company's operating licence renewal was disclosed as expected to conclude by 8 August 2026 — one day after this study's price anchor.</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224"/>
        <w:gridCol w:w="1224"/>
        <w:gridCol w:w="1080"/>
        <w:gridCol w:w="1224"/>
      </w:tblGrid>
      <w:tr>
        <w:tc>
          <w:tcPr>
            <w:tcW w:type="dxa" w:w="3672"/>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Bear</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Bull</w:t>
            </w:r>
          </w:p>
        </w:tc>
        <w:tc>
          <w:tcPr>
            <w:tcW w:type="dxa" w:w="1080"/>
            <w:shd w:val="clear" w:color="auto" w:fill="EAF0EE"/>
          </w:tcPr>
          <w:p>
            <w:pPr>
              <w:spacing w:after="20"/>
            </w:pPr>
            <w:r>
              <w:rPr>
                <w:b/>
                <w:color w:val="1C3A36"/>
                <w:sz w:val="18"/>
              </w:rPr>
              <w:t>Weight</w:t>
            </w:r>
          </w:p>
        </w:tc>
        <w:tc>
          <w:tcPr>
            <w:tcW w:type="dxa" w:w="1224"/>
            <w:shd w:val="clear" w:color="auto" w:fill="EAF0EE"/>
          </w:tcPr>
          <w:p>
            <w:pPr>
              <w:spacing w:after="20"/>
            </w:pPr>
            <w:r>
              <w:rPr>
                <w:b/>
                <w:color w:val="1C3A36"/>
                <w:sz w:val="18"/>
              </w:rPr>
              <w:t>vs spot</w:t>
            </w:r>
          </w:p>
        </w:tc>
      </w:tr>
      <w:tr>
        <w:tc>
          <w:tcPr>
            <w:tcW w:type="dxa" w:w="3672"/>
          </w:tcPr>
          <w:p>
            <w:pPr>
              <w:spacing w:after="20"/>
            </w:pPr>
            <w:r>
              <w:rPr>
                <w:color w:val="1C3A36"/>
                <w:sz w:val="18"/>
              </w:rPr>
              <w:t>Discounted cash flow (primary)</w:t>
            </w:r>
          </w:p>
        </w:tc>
        <w:tc>
          <w:tcPr>
            <w:tcW w:type="dxa" w:w="1224"/>
          </w:tcPr>
          <w:p>
            <w:pPr>
              <w:spacing w:after="20"/>
              <w:jc w:val="right"/>
            </w:pPr>
            <w:r>
              <w:rPr>
                <w:color w:val="1C3A36"/>
                <w:sz w:val="18"/>
              </w:rPr>
              <w:t>10.97</w:t>
            </w:r>
          </w:p>
        </w:tc>
        <w:tc>
          <w:tcPr>
            <w:tcW w:type="dxa" w:w="1224"/>
          </w:tcPr>
          <w:p>
            <w:pPr>
              <w:spacing w:after="20"/>
              <w:jc w:val="right"/>
            </w:pPr>
            <w:r>
              <w:rPr>
                <w:color w:val="1C3A36"/>
                <w:sz w:val="18"/>
              </w:rPr>
              <w:t>19.14</w:t>
            </w:r>
          </w:p>
        </w:tc>
        <w:tc>
          <w:tcPr>
            <w:tcW w:type="dxa" w:w="1224"/>
          </w:tcPr>
          <w:p>
            <w:pPr>
              <w:spacing w:after="20"/>
              <w:jc w:val="right"/>
            </w:pPr>
            <w:r>
              <w:rPr>
                <w:color w:val="1C3A36"/>
                <w:sz w:val="18"/>
              </w:rPr>
              <w:t>29.58</w:t>
            </w:r>
          </w:p>
        </w:tc>
        <w:tc>
          <w:tcPr>
            <w:tcW w:type="dxa" w:w="1080"/>
          </w:tcPr>
          <w:p>
            <w:pPr>
              <w:spacing w:after="20"/>
              <w:jc w:val="right"/>
            </w:pPr>
            <w:r>
              <w:rPr>
                <w:color w:val="1C3A36"/>
                <w:sz w:val="18"/>
              </w:rPr>
              <w:t>45%</w:t>
            </w:r>
          </w:p>
        </w:tc>
        <w:tc>
          <w:tcPr>
            <w:tcW w:type="dxa" w:w="1224"/>
          </w:tcPr>
          <w:p>
            <w:pPr>
              <w:spacing w:after="20"/>
              <w:jc w:val="right"/>
            </w:pPr>
            <w:r>
              <w:rPr>
                <w:color w:val="1C3A36"/>
                <w:sz w:val="18"/>
              </w:rPr>
              <w:t>+56%</w:t>
            </w:r>
          </w:p>
        </w:tc>
      </w:tr>
      <w:tr>
        <w:tc>
          <w:tcPr>
            <w:tcW w:type="dxa" w:w="3672"/>
          </w:tcPr>
          <w:p>
            <w:pPr>
              <w:spacing w:after="20"/>
            </w:pPr>
            <w:r>
              <w:rPr>
                <w:color w:val="1C3A36"/>
                <w:sz w:val="18"/>
              </w:rPr>
              <w:t>Relative multiples</w:t>
            </w:r>
          </w:p>
        </w:tc>
        <w:tc>
          <w:tcPr>
            <w:tcW w:type="dxa" w:w="1224"/>
          </w:tcPr>
          <w:p>
            <w:pPr>
              <w:spacing w:after="20"/>
              <w:jc w:val="right"/>
            </w:pPr>
            <w:r>
              <w:rPr>
                <w:color w:val="1C3A36"/>
                <w:sz w:val="18"/>
              </w:rPr>
              <w:t>8.27</w:t>
            </w:r>
          </w:p>
        </w:tc>
        <w:tc>
          <w:tcPr>
            <w:tcW w:type="dxa" w:w="1224"/>
          </w:tcPr>
          <w:p>
            <w:pPr>
              <w:spacing w:after="20"/>
              <w:jc w:val="right"/>
            </w:pPr>
            <w:r>
              <w:rPr>
                <w:color w:val="1C3A36"/>
                <w:sz w:val="18"/>
              </w:rPr>
              <w:t>10.80</w:t>
            </w:r>
          </w:p>
        </w:tc>
        <w:tc>
          <w:tcPr>
            <w:tcW w:type="dxa" w:w="1224"/>
          </w:tcPr>
          <w:p>
            <w:pPr>
              <w:spacing w:after="20"/>
              <w:jc w:val="right"/>
            </w:pPr>
            <w:r>
              <w:rPr>
                <w:color w:val="1C3A36"/>
                <w:sz w:val="18"/>
              </w:rPr>
              <w:t>12.96</w:t>
            </w:r>
          </w:p>
        </w:tc>
        <w:tc>
          <w:tcPr>
            <w:tcW w:type="dxa" w:w="1080"/>
          </w:tcPr>
          <w:p>
            <w:pPr>
              <w:spacing w:after="20"/>
              <w:jc w:val="right"/>
            </w:pPr>
            <w:r>
              <w:rPr>
                <w:color w:val="1C3A36"/>
                <w:sz w:val="18"/>
              </w:rPr>
              <w:t>25%</w:t>
            </w:r>
          </w:p>
        </w:tc>
        <w:tc>
          <w:tcPr>
            <w:tcW w:type="dxa" w:w="1224"/>
          </w:tcPr>
          <w:p>
            <w:pPr>
              <w:spacing w:after="20"/>
              <w:jc w:val="right"/>
            </w:pPr>
            <w:r>
              <w:rPr>
                <w:color w:val="1C3A36"/>
                <w:sz w:val="18"/>
              </w:rPr>
              <w:t>-12%</w:t>
            </w:r>
          </w:p>
        </w:tc>
      </w:tr>
      <w:tr>
        <w:tc>
          <w:tcPr>
            <w:tcW w:type="dxa" w:w="3672"/>
          </w:tcPr>
          <w:p>
            <w:pPr>
              <w:spacing w:after="20"/>
            </w:pPr>
            <w:r>
              <w:rPr>
                <w:color w:val="1C3A36"/>
                <w:sz w:val="18"/>
              </w:rPr>
              <w:t>Normalised earnings power</w:t>
            </w:r>
          </w:p>
        </w:tc>
        <w:tc>
          <w:tcPr>
            <w:tcW w:type="dxa" w:w="1224"/>
          </w:tcPr>
          <w:p>
            <w:pPr>
              <w:spacing w:after="20"/>
              <w:jc w:val="right"/>
            </w:pPr>
            <w:r>
              <w:rPr>
                <w:color w:val="1C3A36"/>
                <w:sz w:val="18"/>
              </w:rPr>
              <w:t>8.25</w:t>
            </w:r>
          </w:p>
        </w:tc>
        <w:tc>
          <w:tcPr>
            <w:tcW w:type="dxa" w:w="1224"/>
          </w:tcPr>
          <w:p>
            <w:pPr>
              <w:spacing w:after="20"/>
              <w:jc w:val="right"/>
            </w:pPr>
            <w:r>
              <w:rPr>
                <w:color w:val="1C3A36"/>
                <w:sz w:val="18"/>
              </w:rPr>
              <w:t>10.78</w:t>
            </w:r>
          </w:p>
        </w:tc>
        <w:tc>
          <w:tcPr>
            <w:tcW w:type="dxa" w:w="1224"/>
          </w:tcPr>
          <w:p>
            <w:pPr>
              <w:spacing w:after="20"/>
              <w:jc w:val="right"/>
            </w:pPr>
            <w:r>
              <w:rPr>
                <w:color w:val="1C3A36"/>
                <w:sz w:val="18"/>
              </w:rPr>
              <w:t>12.94</w:t>
            </w:r>
          </w:p>
        </w:tc>
        <w:tc>
          <w:tcPr>
            <w:tcW w:type="dxa" w:w="1080"/>
          </w:tcPr>
          <w:p>
            <w:pPr>
              <w:spacing w:after="20"/>
              <w:jc w:val="right"/>
            </w:pPr>
            <w:r>
              <w:rPr>
                <w:color w:val="1C3A36"/>
                <w:sz w:val="18"/>
              </w:rPr>
              <w:t>20%</w:t>
            </w:r>
          </w:p>
        </w:tc>
        <w:tc>
          <w:tcPr>
            <w:tcW w:type="dxa" w:w="1224"/>
          </w:tcPr>
          <w:p>
            <w:pPr>
              <w:spacing w:after="20"/>
              <w:jc w:val="right"/>
            </w:pPr>
            <w:r>
              <w:rPr>
                <w:color w:val="1C3A36"/>
                <w:sz w:val="18"/>
              </w:rPr>
              <w:t>-12%</w:t>
            </w:r>
          </w:p>
        </w:tc>
      </w:tr>
      <w:tr>
        <w:tc>
          <w:tcPr>
            <w:tcW w:type="dxa" w:w="3672"/>
          </w:tcPr>
          <w:p>
            <w:pPr>
              <w:spacing w:after="20"/>
            </w:pPr>
            <w:r>
              <w:rPr>
                <w:color w:val="1C3A36"/>
                <w:sz w:val="18"/>
              </w:rPr>
              <w:t>Book value &amp; sustainable return</w:t>
            </w:r>
          </w:p>
        </w:tc>
        <w:tc>
          <w:tcPr>
            <w:tcW w:type="dxa" w:w="1224"/>
          </w:tcPr>
          <w:p>
            <w:pPr>
              <w:spacing w:after="20"/>
              <w:jc w:val="right"/>
            </w:pPr>
            <w:r>
              <w:rPr>
                <w:color w:val="1C3A36"/>
                <w:sz w:val="18"/>
              </w:rPr>
              <w:t>9.74</w:t>
            </w:r>
          </w:p>
        </w:tc>
        <w:tc>
          <w:tcPr>
            <w:tcW w:type="dxa" w:w="1224"/>
          </w:tcPr>
          <w:p>
            <w:pPr>
              <w:spacing w:after="20"/>
              <w:jc w:val="right"/>
            </w:pPr>
            <w:r>
              <w:rPr>
                <w:color w:val="1C3A36"/>
                <w:sz w:val="18"/>
              </w:rPr>
              <w:t>15.07</w:t>
            </w:r>
          </w:p>
        </w:tc>
        <w:tc>
          <w:tcPr>
            <w:tcW w:type="dxa" w:w="1224"/>
          </w:tcPr>
          <w:p>
            <w:pPr>
              <w:spacing w:after="20"/>
              <w:jc w:val="right"/>
            </w:pPr>
            <w:r>
              <w:rPr>
                <w:color w:val="1C3A36"/>
                <w:sz w:val="18"/>
              </w:rPr>
              <w:t>16.34</w:t>
            </w:r>
          </w:p>
        </w:tc>
        <w:tc>
          <w:tcPr>
            <w:tcW w:type="dxa" w:w="1080"/>
          </w:tcPr>
          <w:p>
            <w:pPr>
              <w:spacing w:after="20"/>
              <w:jc w:val="right"/>
            </w:pPr>
            <w:r>
              <w:rPr>
                <w:color w:val="1C3A36"/>
                <w:sz w:val="18"/>
              </w:rPr>
              <w:t>10%</w:t>
            </w:r>
          </w:p>
        </w:tc>
        <w:tc>
          <w:tcPr>
            <w:tcW w:type="dxa" w:w="1224"/>
          </w:tcPr>
          <w:p>
            <w:pPr>
              <w:spacing w:after="20"/>
              <w:jc w:val="right"/>
            </w:pPr>
            <w:r>
              <w:rPr>
                <w:color w:val="1C3A36"/>
                <w:sz w:val="18"/>
              </w:rPr>
              <w:t>+23%</w:t>
            </w:r>
          </w:p>
        </w:tc>
      </w:tr>
      <w:tr>
        <w:tc>
          <w:tcPr>
            <w:tcW w:type="dxa" w:w="3672"/>
            <w:shd w:val="clear" w:color="auto" w:fill="F6F1E6"/>
          </w:tcPr>
          <w:p>
            <w:pPr>
              <w:spacing w:after="20"/>
            </w:pPr>
            <w:r>
              <w:rPr>
                <w:b/>
                <w:color w:val="1C3A36"/>
                <w:sz w:val="18"/>
              </w:rPr>
              <w:t>Weighted central</w:t>
            </w:r>
          </w:p>
        </w:tc>
        <w:tc>
          <w:tcPr>
            <w:tcW w:type="dxa" w:w="1224"/>
            <w:shd w:val="clear" w:color="auto" w:fill="F6F1E6"/>
          </w:tcPr>
          <w:p>
            <w:pPr>
              <w:spacing w:after="20"/>
              <w:jc w:val="right"/>
            </w:pPr>
            <w:r>
              <w:rPr>
                <w:b/>
                <w:color w:val="1C3A36"/>
                <w:sz w:val="18"/>
              </w:rPr>
              <w:t>8.25</w:t>
            </w:r>
          </w:p>
        </w:tc>
        <w:tc>
          <w:tcPr>
            <w:tcW w:type="dxa" w:w="1224"/>
            <w:shd w:val="clear" w:color="auto" w:fill="F6F1E6"/>
          </w:tcPr>
          <w:p>
            <w:pPr>
              <w:spacing w:after="20"/>
              <w:jc w:val="right"/>
            </w:pPr>
            <w:r>
              <w:rPr>
                <w:b/>
                <w:color w:val="1C3A36"/>
                <w:sz w:val="18"/>
              </w:rPr>
              <w:t>14.98</w:t>
            </w:r>
          </w:p>
        </w:tc>
        <w:tc>
          <w:tcPr>
            <w:tcW w:type="dxa" w:w="1224"/>
            <w:shd w:val="clear" w:color="auto" w:fill="F6F1E6"/>
          </w:tcPr>
          <w:p>
            <w:pPr>
              <w:spacing w:after="20"/>
              <w:jc w:val="right"/>
            </w:pPr>
            <w:r>
              <w:rPr>
                <w:b/>
                <w:color w:val="1C3A36"/>
                <w:sz w:val="18"/>
              </w:rPr>
              <w:t>29.58</w:t>
            </w:r>
          </w:p>
        </w:tc>
        <w:tc>
          <w:tcPr>
            <w:tcW w:type="dxa" w:w="1080"/>
            <w:shd w:val="clear" w:color="auto" w:fill="F6F1E6"/>
          </w:tcPr>
          <w:p>
            <w:pPr>
              <w:spacing w:after="20"/>
              <w:jc w:val="right"/>
            </w:pPr>
            <w:r>
              <w:rPr>
                <w:b/>
                <w:color w:val="1C3A36"/>
                <w:sz w:val="18"/>
              </w:rPr>
              <w:t>100%</w:t>
            </w:r>
          </w:p>
        </w:tc>
        <w:tc>
          <w:tcPr>
            <w:tcW w:type="dxa" w:w="1224"/>
            <w:shd w:val="clear" w:color="auto" w:fill="F6F1E6"/>
          </w:tcPr>
          <w:p>
            <w:pPr>
              <w:spacing w:after="20"/>
              <w:jc w:val="right"/>
            </w:pPr>
            <w:r>
              <w:rPr>
                <w:b/>
                <w:color w:val="1C3A36"/>
                <w:sz w:val="18"/>
              </w:rPr>
              <w:t>+22%</w:t>
            </w:r>
          </w:p>
        </w:tc>
      </w:tr>
      <w:tr>
        <w:tc>
          <w:tcPr>
            <w:tcW w:type="dxa" w:w="3672"/>
          </w:tcPr>
          <w:p>
            <w:pPr>
              <w:spacing w:after="20"/>
            </w:pPr>
            <w:r>
              <w:rPr>
                <w:color w:val="1C3A36"/>
                <w:sz w:val="18"/>
              </w:rPr>
              <w:t>DCF under Framing B (fiscal reversion)</w:t>
            </w:r>
          </w:p>
        </w:tc>
        <w:tc>
          <w:tcPr>
            <w:tcW w:type="dxa" w:w="1224"/>
          </w:tcPr>
          <w:p>
            <w:pPr>
              <w:spacing w:after="20"/>
              <w:jc w:val="right"/>
            </w:pPr>
            <w:r>
              <w:rPr>
                <w:color w:val="1C3A36"/>
                <w:sz w:val="18"/>
              </w:rPr>
            </w:r>
          </w:p>
        </w:tc>
        <w:tc>
          <w:tcPr>
            <w:tcW w:type="dxa" w:w="1224"/>
          </w:tcPr>
          <w:p>
            <w:pPr>
              <w:spacing w:after="20"/>
              <w:jc w:val="right"/>
            </w:pPr>
            <w:r>
              <w:rPr>
                <w:color w:val="1C3A36"/>
                <w:sz w:val="18"/>
              </w:rPr>
              <w:t>16.29</w:t>
            </w:r>
          </w:p>
        </w:tc>
        <w:tc>
          <w:tcPr>
            <w:tcW w:type="dxa" w:w="1224"/>
          </w:tcPr>
          <w:p>
            <w:pPr>
              <w:spacing w:after="20"/>
              <w:jc w:val="right"/>
            </w:pPr>
            <w:r>
              <w:rPr>
                <w:color w:val="1C3A36"/>
                <w:sz w:val="18"/>
              </w:rPr>
            </w:r>
          </w:p>
        </w:tc>
        <w:tc>
          <w:tcPr>
            <w:tcW w:type="dxa" w:w="1080"/>
          </w:tcPr>
          <w:p>
            <w:pPr>
              <w:spacing w:after="20"/>
              <w:jc w:val="right"/>
            </w:pPr>
            <w:r>
              <w:rPr>
                <w:color w:val="1C3A36"/>
                <w:sz w:val="18"/>
              </w:rPr>
              <w:t>—</w:t>
            </w:r>
          </w:p>
        </w:tc>
        <w:tc>
          <w:tcPr>
            <w:tcW w:type="dxa" w:w="1224"/>
          </w:tcPr>
          <w:p>
            <w:pPr>
              <w:spacing w:after="20"/>
              <w:jc w:val="right"/>
            </w:pPr>
            <w:r>
              <w:rPr>
                <w:color w:val="1C3A36"/>
                <w:sz w:val="18"/>
              </w:rPr>
              <w:t>+32%</w:t>
            </w:r>
          </w:p>
        </w:tc>
      </w:tr>
      <w:tr>
        <w:tc>
          <w:tcPr>
            <w:tcW w:type="dxa" w:w="3672"/>
          </w:tcPr>
          <w:p>
            <w:pPr>
              <w:spacing w:after="20"/>
            </w:pPr>
            <w:r>
              <w:rPr>
                <w:color w:val="1C3A36"/>
                <w:sz w:val="18"/>
              </w:rPr>
              <w:t>Expert panel median (Appendix C)</w:t>
            </w:r>
          </w:p>
        </w:tc>
        <w:tc>
          <w:tcPr>
            <w:tcW w:type="dxa" w:w="1224"/>
          </w:tcPr>
          <w:p>
            <w:pPr>
              <w:spacing w:after="20"/>
              <w:jc w:val="right"/>
            </w:pPr>
            <w:r>
              <w:rPr>
                <w:color w:val="1C3A36"/>
                <w:sz w:val="18"/>
              </w:rPr>
            </w:r>
          </w:p>
        </w:tc>
        <w:tc>
          <w:tcPr>
            <w:tcW w:type="dxa" w:w="1224"/>
          </w:tcPr>
          <w:p>
            <w:pPr>
              <w:spacing w:after="20"/>
              <w:jc w:val="right"/>
            </w:pPr>
            <w:r>
              <w:rPr>
                <w:color w:val="1C3A36"/>
                <w:sz w:val="18"/>
              </w:rPr>
              <w:t>19.04</w:t>
            </w:r>
          </w:p>
        </w:tc>
        <w:tc>
          <w:tcPr>
            <w:tcW w:type="dxa" w:w="1224"/>
          </w:tcPr>
          <w:p>
            <w:pPr>
              <w:spacing w:after="20"/>
              <w:jc w:val="right"/>
            </w:pPr>
            <w:r>
              <w:rPr>
                <w:color w:val="1C3A36"/>
                <w:sz w:val="18"/>
              </w:rPr>
            </w:r>
          </w:p>
        </w:tc>
        <w:tc>
          <w:tcPr>
            <w:tcW w:type="dxa" w:w="1080"/>
          </w:tcPr>
          <w:p>
            <w:pPr>
              <w:spacing w:after="20"/>
              <w:jc w:val="right"/>
            </w:pPr>
            <w:r>
              <w:rPr>
                <w:color w:val="1C3A36"/>
                <w:sz w:val="18"/>
              </w:rPr>
              <w:t>—</w:t>
            </w:r>
          </w:p>
        </w:tc>
        <w:tc>
          <w:tcPr>
            <w:tcW w:type="dxa" w:w="1224"/>
          </w:tcPr>
          <w:p>
            <w:pPr>
              <w:spacing w:after="20"/>
              <w:jc w:val="right"/>
            </w:pPr>
            <w:r>
              <w:rPr>
                <w:color w:val="1C3A36"/>
                <w:sz w:val="18"/>
              </w:rPr>
              <w:t>+55%</w:t>
            </w:r>
          </w:p>
        </w:tc>
      </w:tr>
      <w:tr>
        <w:tc>
          <w:tcPr>
            <w:tcW w:type="dxa" w:w="3672"/>
          </w:tcPr>
          <w:p>
            <w:pPr>
              <w:spacing w:after="20"/>
            </w:pPr>
            <w:r>
              <w:rPr>
                <w:color w:val="1C3A36"/>
                <w:sz w:val="18"/>
              </w:rPr>
              <w:t>DCF terminal value share of enterprise value: 85%</w:t>
            </w:r>
          </w:p>
        </w:tc>
        <w:tc>
          <w:tcPr>
            <w:tcW w:type="dxa" w:w="1224"/>
          </w:tcPr>
          <w:p>
            <w:pPr>
              <w:spacing w:after="20"/>
              <w:jc w:val="right"/>
            </w:pPr>
            <w:r>
              <w:rPr>
                <w:color w:val="1C3A36"/>
                <w:sz w:val="18"/>
              </w:rPr>
            </w:r>
          </w:p>
        </w:tc>
        <w:tc>
          <w:tcPr>
            <w:tcW w:type="dxa" w:w="1224"/>
          </w:tcPr>
          <w:p>
            <w:pPr>
              <w:spacing w:after="20"/>
              <w:jc w:val="right"/>
            </w:pPr>
            <w:r>
              <w:rPr>
                <w:color w:val="1C3A36"/>
                <w:sz w:val="18"/>
              </w:rPr>
            </w:r>
          </w:p>
        </w:tc>
        <w:tc>
          <w:tcPr>
            <w:tcW w:type="dxa" w:w="1224"/>
          </w:tcPr>
          <w:p>
            <w:pPr>
              <w:spacing w:after="20"/>
              <w:jc w:val="right"/>
            </w:pPr>
            <w:r>
              <w:rPr>
                <w:color w:val="1C3A36"/>
                <w:sz w:val="18"/>
              </w:rPr>
            </w:r>
          </w:p>
        </w:tc>
        <w:tc>
          <w:tcPr>
            <w:tcW w:type="dxa" w:w="1080"/>
          </w:tcPr>
          <w:p>
            <w:pPr>
              <w:spacing w:after="20"/>
              <w:jc w:val="right"/>
            </w:pPr>
            <w:r>
              <w:rPr>
                <w:color w:val="1C3A36"/>
                <w:sz w:val="18"/>
              </w:rPr>
            </w:r>
          </w:p>
        </w:tc>
        <w:tc>
          <w:tcPr>
            <w:tcW w:type="dxa" w:w="1224"/>
          </w:tcPr>
          <w:p>
            <w:pPr>
              <w:spacing w:after="20"/>
              <w:jc w:val="right"/>
            </w:pPr>
            <w:r>
              <w:rPr>
                <w:color w:val="1C3A36"/>
                <w:sz w:val="18"/>
              </w:rPr>
            </w:r>
          </w:p>
        </w:tc>
      </w:tr>
    </w:tbl>
    <w:p>
      <w:pPr>
        <w:spacing w:after="40"/>
      </w:pPr>
    </w:p>
    <w:p>
      <w:pPr>
        <w:spacing w:after="200" w:before="0"/>
      </w:pPr>
      <w:r>
        <w:rPr>
          <w:b w:val="0"/>
          <w:i/>
          <w:color w:val="6E7B77"/>
          <w:sz w:val="17"/>
        </w:rPr>
        <w:t>Table 1 — the valuation summary. Weighted central AED 14.98; every lens value is dated at the 2026-08-07 anchor, net of the AED 0.40 final FY2025 dividend paid 28-Apr-2026. The terminal value is 85% of the DCF enterprise value — stated here because a reader should know how much of the primary lens rests on the far future.</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du at a glance</w:t>
      </w:r>
    </w:p>
    <w:p>
      <w:pPr>
        <w:spacing w:after="120" w:before="0"/>
      </w:pPr>
      <w:r>
        <w:rPr>
          <w:b w:val="0"/>
          <w:i w:val="0"/>
          <w:color w:val="1C3A36"/>
          <w:sz w:val="21"/>
        </w:rPr>
        <w:t>Emirates Integrated Telecommunications Company PJSC — branded du — launched service in 2007 as the UAE's second licensed operator and has settled into a stable duopoly with e&amp; (formerly Etisalat). It is majority state-anchored: the Emirates Investment Authority is the controlling shareholder, and 2025's main capital-markets event was a secondary offering in which Mubadala's Mamoura vehicle sold three quarters of its stake (7.55% of the company), widening the free float without changing control.</w:t>
      </w:r>
    </w:p>
    <w:p>
      <w:pPr>
        <w:spacing w:after="120" w:before="0"/>
      </w:pPr>
      <w:r>
        <w:rPr>
          <w:b w:val="0"/>
          <w:i w:val="0"/>
          <w:color w:val="1C3A36"/>
          <w:sz w:val="21"/>
        </w:rPr>
        <w:t>The revenue mix that decides the company's class: FY2025 mobile services AED 7,075mn (44% of revenue), fixed services AED 4,380mn (28%), wholesale AED 2,568mn (16%) and ICT and associated telecom services AED 1,883mn (12%). The balance-sheet shape: network assets (property, plant and equipment AED 10,289mn plus right-of-use assets and intangibles) financed by equity of AED 10,148mn, structurally NEGATIVE working capital (-6.7% of revenue — customers and suppliers fund the operation), no borrowings, and cash plus term deposits of AED 2,250mn against lease liabilities of AED 1,939mn. That is an integrated telecom OPERATING COMPANY, with no captive lender, no development book and no holding-company discount to model: the lens set is the operating-company one — a full FCFF discounted cash flow as the primary lens, cross-read by relative multiples, normalised earnings power and a book/sustainable-return lens.</w:t>
      </w:r>
    </w:p>
    <w:p>
      <w:pPr>
        <w:spacing w:after="120" w:before="0"/>
      </w:pPr>
      <w:r>
        <w:rPr>
          <w:b w:val="0"/>
          <w:i w:val="0"/>
          <w:color w:val="1C3A36"/>
          <w:sz w:val="21"/>
        </w:rPr>
        <w:t>Two structural facts organise everything else. First, the state takes roughly 44% of pre-royalty profit (38% federal royalty plus 9% corporate tax since 2024; the pre-2024 construction took over half) — so every operating improvement reaches shareholders at barely more than half strength, and the fiscal regime is worth more than any operating driver. Second, the balance sheet is unleveraged with a near-total payout: du is run as a cash-distribution machine on a licence, which is why the licence renewal and the royalty renewal are the two catalysts that matter most (section 5).</w:t>
      </w:r>
    </w:p>
    <w:p>
      <w:pPr>
        <w:spacing w:after="200" w:before="0"/>
      </w:pPr>
      <w:r>
        <w:rPr>
          <w:b w:val="0"/>
          <w:i w:val="0"/>
          <w:color w:val="1C3A36"/>
          <w:sz w:val="21"/>
        </w:rPr>
        <w:t>The quarter this study is struck in: a regional war that began in February 2026 collapsed Gulf tourism and cut du's prepaid base by 412 thousand in Q2-2026, while postpaid kept growing and H1-2026 net profit still rose +12.6% on an EBITDA margin of 49.2% — the resilience and the vulnerability in one print. A ceasefire is in place; the recovery path is the forecast's biggest operating assumption and is sensitised explicitly.</w:t>
      </w:r>
    </w:p>
    <w:p>
      <w:pPr>
        <w:spacing w:after="120" w:before="280"/>
      </w:pPr>
      <w:r>
        <w:rPr>
          <w:b/>
          <w:i w:val="0"/>
          <w:color w:val="1C3A36"/>
          <w:sz w:val="30"/>
        </w:rPr>
        <w:t>1  Fundamental valuation</w:t>
      </w:r>
    </w:p>
    <w:p>
      <w:pPr>
        <w:spacing w:after="120" w:before="0"/>
      </w:pPr>
      <w:r>
        <w:rPr>
          <w:b w:val="0"/>
          <w:i w:val="0"/>
          <w:color w:val="1C3A36"/>
          <w:sz w:val="21"/>
        </w:rPr>
        <w:t>Four lenses, weighted into one field: the discounted cash flow carries 45%, relative multiples 25%, normalised earnings power 20% and the book lens 10%.</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four disclosed segments (section 1.6), charges the combined royalty-and-tax take on operating profit, funds the network and the lease book, releases (negative) working capital as revenue grows, and discounts each year's free cash flow at its own forward cost of capital.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FY26E</w:t>
            </w:r>
          </w:p>
        </w:tc>
        <w:tc>
          <w:tcPr>
            <w:tcW w:type="dxa" w:w="1354"/>
            <w:shd w:val="clear" w:color="auto" w:fill="EAF0EE"/>
          </w:tcPr>
          <w:p>
            <w:pPr>
              <w:spacing w:after="20"/>
            </w:pPr>
            <w:r>
              <w:rPr>
                <w:b/>
                <w:color w:val="1C3A36"/>
                <w:sz w:val="17"/>
              </w:rPr>
              <w:t>FY27E</w:t>
            </w:r>
          </w:p>
        </w:tc>
        <w:tc>
          <w:tcPr>
            <w:tcW w:type="dxa" w:w="1354"/>
            <w:shd w:val="clear" w:color="auto" w:fill="EAF0EE"/>
          </w:tcPr>
          <w:p>
            <w:pPr>
              <w:spacing w:after="20"/>
            </w:pPr>
            <w:r>
              <w:rPr>
                <w:b/>
                <w:color w:val="1C3A36"/>
                <w:sz w:val="17"/>
              </w:rPr>
              <w:t>FY28E</w:t>
            </w:r>
          </w:p>
        </w:tc>
        <w:tc>
          <w:tcPr>
            <w:tcW w:type="dxa" w:w="1354"/>
            <w:shd w:val="clear" w:color="auto" w:fill="EAF0EE"/>
          </w:tcPr>
          <w:p>
            <w:pPr>
              <w:spacing w:after="20"/>
            </w:pPr>
            <w:r>
              <w:rPr>
                <w:b/>
                <w:color w:val="1C3A36"/>
                <w:sz w:val="17"/>
              </w:rPr>
              <w:t>FY29E</w:t>
            </w:r>
          </w:p>
        </w:tc>
        <w:tc>
          <w:tcPr>
            <w:tcW w:type="dxa" w:w="1354"/>
            <w:shd w:val="clear" w:color="auto" w:fill="EAF0EE"/>
          </w:tcPr>
          <w:p>
            <w:pPr>
              <w:spacing w:after="20"/>
            </w:pPr>
            <w:r>
              <w:rPr>
                <w:b/>
                <w:color w:val="1C3A36"/>
                <w:sz w:val="17"/>
              </w:rPr>
              <w:t>FY30E</w:t>
            </w:r>
          </w:p>
        </w:tc>
      </w:tr>
      <w:tr>
        <w:tc>
          <w:tcPr>
            <w:tcW w:type="dxa" w:w="3312"/>
          </w:tcPr>
          <w:p>
            <w:pPr>
              <w:spacing w:after="20"/>
            </w:pPr>
            <w:r>
              <w:rPr>
                <w:color w:val="1C3A36"/>
                <w:sz w:val="17"/>
              </w:rPr>
              <w:t>Revenue</w:t>
            </w:r>
          </w:p>
        </w:tc>
        <w:tc>
          <w:tcPr>
            <w:tcW w:type="dxa" w:w="1354"/>
          </w:tcPr>
          <w:p>
            <w:pPr>
              <w:spacing w:after="20"/>
              <w:jc w:val="right"/>
            </w:pPr>
            <w:r>
              <w:rPr>
                <w:color w:val="1C3A36"/>
                <w:sz w:val="17"/>
              </w:rPr>
              <w:t>16,593</w:t>
            </w:r>
          </w:p>
        </w:tc>
        <w:tc>
          <w:tcPr>
            <w:tcW w:type="dxa" w:w="1354"/>
          </w:tcPr>
          <w:p>
            <w:pPr>
              <w:spacing w:after="20"/>
              <w:jc w:val="right"/>
            </w:pPr>
            <w:r>
              <w:rPr>
                <w:color w:val="1C3A36"/>
                <w:sz w:val="17"/>
              </w:rPr>
              <w:t>17,240</w:t>
            </w:r>
          </w:p>
        </w:tc>
        <w:tc>
          <w:tcPr>
            <w:tcW w:type="dxa" w:w="1354"/>
          </w:tcPr>
          <w:p>
            <w:pPr>
              <w:spacing w:after="20"/>
              <w:jc w:val="right"/>
            </w:pPr>
            <w:r>
              <w:rPr>
                <w:color w:val="1C3A36"/>
                <w:sz w:val="17"/>
              </w:rPr>
              <w:t>18,011</w:t>
            </w:r>
          </w:p>
        </w:tc>
        <w:tc>
          <w:tcPr>
            <w:tcW w:type="dxa" w:w="1354"/>
          </w:tcPr>
          <w:p>
            <w:pPr>
              <w:spacing w:after="20"/>
              <w:jc w:val="right"/>
            </w:pPr>
            <w:r>
              <w:rPr>
                <w:color w:val="1C3A36"/>
                <w:sz w:val="17"/>
              </w:rPr>
              <w:t>18,734</w:t>
            </w:r>
          </w:p>
        </w:tc>
        <w:tc>
          <w:tcPr>
            <w:tcW w:type="dxa" w:w="1354"/>
          </w:tcPr>
          <w:p>
            <w:pPr>
              <w:spacing w:after="20"/>
              <w:jc w:val="right"/>
            </w:pPr>
            <w:r>
              <w:rPr>
                <w:color w:val="1C3A36"/>
                <w:sz w:val="17"/>
              </w:rPr>
              <w:t>19,424</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7,822</w:t>
            </w:r>
          </w:p>
        </w:tc>
        <w:tc>
          <w:tcPr>
            <w:tcW w:type="dxa" w:w="1354"/>
            <w:shd w:val="clear" w:color="auto" w:fill="F6F1E6"/>
          </w:tcPr>
          <w:p>
            <w:pPr>
              <w:spacing w:after="20"/>
              <w:jc w:val="right"/>
            </w:pPr>
            <w:r>
              <w:rPr>
                <w:b/>
                <w:color w:val="1C3A36"/>
                <w:sz w:val="17"/>
              </w:rPr>
              <w:t>8,117</w:t>
            </w:r>
          </w:p>
        </w:tc>
        <w:tc>
          <w:tcPr>
            <w:tcW w:type="dxa" w:w="1354"/>
            <w:shd w:val="clear" w:color="auto" w:fill="F6F1E6"/>
          </w:tcPr>
          <w:p>
            <w:pPr>
              <w:spacing w:after="20"/>
              <w:jc w:val="right"/>
            </w:pPr>
            <w:r>
              <w:rPr>
                <w:b/>
                <w:color w:val="1C3A36"/>
                <w:sz w:val="17"/>
              </w:rPr>
              <w:t>8,481</w:t>
            </w:r>
          </w:p>
        </w:tc>
        <w:tc>
          <w:tcPr>
            <w:tcW w:type="dxa" w:w="1354"/>
            <w:shd w:val="clear" w:color="auto" w:fill="F6F1E6"/>
          </w:tcPr>
          <w:p>
            <w:pPr>
              <w:spacing w:after="20"/>
              <w:jc w:val="right"/>
            </w:pPr>
            <w:r>
              <w:rPr>
                <w:b/>
                <w:color w:val="1C3A36"/>
                <w:sz w:val="17"/>
              </w:rPr>
              <w:t>8,815</w:t>
            </w:r>
          </w:p>
        </w:tc>
        <w:tc>
          <w:tcPr>
            <w:tcW w:type="dxa" w:w="1354"/>
            <w:shd w:val="clear" w:color="auto" w:fill="F6F1E6"/>
          </w:tcPr>
          <w:p>
            <w:pPr>
              <w:spacing w:after="20"/>
              <w:jc w:val="right"/>
            </w:pPr>
            <w:r>
              <w:rPr>
                <w:b/>
                <w:color w:val="1C3A36"/>
                <w:sz w:val="17"/>
              </w:rPr>
              <w:t>9,132</w:t>
            </w:r>
          </w:p>
        </w:tc>
      </w:tr>
      <w:tr>
        <w:tc>
          <w:tcPr>
            <w:tcW w:type="dxa" w:w="3312"/>
          </w:tcPr>
          <w:p>
            <w:pPr>
              <w:spacing w:after="20"/>
            </w:pPr>
            <w:r>
              <w:rPr>
                <w:color w:val="1C3A36"/>
                <w:sz w:val="17"/>
              </w:rPr>
              <w:t>less 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5,587</w:t>
            </w:r>
          </w:p>
        </w:tc>
        <w:tc>
          <w:tcPr>
            <w:tcW w:type="dxa" w:w="1354"/>
            <w:shd w:val="clear" w:color="auto" w:fill="F6F1E6"/>
          </w:tcPr>
          <w:p>
            <w:pPr>
              <w:spacing w:after="20"/>
              <w:jc w:val="right"/>
            </w:pPr>
            <w:r>
              <w:rPr>
                <w:b/>
                <w:color w:val="1C3A36"/>
                <w:sz w:val="17"/>
              </w:rPr>
              <w:t>5,765</w:t>
            </w:r>
          </w:p>
        </w:tc>
        <w:tc>
          <w:tcPr>
            <w:tcW w:type="dxa" w:w="1354"/>
            <w:shd w:val="clear" w:color="auto" w:fill="F6F1E6"/>
          </w:tcPr>
          <w:p>
            <w:pPr>
              <w:spacing w:after="20"/>
              <w:jc w:val="right"/>
            </w:pPr>
            <w:r>
              <w:rPr>
                <w:b/>
                <w:color w:val="1C3A36"/>
                <w:sz w:val="17"/>
              </w:rPr>
              <w:t>6,032</w:t>
            </w:r>
          </w:p>
        </w:tc>
        <w:tc>
          <w:tcPr>
            <w:tcW w:type="dxa" w:w="1354"/>
            <w:shd w:val="clear" w:color="auto" w:fill="F6F1E6"/>
          </w:tcPr>
          <w:p>
            <w:pPr>
              <w:spacing w:after="20"/>
              <w:jc w:val="right"/>
            </w:pPr>
            <w:r>
              <w:rPr>
                <w:b/>
                <w:color w:val="1C3A36"/>
                <w:sz w:val="17"/>
              </w:rPr>
              <w:t>6,284</w:t>
            </w:r>
          </w:p>
        </w:tc>
        <w:tc>
          <w:tcPr>
            <w:tcW w:type="dxa" w:w="1354"/>
            <w:shd w:val="clear" w:color="auto" w:fill="F6F1E6"/>
          </w:tcPr>
          <w:p>
            <w:pPr>
              <w:spacing w:after="20"/>
              <w:jc w:val="right"/>
            </w:pPr>
            <w:r>
              <w:rPr>
                <w:b/>
                <w:color w:val="1C3A36"/>
                <w:sz w:val="17"/>
              </w:rPr>
              <w:t>6,549</w:t>
            </w:r>
          </w:p>
        </w:tc>
      </w:tr>
      <w:tr>
        <w:tc>
          <w:tcPr>
            <w:tcW w:type="dxa" w:w="3312"/>
          </w:tcPr>
          <w:p>
            <w:pPr>
              <w:spacing w:after="20"/>
            </w:pPr>
            <w:r>
              <w:rPr>
                <w:color w:val="1C3A36"/>
                <w:sz w:val="17"/>
              </w:rPr>
              <w:t>NOPAT — EBIT × (1 − 43.6%)</w:t>
            </w:r>
          </w:p>
        </w:tc>
        <w:tc>
          <w:tcPr>
            <w:tcW w:type="dxa" w:w="1354"/>
          </w:tcPr>
          <w:p>
            <w:pPr>
              <w:spacing w:after="20"/>
              <w:jc w:val="right"/>
            </w:pPr>
            <w:r>
              <w:rPr>
                <w:color w:val="1C3A36"/>
                <w:sz w:val="17"/>
              </w:rPr>
              <w:t>3,153</w:t>
            </w:r>
          </w:p>
        </w:tc>
        <w:tc>
          <w:tcPr>
            <w:tcW w:type="dxa" w:w="1354"/>
          </w:tcPr>
          <w:p>
            <w:pPr>
              <w:spacing w:after="20"/>
              <w:jc w:val="right"/>
            </w:pPr>
            <w:r>
              <w:rPr>
                <w:color w:val="1C3A36"/>
                <w:sz w:val="17"/>
              </w:rPr>
              <w:t>3,253</w:t>
            </w:r>
          </w:p>
        </w:tc>
        <w:tc>
          <w:tcPr>
            <w:tcW w:type="dxa" w:w="1354"/>
          </w:tcPr>
          <w:p>
            <w:pPr>
              <w:spacing w:after="20"/>
              <w:jc w:val="right"/>
            </w:pPr>
            <w:r>
              <w:rPr>
                <w:color w:val="1C3A36"/>
                <w:sz w:val="17"/>
              </w:rPr>
              <w:t>3,404</w:t>
            </w:r>
          </w:p>
        </w:tc>
        <w:tc>
          <w:tcPr>
            <w:tcW w:type="dxa" w:w="1354"/>
          </w:tcPr>
          <w:p>
            <w:pPr>
              <w:spacing w:after="20"/>
              <w:jc w:val="right"/>
            </w:pPr>
            <w:r>
              <w:rPr>
                <w:color w:val="1C3A36"/>
                <w:sz w:val="17"/>
              </w:rPr>
              <w:t>3,546</w:t>
            </w:r>
          </w:p>
        </w:tc>
        <w:tc>
          <w:tcPr>
            <w:tcW w:type="dxa" w:w="1354"/>
          </w:tcPr>
          <w:p>
            <w:pPr>
              <w:spacing w:after="20"/>
              <w:jc w:val="right"/>
            </w:pPr>
            <w:r>
              <w:rPr>
                <w:color w:val="1C3A36"/>
                <w:sz w:val="17"/>
              </w:rPr>
              <w:t>3,696</w:t>
            </w:r>
          </w:p>
        </w:tc>
      </w:tr>
      <w:tr>
        <w:tc>
          <w:tcPr>
            <w:tcW w:type="dxa" w:w="3312"/>
          </w:tcPr>
          <w:p>
            <w:pPr>
              <w:spacing w:after="20"/>
            </w:pPr>
            <w:r>
              <w:rPr>
                <w:color w:val="1C3A36"/>
                <w:sz w:val="17"/>
              </w:rPr>
              <w:t>add back 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-2,572</w:t>
            </w:r>
          </w:p>
        </w:tc>
        <w:tc>
          <w:tcPr>
            <w:tcW w:type="dxa" w:w="1354"/>
          </w:tcPr>
          <w:p>
            <w:pPr>
              <w:spacing w:after="20"/>
              <w:jc w:val="right"/>
            </w:pPr>
            <w:r>
              <w:rPr>
                <w:color w:val="1C3A36"/>
                <w:sz w:val="17"/>
              </w:rPr>
              <w:t>-2,586</w:t>
            </w:r>
          </w:p>
        </w:tc>
        <w:tc>
          <w:tcPr>
            <w:tcW w:type="dxa" w:w="1354"/>
          </w:tcPr>
          <w:p>
            <w:pPr>
              <w:spacing w:after="20"/>
              <w:jc w:val="right"/>
            </w:pPr>
            <w:r>
              <w:rPr>
                <w:color w:val="1C3A36"/>
                <w:sz w:val="17"/>
              </w:rPr>
              <w:t>-2,612</w:t>
            </w:r>
          </w:p>
        </w:tc>
        <w:tc>
          <w:tcPr>
            <w:tcW w:type="dxa" w:w="1354"/>
          </w:tcPr>
          <w:p>
            <w:pPr>
              <w:spacing w:after="20"/>
              <w:jc w:val="right"/>
            </w:pPr>
            <w:r>
              <w:rPr>
                <w:color w:val="1C3A36"/>
                <w:sz w:val="17"/>
              </w:rPr>
              <w:t>-2,529</w:t>
            </w:r>
          </w:p>
        </w:tc>
        <w:tc>
          <w:tcPr>
            <w:tcW w:type="dxa" w:w="1354"/>
          </w:tcPr>
          <w:p>
            <w:pPr>
              <w:spacing w:after="20"/>
              <w:jc w:val="right"/>
            </w:pPr>
            <w:r>
              <w:rPr>
                <w:color w:val="1C3A36"/>
                <w:sz w:val="17"/>
              </w:rPr>
              <w:t>-2,525</w:t>
            </w:r>
          </w:p>
        </w:tc>
      </w:tr>
      <w:tr>
        <w:tc>
          <w:tcPr>
            <w:tcW w:type="dxa" w:w="3312"/>
          </w:tcPr>
          <w:p>
            <w:pPr>
              <w:spacing w:after="20"/>
            </w:pPr>
            <w:r>
              <w:rPr>
                <w:color w:val="1C3A36"/>
                <w:sz w:val="17"/>
              </w:rPr>
              <w:t>less lease replacement</w:t>
            </w:r>
          </w:p>
        </w:tc>
        <w:tc>
          <w:tcPr>
            <w:tcW w:type="dxa" w:w="1354"/>
          </w:tcPr>
          <w:p>
            <w:pPr>
              <w:spacing w:after="20"/>
              <w:jc w:val="right"/>
            </w:pPr>
            <w:r>
              <w:rPr>
                <w:color w:val="1C3A36"/>
                <w:sz w:val="17"/>
              </w:rPr>
              <w:t>-355</w:t>
            </w:r>
          </w:p>
        </w:tc>
        <w:tc>
          <w:tcPr>
            <w:tcW w:type="dxa" w:w="1354"/>
          </w:tcPr>
          <w:p>
            <w:pPr>
              <w:spacing w:after="20"/>
              <w:jc w:val="right"/>
            </w:pPr>
            <w:r>
              <w:rPr>
                <w:color w:val="1C3A36"/>
                <w:sz w:val="17"/>
              </w:rPr>
              <w:t>-350</w:t>
            </w:r>
          </w:p>
        </w:tc>
        <w:tc>
          <w:tcPr>
            <w:tcW w:type="dxa" w:w="1354"/>
          </w:tcPr>
          <w:p>
            <w:pPr>
              <w:spacing w:after="20"/>
              <w:jc w:val="right"/>
            </w:pPr>
            <w:r>
              <w:rPr>
                <w:color w:val="1C3A36"/>
                <w:sz w:val="17"/>
              </w:rPr>
              <w:t>-345</w:t>
            </w:r>
          </w:p>
        </w:tc>
        <w:tc>
          <w:tcPr>
            <w:tcW w:type="dxa" w:w="1354"/>
          </w:tcPr>
          <w:p>
            <w:pPr>
              <w:spacing w:after="20"/>
              <w:jc w:val="right"/>
            </w:pPr>
            <w:r>
              <w:rPr>
                <w:color w:val="1C3A36"/>
                <w:sz w:val="17"/>
              </w:rPr>
              <w:t>-340</w:t>
            </w:r>
          </w:p>
        </w:tc>
        <w:tc>
          <w:tcPr>
            <w:tcW w:type="dxa" w:w="1354"/>
          </w:tcPr>
          <w:p>
            <w:pPr>
              <w:spacing w:after="20"/>
              <w:jc w:val="right"/>
            </w:pPr>
            <w:r>
              <w:rPr>
                <w:color w:val="1C3A36"/>
                <w:sz w:val="17"/>
              </w:rPr>
              <w:t>-335</w:t>
            </w:r>
          </w:p>
        </w:tc>
      </w:tr>
      <w:tr>
        <w:tc>
          <w:tcPr>
            <w:tcW w:type="dxa" w:w="3312"/>
          </w:tcPr>
          <w:p>
            <w:pPr>
              <w:spacing w:after="20"/>
            </w:pPr>
            <w:r>
              <w:rPr>
                <w:color w:val="1C3A36"/>
                <w:sz w:val="17"/>
              </w:rPr>
              <w:t>less change in working capital</w:t>
            </w:r>
          </w:p>
        </w:tc>
        <w:tc>
          <w:tcPr>
            <w:tcW w:type="dxa" w:w="1354"/>
          </w:tcPr>
          <w:p>
            <w:pPr>
              <w:spacing w:after="20"/>
              <w:jc w:val="right"/>
            </w:pPr>
            <w:r>
              <w:rPr>
                <w:color w:val="1C3A36"/>
                <w:sz w:val="17"/>
              </w:rPr>
              <w:t>46</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52</w:t>
            </w:r>
          </w:p>
        </w:tc>
        <w:tc>
          <w:tcPr>
            <w:tcW w:type="dxa" w:w="1354"/>
          </w:tcPr>
          <w:p>
            <w:pPr>
              <w:spacing w:after="20"/>
              <w:jc w:val="right"/>
            </w:pPr>
            <w:r>
              <w:rPr>
                <w:color w:val="1C3A36"/>
                <w:sz w:val="17"/>
              </w:rPr>
              <w:t>48</w:t>
            </w:r>
          </w:p>
        </w:tc>
        <w:tc>
          <w:tcPr>
            <w:tcW w:type="dxa" w:w="1354"/>
          </w:tcPr>
          <w:p>
            <w:pPr>
              <w:spacing w:after="20"/>
              <w:jc w:val="right"/>
            </w:pPr>
            <w:r>
              <w:rPr>
                <w:color w:val="1C3A36"/>
                <w:sz w:val="17"/>
              </w:rPr>
              <w:t>46</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2,507</w:t>
            </w:r>
          </w:p>
        </w:tc>
        <w:tc>
          <w:tcPr>
            <w:tcW w:type="dxa" w:w="1354"/>
            <w:shd w:val="clear" w:color="auto" w:fill="F6F1E6"/>
          </w:tcPr>
          <w:p>
            <w:pPr>
              <w:spacing w:after="20"/>
              <w:jc w:val="right"/>
            </w:pPr>
            <w:r>
              <w:rPr>
                <w:b/>
                <w:color w:val="1C3A36"/>
                <w:sz w:val="17"/>
              </w:rPr>
              <w:t>2,712</w:t>
            </w:r>
          </w:p>
        </w:tc>
        <w:tc>
          <w:tcPr>
            <w:tcW w:type="dxa" w:w="1354"/>
            <w:shd w:val="clear" w:color="auto" w:fill="F6F1E6"/>
          </w:tcPr>
          <w:p>
            <w:pPr>
              <w:spacing w:after="20"/>
              <w:jc w:val="right"/>
            </w:pPr>
            <w:r>
              <w:rPr>
                <w:b/>
                <w:color w:val="1C3A36"/>
                <w:sz w:val="17"/>
              </w:rPr>
              <w:t>2,947</w:t>
            </w:r>
          </w:p>
        </w:tc>
        <w:tc>
          <w:tcPr>
            <w:tcW w:type="dxa" w:w="1354"/>
            <w:shd w:val="clear" w:color="auto" w:fill="F6F1E6"/>
          </w:tcPr>
          <w:p>
            <w:pPr>
              <w:spacing w:after="20"/>
              <w:jc w:val="right"/>
            </w:pPr>
            <w:r>
              <w:rPr>
                <w:b/>
                <w:color w:val="1C3A36"/>
                <w:sz w:val="17"/>
              </w:rPr>
              <w:t>3,256</w:t>
            </w:r>
          </w:p>
        </w:tc>
        <w:tc>
          <w:tcPr>
            <w:tcW w:type="dxa" w:w="1354"/>
            <w:shd w:val="clear" w:color="auto" w:fill="F6F1E6"/>
          </w:tcPr>
          <w:p>
            <w:pPr>
              <w:spacing w:after="20"/>
              <w:jc w:val="right"/>
            </w:pPr>
            <w:r>
              <w:rPr>
                <w:b/>
                <w:color w:val="1C3A36"/>
                <w:sz w:val="17"/>
              </w:rPr>
              <w:t>3,464</w:t>
            </w:r>
          </w:p>
        </w:tc>
      </w:tr>
      <w:tr>
        <w:tc>
          <w:tcPr>
            <w:tcW w:type="dxa" w:w="3312"/>
          </w:tcPr>
          <w:p>
            <w:pPr>
              <w:spacing w:after="20"/>
            </w:pPr>
            <w:r>
              <w:rPr>
                <w:color w:val="1C3A36"/>
                <w:sz w:val="17"/>
              </w:rPr>
              <w:t>discount factor (glide)</w:t>
            </w:r>
          </w:p>
        </w:tc>
        <w:tc>
          <w:tcPr>
            <w:tcW w:type="dxa" w:w="1354"/>
          </w:tcPr>
          <w:p>
            <w:pPr>
              <w:spacing w:after="20"/>
              <w:jc w:val="right"/>
            </w:pPr>
            <w:r>
              <w:rPr>
                <w:color w:val="1C3A36"/>
                <w:sz w:val="17"/>
              </w:rPr>
              <w:t>0.94</w:t>
            </w:r>
          </w:p>
        </w:tc>
        <w:tc>
          <w:tcPr>
            <w:tcW w:type="dxa" w:w="1354"/>
          </w:tcPr>
          <w:p>
            <w:pPr>
              <w:spacing w:after="20"/>
              <w:jc w:val="right"/>
            </w:pPr>
            <w:r>
              <w:rPr>
                <w:color w:val="1C3A36"/>
                <w:sz w:val="17"/>
              </w:rPr>
              <w:t>0.89</w:t>
            </w:r>
          </w:p>
        </w:tc>
        <w:tc>
          <w:tcPr>
            <w:tcW w:type="dxa" w:w="1354"/>
          </w:tcPr>
          <w:p>
            <w:pPr>
              <w:spacing w:after="20"/>
              <w:jc w:val="right"/>
            </w:pPr>
            <w:r>
              <w:rPr>
                <w:color w:val="1C3A36"/>
                <w:sz w:val="17"/>
              </w:rPr>
              <w:t>0.84</w:t>
            </w:r>
          </w:p>
        </w:tc>
        <w:tc>
          <w:tcPr>
            <w:tcW w:type="dxa" w:w="1354"/>
          </w:tcPr>
          <w:p>
            <w:pPr>
              <w:spacing w:after="20"/>
              <w:jc w:val="right"/>
            </w:pPr>
            <w:r>
              <w:rPr>
                <w:color w:val="1C3A36"/>
                <w:sz w:val="17"/>
              </w:rPr>
              <w:t>0.79</w:t>
            </w:r>
          </w:p>
        </w:tc>
        <w:tc>
          <w:tcPr>
            <w:tcW w:type="dxa" w:w="1354"/>
          </w:tcPr>
          <w:p>
            <w:pPr>
              <w:spacing w:after="20"/>
              <w:jc w:val="right"/>
            </w:pPr>
            <w:r>
              <w:rPr>
                <w:color w:val="1C3A36"/>
                <w:sz w:val="17"/>
              </w:rPr>
              <w:t>0.74</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2,359</w:t>
            </w:r>
          </w:p>
        </w:tc>
        <w:tc>
          <w:tcPr>
            <w:tcW w:type="dxa" w:w="1354"/>
            <w:shd w:val="clear" w:color="auto" w:fill="F6F1E6"/>
          </w:tcPr>
          <w:p>
            <w:pPr>
              <w:spacing w:after="20"/>
              <w:jc w:val="right"/>
            </w:pPr>
            <w:r>
              <w:rPr>
                <w:b/>
                <w:color w:val="1C3A36"/>
                <w:sz w:val="17"/>
              </w:rPr>
              <w:t>2,404</w:t>
            </w:r>
          </w:p>
        </w:tc>
        <w:tc>
          <w:tcPr>
            <w:tcW w:type="dxa" w:w="1354"/>
            <w:shd w:val="clear" w:color="auto" w:fill="F6F1E6"/>
          </w:tcPr>
          <w:p>
            <w:pPr>
              <w:spacing w:after="20"/>
              <w:jc w:val="right"/>
            </w:pPr>
            <w:r>
              <w:rPr>
                <w:b/>
                <w:color w:val="1C3A36"/>
                <w:sz w:val="17"/>
              </w:rPr>
              <w:t>2,462</w:t>
            </w:r>
          </w:p>
        </w:tc>
        <w:tc>
          <w:tcPr>
            <w:tcW w:type="dxa" w:w="1354"/>
            <w:shd w:val="clear" w:color="auto" w:fill="F6F1E6"/>
          </w:tcPr>
          <w:p>
            <w:pPr>
              <w:spacing w:after="20"/>
              <w:jc w:val="right"/>
            </w:pPr>
            <w:r>
              <w:rPr>
                <w:b/>
                <w:color w:val="1C3A36"/>
                <w:sz w:val="17"/>
              </w:rPr>
              <w:t>2,564</w:t>
            </w:r>
          </w:p>
        </w:tc>
        <w:tc>
          <w:tcPr>
            <w:tcW w:type="dxa" w:w="1354"/>
            <w:shd w:val="clear" w:color="auto" w:fill="F6F1E6"/>
          </w:tcPr>
          <w:p>
            <w:pPr>
              <w:spacing w:after="20"/>
              <w:jc w:val="right"/>
            </w:pPr>
            <w:r>
              <w:rPr>
                <w:b/>
                <w:color w:val="1C3A36"/>
                <w:sz w:val="17"/>
              </w:rPr>
              <w:t>2,573</w:t>
            </w:r>
          </w:p>
        </w:tc>
      </w:tr>
    </w:tbl>
    <w:p>
      <w:pPr>
        <w:spacing w:after="40"/>
      </w:pPr>
    </w:p>
    <w:p>
      <w:pPr>
        <w:spacing w:after="200" w:before="0"/>
      </w:pPr>
      <w:r>
        <w:rPr>
          <w:b w:val="0"/>
          <w:i/>
          <w:color w:val="6E7B77"/>
          <w:sz w:val="17"/>
        </w:rPr>
        <w:t>Table 2 — the FCFF waterfall. EBITDA margin holds near 47.1% (an OUTPUT of the segment build, not an input); capital intensity glides from 15.5% of revenue at the data-centre peak to 13.0%; lease replacement is charged at right-of-use depreciation so the lease book neither inflates nor starves the cash flow; working-capital change is a cash RELEASE in every year because the working capital is negative and revenue grows.</w:t>
      </w:r>
    </w:p>
    <w:p>
      <w:pPr>
        <w:spacing w:after="120" w:before="0"/>
      </w:pPr>
      <w:r>
        <w:rPr>
          <w:b w:val="0"/>
          <w:i w:val="0"/>
          <w:color w:val="1C3A36"/>
          <w:sz w:val="21"/>
        </w:rPr>
        <w:t>Terminal value: terminal-year NOPAT grown at 2.5% with a reinvestment rate set by the growth itself — g / return on capital = 2.5% / 26.7% = 9.4% of NOPAT — capitalised at the terminal cost of capital of 6.01% less growth. That yields a terminal value of AED 97,871mn, whose present value is AED 72,697mn — 85% of enterprise value. A reader should sit with that number: at a 6.01% discount rate almost all of the value of a stable, licence-protected annuity IS the far future, and that is exactly why the two renewal catalysts in section 5 dominate everything else in this report.</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832"/>
        <w:gridCol w:w="1872"/>
        <w:gridCol w:w="1872"/>
      </w:tblGrid>
      <w:tr>
        <w:tc>
          <w:tcPr>
            <w:tcW w:type="dxa" w:w="5832"/>
            <w:shd w:val="clear" w:color="auto" w:fill="EAF0EE"/>
          </w:tcPr>
          <w:p>
            <w:pPr>
              <w:spacing w:after="20"/>
            </w:pPr>
            <w:r>
              <w:rPr>
                <w:b/>
                <w:color w:val="1C3A36"/>
                <w:sz w:val="18"/>
              </w:rPr>
              <w:t>Step</w:t>
            </w:r>
          </w:p>
        </w:tc>
        <w:tc>
          <w:tcPr>
            <w:tcW w:type="dxa" w:w="1872"/>
            <w:shd w:val="clear" w:color="auto" w:fill="EAF0EE"/>
          </w:tcPr>
          <w:p>
            <w:pPr>
              <w:spacing w:after="20"/>
            </w:pPr>
            <w:r>
              <w:rPr>
                <w:b/>
                <w:color w:val="1C3A36"/>
                <w:sz w:val="18"/>
              </w:rPr>
              <w:t>AED mn</w:t>
            </w:r>
          </w:p>
        </w:tc>
        <w:tc>
          <w:tcPr>
            <w:tcW w:type="dxa" w:w="1872"/>
            <w:shd w:val="clear" w:color="auto" w:fill="EAF0EE"/>
          </w:tcPr>
          <w:p>
            <w:pPr>
              <w:spacing w:after="20"/>
            </w:pPr>
            <w:r>
              <w:rPr>
                <w:b/>
                <w:color w:val="1C3A36"/>
                <w:sz w:val="18"/>
              </w:rPr>
              <w:t>AED / share</w:t>
            </w:r>
          </w:p>
        </w:tc>
      </w:tr>
      <w:tr>
        <w:tc>
          <w:tcPr>
            <w:tcW w:type="dxa" w:w="5832"/>
          </w:tcPr>
          <w:p>
            <w:pPr>
              <w:spacing w:after="20"/>
            </w:pPr>
            <w:r>
              <w:rPr>
                <w:color w:val="1C3A36"/>
                <w:sz w:val="18"/>
              </w:rPr>
              <w:t>Present value of the five forecast years</w:t>
            </w:r>
          </w:p>
        </w:tc>
        <w:tc>
          <w:tcPr>
            <w:tcW w:type="dxa" w:w="1872"/>
          </w:tcPr>
          <w:p>
            <w:pPr>
              <w:spacing w:after="20"/>
              <w:jc w:val="right"/>
            </w:pPr>
            <w:r>
              <w:rPr>
                <w:color w:val="1C3A36"/>
                <w:sz w:val="18"/>
              </w:rPr>
              <w:t>12,362</w:t>
            </w:r>
          </w:p>
        </w:tc>
        <w:tc>
          <w:tcPr>
            <w:tcW w:type="dxa" w:w="1872"/>
          </w:tcPr>
          <w:p>
            <w:pPr>
              <w:spacing w:after="20"/>
              <w:jc w:val="right"/>
            </w:pPr>
            <w:r>
              <w:rPr>
                <w:color w:val="1C3A36"/>
                <w:sz w:val="18"/>
              </w:rPr>
              <w:t>2.73</w:t>
            </w:r>
          </w:p>
        </w:tc>
      </w:tr>
      <w:tr>
        <w:tc>
          <w:tcPr>
            <w:tcW w:type="dxa" w:w="5832"/>
          </w:tcPr>
          <w:p>
            <w:pPr>
              <w:spacing w:after="20"/>
            </w:pPr>
            <w:r>
              <w:rPr>
                <w:color w:val="1C3A36"/>
                <w:sz w:val="18"/>
              </w:rPr>
              <w:t>Present value of the terminal value</w:t>
            </w:r>
          </w:p>
        </w:tc>
        <w:tc>
          <w:tcPr>
            <w:tcW w:type="dxa" w:w="1872"/>
          </w:tcPr>
          <w:p>
            <w:pPr>
              <w:spacing w:after="20"/>
              <w:jc w:val="right"/>
            </w:pPr>
            <w:r>
              <w:rPr>
                <w:color w:val="1C3A36"/>
                <w:sz w:val="18"/>
              </w:rPr>
              <w:t>72,697</w:t>
            </w:r>
          </w:p>
        </w:tc>
        <w:tc>
          <w:tcPr>
            <w:tcW w:type="dxa" w:w="1872"/>
          </w:tcPr>
          <w:p>
            <w:pPr>
              <w:spacing w:after="20"/>
              <w:jc w:val="right"/>
            </w:pPr>
            <w:r>
              <w:rPr>
                <w:color w:val="1C3A36"/>
                <w:sz w:val="18"/>
              </w:rPr>
              <w:t>16.04</w:t>
            </w:r>
          </w:p>
        </w:tc>
      </w:tr>
      <w:tr>
        <w:tc>
          <w:tcPr>
            <w:tcW w:type="dxa" w:w="5832"/>
            <w:shd w:val="clear" w:color="auto" w:fill="F6F1E6"/>
          </w:tcPr>
          <w:p>
            <w:pPr>
              <w:spacing w:after="20"/>
            </w:pPr>
            <w:r>
              <w:rPr>
                <w:b/>
                <w:color w:val="1C3A36"/>
                <w:sz w:val="18"/>
              </w:rPr>
              <w:t>Enterprise value</w:t>
            </w:r>
          </w:p>
        </w:tc>
        <w:tc>
          <w:tcPr>
            <w:tcW w:type="dxa" w:w="1872"/>
            <w:shd w:val="clear" w:color="auto" w:fill="F6F1E6"/>
          </w:tcPr>
          <w:p>
            <w:pPr>
              <w:spacing w:after="20"/>
              <w:jc w:val="right"/>
            </w:pPr>
            <w:r>
              <w:rPr>
                <w:b/>
                <w:color w:val="1C3A36"/>
                <w:sz w:val="18"/>
              </w:rPr>
              <w:t>85,059</w:t>
            </w:r>
          </w:p>
        </w:tc>
        <w:tc>
          <w:tcPr>
            <w:tcW w:type="dxa" w:w="1872"/>
            <w:shd w:val="clear" w:color="auto" w:fill="F6F1E6"/>
          </w:tcPr>
          <w:p>
            <w:pPr>
              <w:spacing w:after="20"/>
              <w:jc w:val="right"/>
            </w:pPr>
            <w:r>
              <w:rPr>
                <w:b/>
                <w:color w:val="1C3A36"/>
                <w:sz w:val="18"/>
              </w:rPr>
              <w:t>18.76</w:t>
            </w:r>
          </w:p>
        </w:tc>
      </w:tr>
      <w:tr>
        <w:tc>
          <w:tcPr>
            <w:tcW w:type="dxa" w:w="5832"/>
          </w:tcPr>
          <w:p>
            <w:pPr>
              <w:spacing w:after="20"/>
            </w:pPr>
            <w:r>
              <w:rPr>
                <w:color w:val="1C3A36"/>
                <w:sz w:val="18"/>
              </w:rPr>
              <w:t>Terminal value share of enterprise value: 85%</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tcPr>
          <w:p>
            <w:pPr>
              <w:spacing w:after="20"/>
            </w:pPr>
            <w:r>
              <w:rPr>
                <w:color w:val="1C3A36"/>
                <w:sz w:val="18"/>
              </w:rPr>
              <w:t>less lease liabilities (the only debt-like item)</w:t>
            </w:r>
          </w:p>
        </w:tc>
        <w:tc>
          <w:tcPr>
            <w:tcW w:type="dxa" w:w="1872"/>
          </w:tcPr>
          <w:p>
            <w:pPr>
              <w:spacing w:after="20"/>
              <w:jc w:val="right"/>
            </w:pPr>
            <w:r>
              <w:rPr>
                <w:color w:val="1C3A36"/>
                <w:sz w:val="18"/>
              </w:rPr>
              <w:t>-1,939</w:t>
            </w:r>
          </w:p>
        </w:tc>
        <w:tc>
          <w:tcPr>
            <w:tcW w:type="dxa" w:w="1872"/>
          </w:tcPr>
          <w:p>
            <w:pPr>
              <w:spacing w:after="20"/>
              <w:jc w:val="right"/>
            </w:pPr>
            <w:r>
              <w:rPr>
                <w:color w:val="1C3A36"/>
                <w:sz w:val="18"/>
              </w:rPr>
              <w:t>-0.43</w:t>
            </w:r>
          </w:p>
        </w:tc>
      </w:tr>
      <w:tr>
        <w:tc>
          <w:tcPr>
            <w:tcW w:type="dxa" w:w="5832"/>
          </w:tcPr>
          <w:p>
            <w:pPr>
              <w:spacing w:after="20"/>
            </w:pPr>
            <w:r>
              <w:rPr>
                <w:color w:val="1C3A36"/>
                <w:sz w:val="18"/>
              </w:rPr>
              <w:t>plus cash and term deposits</w:t>
            </w:r>
          </w:p>
        </w:tc>
        <w:tc>
          <w:tcPr>
            <w:tcW w:type="dxa" w:w="1872"/>
          </w:tcPr>
          <w:p>
            <w:pPr>
              <w:spacing w:after="20"/>
              <w:jc w:val="right"/>
            </w:pPr>
            <w:r>
              <w:rPr>
                <w:color w:val="1C3A36"/>
                <w:sz w:val="18"/>
              </w:rPr>
              <w:t>2,250</w:t>
            </w:r>
          </w:p>
        </w:tc>
        <w:tc>
          <w:tcPr>
            <w:tcW w:type="dxa" w:w="1872"/>
          </w:tcPr>
          <w:p>
            <w:pPr>
              <w:spacing w:after="20"/>
              <w:jc w:val="right"/>
            </w:pPr>
            <w:r>
              <w:rPr>
                <w:color w:val="1C3A36"/>
                <w:sz w:val="18"/>
              </w:rPr>
              <w:t>0.50</w:t>
            </w:r>
          </w:p>
        </w:tc>
      </w:tr>
      <w:tr>
        <w:tc>
          <w:tcPr>
            <w:tcW w:type="dxa" w:w="5832"/>
          </w:tcPr>
          <w:p>
            <w:pPr>
              <w:spacing w:after="20"/>
            </w:pPr>
            <w:r>
              <w:rPr>
                <w:color w:val="1C3A36"/>
                <w:sz w:val="18"/>
              </w:rPr>
              <w:t>plus equity-accounted investees</w:t>
            </w:r>
          </w:p>
        </w:tc>
        <w:tc>
          <w:tcPr>
            <w:tcW w:type="dxa" w:w="1872"/>
          </w:tcPr>
          <w:p>
            <w:pPr>
              <w:spacing w:after="20"/>
              <w:jc w:val="right"/>
            </w:pPr>
            <w:r>
              <w:rPr>
                <w:color w:val="1C3A36"/>
                <w:sz w:val="18"/>
              </w:rPr>
              <w:t>0.51</w:t>
            </w:r>
          </w:p>
        </w:tc>
        <w:tc>
          <w:tcPr>
            <w:tcW w:type="dxa" w:w="1872"/>
          </w:tcPr>
          <w:p>
            <w:pPr>
              <w:spacing w:after="20"/>
              <w:jc w:val="right"/>
            </w:pPr>
            <w:r>
              <w:rPr>
                <w:color w:val="1C3A36"/>
                <w:sz w:val="18"/>
              </w:rPr>
              <w:t>0.00</w:t>
            </w:r>
          </w:p>
        </w:tc>
      </w:tr>
      <w:tr>
        <w:tc>
          <w:tcPr>
            <w:tcW w:type="dxa" w:w="5832"/>
            <w:shd w:val="clear" w:color="auto" w:fill="F6F1E6"/>
          </w:tcPr>
          <w:p>
            <w:pPr>
              <w:spacing w:after="20"/>
            </w:pPr>
            <w:r>
              <w:rPr>
                <w:b/>
                <w:color w:val="1C3A36"/>
                <w:sz w:val="18"/>
              </w:rPr>
              <w:t>Equity value at 31-Dec-2025</w:t>
            </w:r>
          </w:p>
        </w:tc>
        <w:tc>
          <w:tcPr>
            <w:tcW w:type="dxa" w:w="1872"/>
            <w:shd w:val="clear" w:color="auto" w:fill="F6F1E6"/>
          </w:tcPr>
          <w:p>
            <w:pPr>
              <w:spacing w:after="20"/>
              <w:jc w:val="right"/>
            </w:pPr>
            <w:r>
              <w:rPr>
                <w:b/>
                <w:color w:val="1C3A36"/>
                <w:sz w:val="18"/>
              </w:rPr>
              <w:t>85,370</w:t>
            </w:r>
          </w:p>
        </w:tc>
        <w:tc>
          <w:tcPr>
            <w:tcW w:type="dxa" w:w="1872"/>
            <w:shd w:val="clear" w:color="auto" w:fill="F6F1E6"/>
          </w:tcPr>
          <w:p>
            <w:pPr>
              <w:spacing w:after="20"/>
              <w:jc w:val="right"/>
            </w:pPr>
            <w:r>
              <w:rPr>
                <w:b/>
                <w:color w:val="1C3A36"/>
                <w:sz w:val="18"/>
              </w:rPr>
              <w:t>18.83</w:t>
            </w:r>
          </w:p>
        </w:tc>
      </w:tr>
      <w:tr>
        <w:tc>
          <w:tcPr>
            <w:tcW w:type="dxa" w:w="5832"/>
          </w:tcPr>
          <w:p>
            <w:pPr>
              <w:spacing w:after="20"/>
            </w:pPr>
            <w:r>
              <w:rPr>
                <w:color w:val="1C3A36"/>
                <w:sz w:val="18"/>
              </w:rPr>
              <w:t>× anchor accretion (1+Ke)^(219/365) = 1.0377, less the AED 0.40 final dividend paid 28-Apr-2026</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shd w:val="clear" w:color="auto" w:fill="F6F1E6"/>
          </w:tcPr>
          <w:p>
            <w:pPr>
              <w:spacing w:after="20"/>
            </w:pPr>
            <w:r>
              <w:rPr>
                <w:b/>
                <w:color w:val="1C3A36"/>
                <w:sz w:val="18"/>
              </w:rPr>
              <w:t>Fair value per share at the 07-Aug-2026 anchor</w:t>
            </w:r>
          </w:p>
        </w:tc>
        <w:tc>
          <w:tcPr>
            <w:tcW w:type="dxa" w:w="1872"/>
            <w:shd w:val="clear" w:color="auto" w:fill="F6F1E6"/>
          </w:tcPr>
          <w:p>
            <w:pPr>
              <w:spacing w:after="20"/>
              <w:jc w:val="right"/>
            </w:pPr>
            <w:r>
              <w:rPr>
                <w:b/>
                <w:color w:val="1C3A36"/>
                <w:sz w:val="18"/>
              </w:rPr>
            </w:r>
          </w:p>
        </w:tc>
        <w:tc>
          <w:tcPr>
            <w:tcW w:type="dxa" w:w="1872"/>
            <w:shd w:val="clear" w:color="auto" w:fill="F6F1E6"/>
          </w:tcPr>
          <w:p>
            <w:pPr>
              <w:spacing w:after="20"/>
              <w:jc w:val="right"/>
            </w:pPr>
            <w:r>
              <w:rPr>
                <w:b/>
                <w:color w:val="1C3A36"/>
                <w:sz w:val="18"/>
              </w:rPr>
              <w:t>19.14</w:t>
            </w:r>
          </w:p>
        </w:tc>
      </w:tr>
    </w:tbl>
    <w:p>
      <w:pPr>
        <w:spacing w:after="40"/>
      </w:pPr>
    </w:p>
    <w:p>
      <w:pPr>
        <w:spacing w:after="200" w:before="0"/>
      </w:pPr>
      <w:r>
        <w:rPr>
          <w:b w:val="0"/>
          <w:i/>
          <w:color w:val="6E7B77"/>
          <w:sz w:val="17"/>
        </w:rPr>
        <w:t>Table 3 — enterprise value to equity. There are no minority interests (every subsidiary is wholly owned) and no borrowings to net: the bridge is leases out, cash in. The H1-2026 interim dividend of AED 0.26, declared 23-Jul-2026 but unpaid at the anchor, stays in the share.</w:t>
      </w:r>
    </w:p>
    <w:p>
      <w:pPr>
        <w:spacing w:after="200" w:before="0"/>
      </w:pPr>
      <w:r>
        <w:rPr>
          <w:b w:val="0"/>
          <w:i w:val="0"/>
          <w:color w:val="1C3A36"/>
          <w:sz w:val="21"/>
        </w:rPr>
        <w:t>Scenario span on this lens: bear AED 10.97 (ARPU −5%, a quarter-million fewer subscribers, margins −3%, +100bp on the discount rate, terminal growth 2.0%), bull AED 29.58 (the war recovery runs hot and the data-centre leg compounds). The base case is deliberately NOT the midpoint of those two: it is built driver by driver in section 1.6.</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per share is AED 2.24 (audited FY2025 equity of AED 10,148mn over 4,533mn shares). du earned a return on average equity of 29.0% in FY2025 — a licensed duopoly running negative working capital needs very little equity, so the return on it is high by construction. The lens asks what a sustainable 27% return is worth against a perpetual cost of equity of 6.18%: justified price-to-book = (27% − 2.5%) / (6.18% − 2.5%) = 6.66×, i.e. AED 15.07 per share at the anchor. The multiple looks extreme against industrial norms; it is what the arithmetic of a small equity base and a low required return produces, and the honest caveat is that it is the lens MOST exposed to the low regression beta discussed in section 1.8 — which is why it carries only a 10% weight.</w:t>
      </w:r>
    </w:p>
    <w:p>
      <w:pPr>
        <w:spacing w:after="80" w:before="200"/>
      </w:pPr>
      <w:r>
        <w:rPr>
          <w:b/>
          <w:i w:val="0"/>
          <w:color w:val="1C3A36"/>
          <w:sz w:val="24"/>
        </w:rPr>
        <w:t>1.3  Relative multiples</w:t>
      </w:r>
    </w:p>
    <w:p>
      <w:pPr>
        <w:spacing w:after="120" w:before="0"/>
      </w:pPr>
      <w:r>
        <w:rPr>
          <w:b w:val="0"/>
          <w:i w:val="0"/>
          <w:color w:val="1C3A36"/>
          <w:sz w:val="21"/>
        </w:rPr>
        <w:t>du trades at 19.2× trailing earnings and 7.6× trailing EV/EBITDA (both computed from the audited figures, not quoted). The Gulf telecom bracket runs from roughly 9× (Zain) through 11-12× (Omantel, Ooredoo) and 15.5× (Mobily) to 18.9× (stc) and 20.7× (e&amp;) on trailing earnings — aggregator reads, used as a cross-check frame and labelled as such, never as a build source. The justified multiple applied here is the peer median 15.5×: du's growth and payout sit above the bracket's middle, its fiscal take and single-market concentration below the top names. Applied to FY2026E earnings per share of AED 0.70 and rolled to the anchor: AED 10.80 per share [bear 12× → AED 8.27; bull 18.5× → AED 12.96].</w:t>
      </w:r>
    </w:p>
    <w:p>
      <w:pPr>
        <w:spacing w:after="120" w:before="0"/>
      </w:pPr>
      <w:r>
        <w:rPr>
          <w:b w:val="0"/>
          <w:i w:val="0"/>
          <w:color w:val="1C3A36"/>
          <w:sz w:val="21"/>
        </w:rPr>
        <w:t>A second, independent market cross-check from the dividend: du's FY2026E dividend of AED 0.68 per share at the regional benchmark payer's yield (5.2%, stc) is worth AED 13.12 — usefully ABOVE the earnings-multiple read, because du pays out more of its earnings than the bracket. Peer EV/EBITDA could not be reliably sourced from public aggregators at the sweep date (net-debt figures missing) and the lens therefore runs on earnings and yield only; that limitation is stated rather than papered over.</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lens strips the cycle: the mid-cycle EBITDA margin (the middle forecast year, FY2028E, 47.1%) applied to CURRENT-scale revenue (FY2026E, AED 16,593mn), less FY2026E depreciation, plus FY2026E net finance income, taxed at the combined 43.6%: normalised earnings of AED 3,150mn, or AED 0.69 per share. At the justified 15.5× and rolled to the anchor: AED 10.78 [12× → 8.25; 18.5× → 12.94]. It reads within a few fils of the relative lens because du's current year IS close to mid-cycle: the war knocked the top line, not the margin (H1-2026 printed the best margin in the company's history).</w:t>
      </w:r>
    </w:p>
    <w:p>
      <w:pPr>
        <w:spacing w:after="80" w:before="200"/>
      </w:pPr>
      <w:r>
        <w:rPr>
          <w:b/>
          <w:i w:val="0"/>
          <w:color w:val="1C3A36"/>
          <w:sz w:val="24"/>
        </w:rPr>
        <w:t>1.5  Synthesis — four lenses, one field</w:t>
      </w:r>
    </w:p>
    <w:p>
      <w:pPr>
        <w:spacing w:after="200" w:before="0"/>
      </w:pPr>
      <w:r>
        <w:rPr>
          <w:b w:val="0"/>
          <w:i w:val="0"/>
          <w:color w:val="1C3A36"/>
          <w:sz w:val="21"/>
        </w:rPr>
        <w:t>Weighted central: AED 14.98 (+22% to spot), full span AED 8.25 to AED 29.58. The DCF (45% weight) reads +56% above the market; the two market-anchored lenses read roughly at the market. Section 4 takes that disagreement seriously — it is a statement about the discount rate, not about the forecast.</w:t>
      </w:r>
    </w:p>
    <w:p>
      <w:pPr>
        <w:spacing w:after="80" w:before="200"/>
      </w:pPr>
      <w:r>
        <w:rPr>
          <w:b/>
          <w:i w:val="0"/>
          <w:color w:val="1C3A36"/>
          <w:sz w:val="24"/>
        </w:rPr>
        <w:t>1.6  The drivers — each disclosed segment grown on its own driver</w:t>
      </w:r>
    </w:p>
    <w:p>
      <w:pPr>
        <w:spacing w:after="80" w:before="200"/>
      </w:pPr>
      <w:r>
        <w:rPr>
          <w:b/>
          <w:i w:val="0"/>
          <w:color w:val="1C3A36"/>
          <w:sz w:val="24"/>
        </w:rPr>
        <w:t>The four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69"/>
        <w:gridCol w:w="1469"/>
        <w:gridCol w:w="1469"/>
        <w:gridCol w:w="2045"/>
        <w:gridCol w:w="1224"/>
      </w:tblGrid>
      <w:tr>
        <w:tc>
          <w:tcPr>
            <w:tcW w:type="dxa" w:w="223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FY2023*</w:t>
            </w:r>
          </w:p>
        </w:tc>
        <w:tc>
          <w:tcPr>
            <w:tcW w:type="dxa" w:w="1469"/>
            <w:shd w:val="clear" w:color="auto" w:fill="EAF0EE"/>
          </w:tcPr>
          <w:p>
            <w:pPr>
              <w:spacing w:after="20"/>
            </w:pPr>
            <w:r>
              <w:rPr>
                <w:b/>
                <w:color w:val="1C3A36"/>
                <w:sz w:val="18"/>
              </w:rPr>
              <w:t>FY2024</w:t>
            </w:r>
          </w:p>
        </w:tc>
        <w:tc>
          <w:tcPr>
            <w:tcW w:type="dxa" w:w="1469"/>
            <w:shd w:val="clear" w:color="auto" w:fill="EAF0EE"/>
          </w:tcPr>
          <w:p>
            <w:pPr>
              <w:spacing w:after="20"/>
            </w:pPr>
            <w:r>
              <w:rPr>
                <w:b/>
                <w:color w:val="1C3A36"/>
                <w:sz w:val="18"/>
              </w:rPr>
              <w:t>FY2025</w:t>
            </w:r>
          </w:p>
        </w:tc>
        <w:tc>
          <w:tcPr>
            <w:tcW w:type="dxa" w:w="2045"/>
            <w:shd w:val="clear" w:color="auto" w:fill="EAF0EE"/>
          </w:tcPr>
          <w:p>
            <w:pPr>
              <w:spacing w:after="20"/>
            </w:pPr>
            <w:r>
              <w:rPr>
                <w:b/>
                <w:color w:val="1C3A36"/>
                <w:sz w:val="18"/>
              </w:rPr>
              <w:t>FY2025 contribution</w:t>
            </w:r>
          </w:p>
        </w:tc>
        <w:tc>
          <w:tcPr>
            <w:tcW w:type="dxa" w:w="1224"/>
            <w:shd w:val="clear" w:color="auto" w:fill="EAF0EE"/>
          </w:tcPr>
          <w:p>
            <w:pPr>
              <w:spacing w:after="20"/>
            </w:pPr>
            <w:r>
              <w:rPr>
                <w:b/>
                <w:color w:val="1C3A36"/>
                <w:sz w:val="18"/>
              </w:rPr>
              <w:t>margin</w:t>
            </w:r>
          </w:p>
        </w:tc>
      </w:tr>
      <w:tr>
        <w:tc>
          <w:tcPr>
            <w:tcW w:type="dxa" w:w="2232"/>
          </w:tcPr>
          <w:p>
            <w:pPr>
              <w:spacing w:after="20"/>
            </w:pPr>
            <w:r>
              <w:rPr>
                <w:color w:val="1C3A36"/>
                <w:sz w:val="18"/>
              </w:rPr>
              <w:t>Mobile</w:t>
            </w:r>
          </w:p>
        </w:tc>
        <w:tc>
          <w:tcPr>
            <w:tcW w:type="dxa" w:w="1469"/>
          </w:tcPr>
          <w:p>
            <w:pPr>
              <w:spacing w:after="20"/>
              <w:jc w:val="right"/>
            </w:pPr>
            <w:r>
              <w:rPr>
                <w:color w:val="1C3A36"/>
                <w:sz w:val="18"/>
              </w:rPr>
              <w:t>7,004</w:t>
            </w:r>
          </w:p>
        </w:tc>
        <w:tc>
          <w:tcPr>
            <w:tcW w:type="dxa" w:w="1469"/>
          </w:tcPr>
          <w:p>
            <w:pPr>
              <w:spacing w:after="20"/>
              <w:jc w:val="right"/>
            </w:pPr>
            <w:r>
              <w:rPr>
                <w:color w:val="1C3A36"/>
                <w:sz w:val="18"/>
              </w:rPr>
              <w:t>6,548</w:t>
            </w:r>
          </w:p>
        </w:tc>
        <w:tc>
          <w:tcPr>
            <w:tcW w:type="dxa" w:w="1469"/>
          </w:tcPr>
          <w:p>
            <w:pPr>
              <w:spacing w:after="20"/>
              <w:jc w:val="right"/>
            </w:pPr>
            <w:r>
              <w:rPr>
                <w:color w:val="1C3A36"/>
                <w:sz w:val="18"/>
              </w:rPr>
              <w:t>7,075</w:t>
            </w:r>
          </w:p>
        </w:tc>
        <w:tc>
          <w:tcPr>
            <w:tcW w:type="dxa" w:w="2045"/>
          </w:tcPr>
          <w:p>
            <w:pPr>
              <w:spacing w:after="20"/>
              <w:jc w:val="right"/>
            </w:pPr>
            <w:r>
              <w:rPr>
                <w:color w:val="1C3A36"/>
                <w:sz w:val="18"/>
              </w:rPr>
              <w:t>4,304</w:t>
            </w:r>
          </w:p>
        </w:tc>
        <w:tc>
          <w:tcPr>
            <w:tcW w:type="dxa" w:w="1224"/>
          </w:tcPr>
          <w:p>
            <w:pPr>
              <w:spacing w:after="20"/>
              <w:jc w:val="right"/>
            </w:pPr>
            <w:r>
              <w:rPr>
                <w:color w:val="1C3A36"/>
                <w:sz w:val="18"/>
              </w:rPr>
              <w:t>60.8%</w:t>
            </w:r>
          </w:p>
        </w:tc>
      </w:tr>
      <w:tr>
        <w:tc>
          <w:tcPr>
            <w:tcW w:type="dxa" w:w="2232"/>
          </w:tcPr>
          <w:p>
            <w:pPr>
              <w:spacing w:after="20"/>
            </w:pPr>
            <w:r>
              <w:rPr>
                <w:color w:val="1C3A36"/>
                <w:sz w:val="18"/>
              </w:rPr>
              <w:t>Fixed</w:t>
            </w:r>
          </w:p>
        </w:tc>
        <w:tc>
          <w:tcPr>
            <w:tcW w:type="dxa" w:w="1469"/>
          </w:tcPr>
          <w:p>
            <w:pPr>
              <w:spacing w:after="20"/>
              <w:jc w:val="right"/>
            </w:pPr>
            <w:r>
              <w:rPr>
                <w:color w:val="1C3A36"/>
                <w:sz w:val="18"/>
              </w:rPr>
              <w:t>3,780</w:t>
            </w:r>
          </w:p>
        </w:tc>
        <w:tc>
          <w:tcPr>
            <w:tcW w:type="dxa" w:w="1469"/>
          </w:tcPr>
          <w:p>
            <w:pPr>
              <w:spacing w:after="20"/>
              <w:jc w:val="right"/>
            </w:pPr>
            <w:r>
              <w:rPr>
                <w:color w:val="1C3A36"/>
                <w:sz w:val="18"/>
              </w:rPr>
              <w:t>4,003</w:t>
            </w:r>
          </w:p>
        </w:tc>
        <w:tc>
          <w:tcPr>
            <w:tcW w:type="dxa" w:w="1469"/>
          </w:tcPr>
          <w:p>
            <w:pPr>
              <w:spacing w:after="20"/>
              <w:jc w:val="right"/>
            </w:pPr>
            <w:r>
              <w:rPr>
                <w:color w:val="1C3A36"/>
                <w:sz w:val="18"/>
              </w:rPr>
              <w:t>4,380</w:t>
            </w:r>
          </w:p>
        </w:tc>
        <w:tc>
          <w:tcPr>
            <w:tcW w:type="dxa" w:w="2045"/>
          </w:tcPr>
          <w:p>
            <w:pPr>
              <w:spacing w:after="20"/>
              <w:jc w:val="right"/>
            </w:pPr>
            <w:r>
              <w:rPr>
                <w:color w:val="1C3A36"/>
                <w:sz w:val="18"/>
              </w:rPr>
              <w:t>3,758</w:t>
            </w:r>
          </w:p>
        </w:tc>
        <w:tc>
          <w:tcPr>
            <w:tcW w:type="dxa" w:w="1224"/>
          </w:tcPr>
          <w:p>
            <w:pPr>
              <w:spacing w:after="20"/>
              <w:jc w:val="right"/>
            </w:pPr>
            <w:r>
              <w:rPr>
                <w:color w:val="1C3A36"/>
                <w:sz w:val="18"/>
              </w:rPr>
              <w:t>85.8%</w:t>
            </w:r>
          </w:p>
        </w:tc>
      </w:tr>
      <w:tr>
        <w:tc>
          <w:tcPr>
            <w:tcW w:type="dxa" w:w="2232"/>
          </w:tcPr>
          <w:p>
            <w:pPr>
              <w:spacing w:after="20"/>
            </w:pPr>
            <w:r>
              <w:rPr>
                <w:color w:val="1C3A36"/>
                <w:sz w:val="18"/>
              </w:rPr>
              <w:t>Wholesale</w:t>
            </w:r>
          </w:p>
        </w:tc>
        <w:tc>
          <w:tcPr>
            <w:tcW w:type="dxa" w:w="1469"/>
          </w:tcPr>
          <w:p>
            <w:pPr>
              <w:spacing w:after="20"/>
              <w:jc w:val="right"/>
            </w:pPr>
            <w:r>
              <w:rPr>
                <w:color w:val="1C3A36"/>
                <w:sz w:val="18"/>
              </w:rPr>
              <w:t>1,768</w:t>
            </w:r>
          </w:p>
        </w:tc>
        <w:tc>
          <w:tcPr>
            <w:tcW w:type="dxa" w:w="1469"/>
          </w:tcPr>
          <w:p>
            <w:pPr>
              <w:spacing w:after="20"/>
              <w:jc w:val="right"/>
            </w:pPr>
            <w:r>
              <w:rPr>
                <w:color w:val="1C3A36"/>
                <w:sz w:val="18"/>
              </w:rPr>
              <w:t>2,373</w:t>
            </w:r>
          </w:p>
        </w:tc>
        <w:tc>
          <w:tcPr>
            <w:tcW w:type="dxa" w:w="1469"/>
          </w:tcPr>
          <w:p>
            <w:pPr>
              <w:spacing w:after="20"/>
              <w:jc w:val="right"/>
            </w:pPr>
            <w:r>
              <w:rPr>
                <w:color w:val="1C3A36"/>
                <w:sz w:val="18"/>
              </w:rPr>
              <w:t>2,568</w:t>
            </w:r>
          </w:p>
        </w:tc>
        <w:tc>
          <w:tcPr>
            <w:tcW w:type="dxa" w:w="2045"/>
          </w:tcPr>
          <w:p>
            <w:pPr>
              <w:spacing w:after="20"/>
              <w:jc w:val="right"/>
            </w:pPr>
            <w:r>
              <w:rPr>
                <w:color w:val="1C3A36"/>
                <w:sz w:val="18"/>
              </w:rPr>
              <w:t>2,219</w:t>
            </w:r>
          </w:p>
        </w:tc>
        <w:tc>
          <w:tcPr>
            <w:tcW w:type="dxa" w:w="1224"/>
          </w:tcPr>
          <w:p>
            <w:pPr>
              <w:spacing w:after="20"/>
              <w:jc w:val="right"/>
            </w:pPr>
            <w:r>
              <w:rPr>
                <w:color w:val="1C3A36"/>
                <w:sz w:val="18"/>
              </w:rPr>
              <w:t>86.4%</w:t>
            </w:r>
          </w:p>
        </w:tc>
      </w:tr>
      <w:tr>
        <w:tc>
          <w:tcPr>
            <w:tcW w:type="dxa" w:w="2232"/>
          </w:tcPr>
          <w:p>
            <w:pPr>
              <w:spacing w:after="20"/>
            </w:pPr>
            <w:r>
              <w:rPr>
                <w:color w:val="1C3A36"/>
                <w:sz w:val="18"/>
              </w:rPr>
              <w:t>ICT &amp; associated</w:t>
            </w:r>
          </w:p>
        </w:tc>
        <w:tc>
          <w:tcPr>
            <w:tcW w:type="dxa" w:w="1469"/>
          </w:tcPr>
          <w:p>
            <w:pPr>
              <w:spacing w:after="20"/>
              <w:jc w:val="right"/>
            </w:pPr>
            <w:r>
              <w:rPr>
                <w:color w:val="1C3A36"/>
                <w:sz w:val="18"/>
              </w:rPr>
              <w:t>1,084</w:t>
            </w:r>
          </w:p>
        </w:tc>
        <w:tc>
          <w:tcPr>
            <w:tcW w:type="dxa" w:w="1469"/>
          </w:tcPr>
          <w:p>
            <w:pPr>
              <w:spacing w:after="20"/>
              <w:jc w:val="right"/>
            </w:pPr>
            <w:r>
              <w:rPr>
                <w:color w:val="1C3A36"/>
                <w:sz w:val="18"/>
              </w:rPr>
              <w:t>1,712</w:t>
            </w:r>
          </w:p>
        </w:tc>
        <w:tc>
          <w:tcPr>
            <w:tcW w:type="dxa" w:w="1469"/>
          </w:tcPr>
          <w:p>
            <w:pPr>
              <w:spacing w:after="20"/>
              <w:jc w:val="right"/>
            </w:pPr>
            <w:r>
              <w:rPr>
                <w:color w:val="1C3A36"/>
                <w:sz w:val="18"/>
              </w:rPr>
              <w:t>1,883</w:t>
            </w:r>
          </w:p>
        </w:tc>
        <w:tc>
          <w:tcPr>
            <w:tcW w:type="dxa" w:w="2045"/>
          </w:tcPr>
          <w:p>
            <w:pPr>
              <w:spacing w:after="20"/>
              <w:jc w:val="right"/>
            </w:pPr>
            <w:r>
              <w:rPr>
                <w:color w:val="1C3A36"/>
                <w:sz w:val="18"/>
              </w:rPr>
              <w:t>365</w:t>
            </w:r>
          </w:p>
        </w:tc>
        <w:tc>
          <w:tcPr>
            <w:tcW w:type="dxa" w:w="1224"/>
          </w:tcPr>
          <w:p>
            <w:pPr>
              <w:spacing w:after="20"/>
              <w:jc w:val="right"/>
            </w:pPr>
            <w:r>
              <w:rPr>
                <w:color w:val="1C3A36"/>
                <w:sz w:val="18"/>
              </w:rPr>
              <w:t>19.4%</w:t>
            </w:r>
          </w:p>
        </w:tc>
      </w:tr>
      <w:tr>
        <w:tc>
          <w:tcPr>
            <w:tcW w:type="dxa" w:w="2232"/>
            <w:shd w:val="clear" w:color="auto" w:fill="F6F1E6"/>
          </w:tcPr>
          <w:p>
            <w:pPr>
              <w:spacing w:after="20"/>
            </w:pPr>
            <w:r>
              <w:rPr>
                <w:b/>
                <w:color w:val="1C3A36"/>
                <w:sz w:val="18"/>
              </w:rPr>
              <w:t>Total</w:t>
            </w:r>
          </w:p>
        </w:tc>
        <w:tc>
          <w:tcPr>
            <w:tcW w:type="dxa" w:w="1469"/>
            <w:shd w:val="clear" w:color="auto" w:fill="F6F1E6"/>
          </w:tcPr>
          <w:p>
            <w:pPr>
              <w:spacing w:after="20"/>
              <w:jc w:val="right"/>
            </w:pPr>
            <w:r>
              <w:rPr>
                <w:b/>
                <w:color w:val="1C3A36"/>
                <w:sz w:val="18"/>
              </w:rPr>
              <w:t>13,636</w:t>
            </w:r>
          </w:p>
        </w:tc>
        <w:tc>
          <w:tcPr>
            <w:tcW w:type="dxa" w:w="1469"/>
            <w:shd w:val="clear" w:color="auto" w:fill="F6F1E6"/>
          </w:tcPr>
          <w:p>
            <w:pPr>
              <w:spacing w:after="20"/>
              <w:jc w:val="right"/>
            </w:pPr>
            <w:r>
              <w:rPr>
                <w:b/>
                <w:color w:val="1C3A36"/>
                <w:sz w:val="18"/>
              </w:rPr>
              <w:t>14,636</w:t>
            </w:r>
          </w:p>
        </w:tc>
        <w:tc>
          <w:tcPr>
            <w:tcW w:type="dxa" w:w="1469"/>
            <w:shd w:val="clear" w:color="auto" w:fill="F6F1E6"/>
          </w:tcPr>
          <w:p>
            <w:pPr>
              <w:spacing w:after="20"/>
              <w:jc w:val="right"/>
            </w:pPr>
            <w:r>
              <w:rPr>
                <w:b/>
                <w:color w:val="1C3A36"/>
                <w:sz w:val="18"/>
              </w:rPr>
              <w:t>15,905</w:t>
            </w:r>
          </w:p>
        </w:tc>
        <w:tc>
          <w:tcPr>
            <w:tcW w:type="dxa" w:w="2045"/>
            <w:shd w:val="clear" w:color="auto" w:fill="F6F1E6"/>
          </w:tcPr>
          <w:p>
            <w:pPr>
              <w:spacing w:after="20"/>
              <w:jc w:val="right"/>
            </w:pPr>
            <w:r>
              <w:rPr>
                <w:b/>
                <w:color w:val="1C3A36"/>
                <w:sz w:val="18"/>
              </w:rPr>
              <w:t>10,646</w:t>
            </w:r>
          </w:p>
        </w:tc>
        <w:tc>
          <w:tcPr>
            <w:tcW w:type="dxa" w:w="1224"/>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Table 4 — segment revenue (AED mn) and FY2025 contribution (revenue less direct costs, the company's own Note 38 measure). *FY2023 is on the pre-2024 segment basis (the wholesale/other boundary moved in the re-segmentation) and is shown for continuity, not comparability; the forecast is built off the consistent FY2024-25 basis. Segment revenue ties exactly to consolidated revenue in every year.</w:t>
      </w:r>
    </w:p>
    <w:p>
      <w:pPr>
        <w:spacing w:after="80" w:before="200"/>
      </w:pPr>
      <w:r>
        <w:rPr>
          <w:b/>
          <w:i w:val="0"/>
          <w:color w:val="1C3A36"/>
          <w:sz w:val="24"/>
        </w:rPr>
        <w:t>How the forecast is driven</w:t>
      </w:r>
    </w:p>
    <w:p>
      <w:pPr>
        <w:spacing w:after="120" w:before="0"/>
      </w:pPr>
      <w:r>
        <w:rPr>
          <w:b w:val="0"/>
          <w:i w:val="0"/>
          <w:color w:val="1C3A36"/>
          <w:sz w:val="21"/>
        </w:rPr>
        <w:t>Mobile and Fixed are built as volume × price — the finest level the company disclosed. Mobile: the quarterly customer base (8,916k end-2024 → 9,704k end-2025 → 9,280k after the war quarter) times blended ARPU (AED 63.3/month in FY2025, 63.4 in Q2-2026). The frame reproduces the audited FY2025 mobile segment to within 0.1%: average base 9,310k × AED 63.3 × 12 = AED 7,072mn against a disclosed AED 7,075mn. The forecast path: recovery to 9,450k by end-2026 (the company itself reports gross adds still below pre-war levels), then to 10,450k by end-2030 — growth of roughly a quarter-million customers a year, well below the boom year 2025 added, with ARPU essentially flat (AED 63.4 → 64.2: postpaid mix gains offsetting prepaid dilution, and no price war anywhere in the record).</w:t>
      </w:r>
    </w:p>
    <w:p>
      <w:pPr>
        <w:spacing w:after="120" w:before="0"/>
      </w:pPr>
      <w:r>
        <w:rPr>
          <w:b w:val="0"/>
          <w:i w:val="0"/>
          <w:color w:val="1C3A36"/>
          <w:sz w:val="21"/>
        </w:rPr>
        <w:t>Fixed: subscribers 682k → 744k, forecast to 858k on continued fibre and fixed-wireless share gain, times an implied revenue per subscription (a consumer-plus-enterprise blend, so a revenue-intensity metric rather than a tariff) rising gently with the enterprise mix. Wholesale and ICT disclose no unit measures anywhere in the filings — that gap is flagged, and both are grown at segment level: wholesale on a war-recovery path (roaming and transit were hit; -0.8% in 2026 then ~+2%), ICT on the data-centre ramp (+11.0% at peak), which is anchored on the company's own disclosed programme: five data centres, a hyperscale campus with Microsoft as anchor tenant, and capital commitments UP a quarter-billion dirhams in six months.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037"/>
        <w:gridCol w:w="1037"/>
        <w:gridCol w:w="1037"/>
        <w:gridCol w:w="1037"/>
        <w:gridCol w:w="1037"/>
        <w:gridCol w:w="1037"/>
      </w:tblGrid>
      <w:tr>
        <w:tc>
          <w:tcPr>
            <w:tcW w:type="dxa" w:w="2808"/>
            <w:shd w:val="clear" w:color="auto" w:fill="EAF0EE"/>
          </w:tcPr>
          <w:p>
            <w:pPr>
              <w:spacing w:after="20"/>
            </w:pPr>
            <w:r>
              <w:rPr>
                <w:b/>
                <w:color w:val="1C3A36"/>
                <w:sz w:val="16"/>
              </w:rPr>
            </w:r>
          </w:p>
        </w:tc>
        <w:tc>
          <w:tcPr>
            <w:tcW w:type="dxa" w:w="1037"/>
            <w:shd w:val="clear" w:color="auto" w:fill="EAF0EE"/>
          </w:tcPr>
          <w:p>
            <w:pPr>
              <w:spacing w:after="20"/>
            </w:pPr>
            <w:r>
              <w:rPr>
                <w:b/>
                <w:color w:val="1C3A36"/>
                <w:sz w:val="16"/>
              </w:rPr>
              <w:t>FY2025A</w:t>
            </w:r>
          </w:p>
        </w:tc>
        <w:tc>
          <w:tcPr>
            <w:tcW w:type="dxa" w:w="1037"/>
            <w:shd w:val="clear" w:color="auto" w:fill="EAF0EE"/>
          </w:tcPr>
          <w:p>
            <w:pPr>
              <w:spacing w:after="20"/>
            </w:pPr>
            <w:r>
              <w:rPr>
                <w:b/>
                <w:color w:val="1C3A36"/>
                <w:sz w:val="16"/>
              </w:rPr>
              <w:t>FY26E</w:t>
            </w:r>
          </w:p>
        </w:tc>
        <w:tc>
          <w:tcPr>
            <w:tcW w:type="dxa" w:w="1037"/>
            <w:shd w:val="clear" w:color="auto" w:fill="EAF0EE"/>
          </w:tcPr>
          <w:p>
            <w:pPr>
              <w:spacing w:after="20"/>
            </w:pPr>
            <w:r>
              <w:rPr>
                <w:b/>
                <w:color w:val="1C3A36"/>
                <w:sz w:val="16"/>
              </w:rPr>
              <w:t>FY27E</w:t>
            </w:r>
          </w:p>
        </w:tc>
        <w:tc>
          <w:tcPr>
            <w:tcW w:type="dxa" w:w="1037"/>
            <w:shd w:val="clear" w:color="auto" w:fill="EAF0EE"/>
          </w:tcPr>
          <w:p>
            <w:pPr>
              <w:spacing w:after="20"/>
            </w:pPr>
            <w:r>
              <w:rPr>
                <w:b/>
                <w:color w:val="1C3A36"/>
                <w:sz w:val="16"/>
              </w:rPr>
              <w:t>FY28E</w:t>
            </w:r>
          </w:p>
        </w:tc>
        <w:tc>
          <w:tcPr>
            <w:tcW w:type="dxa" w:w="1037"/>
            <w:shd w:val="clear" w:color="auto" w:fill="EAF0EE"/>
          </w:tcPr>
          <w:p>
            <w:pPr>
              <w:spacing w:after="20"/>
            </w:pPr>
            <w:r>
              <w:rPr>
                <w:b/>
                <w:color w:val="1C3A36"/>
                <w:sz w:val="16"/>
              </w:rPr>
              <w:t>FY29E</w:t>
            </w:r>
          </w:p>
        </w:tc>
        <w:tc>
          <w:tcPr>
            <w:tcW w:type="dxa" w:w="1037"/>
            <w:shd w:val="clear" w:color="auto" w:fill="EAF0EE"/>
          </w:tcPr>
          <w:p>
            <w:pPr>
              <w:spacing w:after="20"/>
            </w:pPr>
            <w:r>
              <w:rPr>
                <w:b/>
                <w:color w:val="1C3A36"/>
                <w:sz w:val="16"/>
              </w:rPr>
              <w:t>FY30E</w:t>
            </w:r>
          </w:p>
        </w:tc>
      </w:tr>
      <w:tr>
        <w:tc>
          <w:tcPr>
            <w:tcW w:type="dxa" w:w="2808"/>
          </w:tcPr>
          <w:p>
            <w:pPr>
              <w:spacing w:after="20"/>
            </w:pPr>
            <w:r>
              <w:rPr>
                <w:color w:val="1C3A36"/>
                <w:sz w:val="16"/>
              </w:rPr>
              <w:t>Revenue (AED mn)</w:t>
            </w:r>
          </w:p>
        </w:tc>
        <w:tc>
          <w:tcPr>
            <w:tcW w:type="dxa" w:w="1037"/>
          </w:tcPr>
          <w:p>
            <w:pPr>
              <w:spacing w:after="20"/>
              <w:jc w:val="right"/>
            </w:pPr>
            <w:r>
              <w:rPr>
                <w:color w:val="1C3A36"/>
                <w:sz w:val="16"/>
              </w:rPr>
              <w:t>15,905</w:t>
            </w:r>
          </w:p>
        </w:tc>
        <w:tc>
          <w:tcPr>
            <w:tcW w:type="dxa" w:w="1037"/>
          </w:tcPr>
          <w:p>
            <w:pPr>
              <w:spacing w:after="20"/>
              <w:jc w:val="right"/>
            </w:pPr>
            <w:r>
              <w:rPr>
                <w:color w:val="1C3A36"/>
                <w:sz w:val="16"/>
              </w:rPr>
              <w:t>16,593</w:t>
            </w:r>
          </w:p>
        </w:tc>
        <w:tc>
          <w:tcPr>
            <w:tcW w:type="dxa" w:w="1037"/>
          </w:tcPr>
          <w:p>
            <w:pPr>
              <w:spacing w:after="20"/>
              <w:jc w:val="right"/>
            </w:pPr>
            <w:r>
              <w:rPr>
                <w:color w:val="1C3A36"/>
                <w:sz w:val="16"/>
              </w:rPr>
              <w:t>17,240</w:t>
            </w:r>
          </w:p>
        </w:tc>
        <w:tc>
          <w:tcPr>
            <w:tcW w:type="dxa" w:w="1037"/>
          </w:tcPr>
          <w:p>
            <w:pPr>
              <w:spacing w:after="20"/>
              <w:jc w:val="right"/>
            </w:pPr>
            <w:r>
              <w:rPr>
                <w:color w:val="1C3A36"/>
                <w:sz w:val="16"/>
              </w:rPr>
              <w:t>18,011</w:t>
            </w:r>
          </w:p>
        </w:tc>
        <w:tc>
          <w:tcPr>
            <w:tcW w:type="dxa" w:w="1037"/>
          </w:tcPr>
          <w:p>
            <w:pPr>
              <w:spacing w:after="20"/>
              <w:jc w:val="right"/>
            </w:pPr>
            <w:r>
              <w:rPr>
                <w:color w:val="1C3A36"/>
                <w:sz w:val="16"/>
              </w:rPr>
              <w:t>18,734</w:t>
            </w:r>
          </w:p>
        </w:tc>
        <w:tc>
          <w:tcPr>
            <w:tcW w:type="dxa" w:w="1037"/>
          </w:tcPr>
          <w:p>
            <w:pPr>
              <w:spacing w:after="20"/>
              <w:jc w:val="right"/>
            </w:pPr>
            <w:r>
              <w:rPr>
                <w:color w:val="1C3A36"/>
                <w:sz w:val="16"/>
              </w:rPr>
              <w:t>19,424</w:t>
            </w:r>
          </w:p>
        </w:tc>
      </w:tr>
      <w:tr>
        <w:tc>
          <w:tcPr>
            <w:tcW w:type="dxa" w:w="2808"/>
          </w:tcPr>
          <w:p>
            <w:pPr>
              <w:spacing w:after="20"/>
            </w:pPr>
            <w:r>
              <w:rPr>
                <w:color w:val="1C3A36"/>
                <w:sz w:val="16"/>
              </w:rPr>
              <w:t>growth</w:t>
            </w:r>
          </w:p>
        </w:tc>
        <w:tc>
          <w:tcPr>
            <w:tcW w:type="dxa" w:w="1037"/>
          </w:tcPr>
          <w:p>
            <w:pPr>
              <w:spacing w:after="20"/>
              <w:jc w:val="right"/>
            </w:pPr>
            <w:r>
              <w:rPr>
                <w:color w:val="1C3A36"/>
                <w:sz w:val="16"/>
              </w:rPr>
            </w:r>
          </w:p>
        </w:tc>
        <w:tc>
          <w:tcPr>
            <w:tcW w:type="dxa" w:w="1037"/>
          </w:tcPr>
          <w:p>
            <w:pPr>
              <w:spacing w:after="20"/>
              <w:jc w:val="right"/>
            </w:pPr>
            <w:r>
              <w:rPr>
                <w:color w:val="1C3A36"/>
                <w:sz w:val="16"/>
              </w:rPr>
              <w:t>+4.3%</w:t>
            </w:r>
          </w:p>
        </w:tc>
        <w:tc>
          <w:tcPr>
            <w:tcW w:type="dxa" w:w="1037"/>
          </w:tcPr>
          <w:p>
            <w:pPr>
              <w:spacing w:after="20"/>
              <w:jc w:val="right"/>
            </w:pPr>
            <w:r>
              <w:rPr>
                <w:color w:val="1C3A36"/>
                <w:sz w:val="16"/>
              </w:rPr>
              <w:t>+3.9%</w:t>
            </w:r>
          </w:p>
        </w:tc>
        <w:tc>
          <w:tcPr>
            <w:tcW w:type="dxa" w:w="1037"/>
          </w:tcPr>
          <w:p>
            <w:pPr>
              <w:spacing w:after="20"/>
              <w:jc w:val="right"/>
            </w:pPr>
            <w:r>
              <w:rPr>
                <w:color w:val="1C3A36"/>
                <w:sz w:val="16"/>
              </w:rPr>
              <w:t>+4.5%</w:t>
            </w:r>
          </w:p>
        </w:tc>
        <w:tc>
          <w:tcPr>
            <w:tcW w:type="dxa" w:w="1037"/>
          </w:tcPr>
          <w:p>
            <w:pPr>
              <w:spacing w:after="20"/>
              <w:jc w:val="right"/>
            </w:pPr>
            <w:r>
              <w:rPr>
                <w:color w:val="1C3A36"/>
                <w:sz w:val="16"/>
              </w:rPr>
              <w:t>+4.0%</w:t>
            </w:r>
          </w:p>
        </w:tc>
        <w:tc>
          <w:tcPr>
            <w:tcW w:type="dxa" w:w="1037"/>
          </w:tcPr>
          <w:p>
            <w:pPr>
              <w:spacing w:after="20"/>
              <w:jc w:val="right"/>
            </w:pPr>
            <w:r>
              <w:rPr>
                <w:color w:val="1C3A36"/>
                <w:sz w:val="16"/>
              </w:rPr>
              <w:t>+3.7%</w:t>
            </w:r>
          </w:p>
        </w:tc>
      </w:tr>
      <w:tr>
        <w:tc>
          <w:tcPr>
            <w:tcW w:type="dxa" w:w="2808"/>
          </w:tcPr>
          <w:p>
            <w:pPr>
              <w:spacing w:after="20"/>
            </w:pPr>
            <w:r>
              <w:rPr>
                <w:color w:val="1C3A36"/>
                <w:sz w:val="16"/>
              </w:rPr>
              <w:t>EBITDA (AED mn)</w:t>
            </w:r>
          </w:p>
        </w:tc>
        <w:tc>
          <w:tcPr>
            <w:tcW w:type="dxa" w:w="1037"/>
          </w:tcPr>
          <w:p>
            <w:pPr>
              <w:spacing w:after="20"/>
              <w:jc w:val="right"/>
            </w:pPr>
            <w:r>
              <w:rPr>
                <w:color w:val="1C3A36"/>
                <w:sz w:val="16"/>
              </w:rPr>
              <w:t>7,338</w:t>
            </w:r>
          </w:p>
        </w:tc>
        <w:tc>
          <w:tcPr>
            <w:tcW w:type="dxa" w:w="1037"/>
          </w:tcPr>
          <w:p>
            <w:pPr>
              <w:spacing w:after="20"/>
              <w:jc w:val="right"/>
            </w:pPr>
            <w:r>
              <w:rPr>
                <w:color w:val="1C3A36"/>
                <w:sz w:val="16"/>
              </w:rPr>
              <w:t>7,822</w:t>
            </w:r>
          </w:p>
        </w:tc>
        <w:tc>
          <w:tcPr>
            <w:tcW w:type="dxa" w:w="1037"/>
          </w:tcPr>
          <w:p>
            <w:pPr>
              <w:spacing w:after="20"/>
              <w:jc w:val="right"/>
            </w:pPr>
            <w:r>
              <w:rPr>
                <w:color w:val="1C3A36"/>
                <w:sz w:val="16"/>
              </w:rPr>
              <w:t>8,117</w:t>
            </w:r>
          </w:p>
        </w:tc>
        <w:tc>
          <w:tcPr>
            <w:tcW w:type="dxa" w:w="1037"/>
          </w:tcPr>
          <w:p>
            <w:pPr>
              <w:spacing w:after="20"/>
              <w:jc w:val="right"/>
            </w:pPr>
            <w:r>
              <w:rPr>
                <w:color w:val="1C3A36"/>
                <w:sz w:val="16"/>
              </w:rPr>
              <w:t>8,481</w:t>
            </w:r>
          </w:p>
        </w:tc>
        <w:tc>
          <w:tcPr>
            <w:tcW w:type="dxa" w:w="1037"/>
          </w:tcPr>
          <w:p>
            <w:pPr>
              <w:spacing w:after="20"/>
              <w:jc w:val="right"/>
            </w:pPr>
            <w:r>
              <w:rPr>
                <w:color w:val="1C3A36"/>
                <w:sz w:val="16"/>
              </w:rPr>
              <w:t>8,815</w:t>
            </w:r>
          </w:p>
        </w:tc>
        <w:tc>
          <w:tcPr>
            <w:tcW w:type="dxa" w:w="1037"/>
          </w:tcPr>
          <w:p>
            <w:pPr>
              <w:spacing w:after="20"/>
              <w:jc w:val="right"/>
            </w:pPr>
            <w:r>
              <w:rPr>
                <w:color w:val="1C3A36"/>
                <w:sz w:val="16"/>
              </w:rPr>
              <w:t>9,132</w:t>
            </w:r>
          </w:p>
        </w:tc>
      </w:tr>
      <w:tr>
        <w:tc>
          <w:tcPr>
            <w:tcW w:type="dxa" w:w="2808"/>
            <w:shd w:val="clear" w:color="auto" w:fill="F6F1E6"/>
          </w:tcPr>
          <w:p>
            <w:pPr>
              <w:spacing w:after="20"/>
            </w:pPr>
            <w:r>
              <w:rPr>
                <w:b/>
                <w:color w:val="1C3A36"/>
                <w:sz w:val="16"/>
              </w:rPr>
              <w:t>EBITDA margin — an OUTPUT</w:t>
            </w:r>
          </w:p>
        </w:tc>
        <w:tc>
          <w:tcPr>
            <w:tcW w:type="dxa" w:w="1037"/>
            <w:shd w:val="clear" w:color="auto" w:fill="F6F1E6"/>
          </w:tcPr>
          <w:p>
            <w:pPr>
              <w:spacing w:after="20"/>
              <w:jc w:val="right"/>
            </w:pPr>
            <w:r>
              <w:rPr>
                <w:b/>
                <w:color w:val="1C3A36"/>
                <w:sz w:val="16"/>
              </w:rPr>
              <w:t>46.1%</w:t>
            </w:r>
          </w:p>
        </w:tc>
        <w:tc>
          <w:tcPr>
            <w:tcW w:type="dxa" w:w="1037"/>
            <w:shd w:val="clear" w:color="auto" w:fill="F6F1E6"/>
          </w:tcPr>
          <w:p>
            <w:pPr>
              <w:spacing w:after="20"/>
              <w:jc w:val="right"/>
            </w:pPr>
            <w:r>
              <w:rPr>
                <w:b/>
                <w:color w:val="1C3A36"/>
                <w:sz w:val="16"/>
              </w:rPr>
              <w:t>47.1%</w:t>
            </w:r>
          </w:p>
        </w:tc>
        <w:tc>
          <w:tcPr>
            <w:tcW w:type="dxa" w:w="1037"/>
            <w:shd w:val="clear" w:color="auto" w:fill="F6F1E6"/>
          </w:tcPr>
          <w:p>
            <w:pPr>
              <w:spacing w:after="20"/>
              <w:jc w:val="right"/>
            </w:pPr>
            <w:r>
              <w:rPr>
                <w:b/>
                <w:color w:val="1C3A36"/>
                <w:sz w:val="16"/>
              </w:rPr>
              <w:t>47.1%</w:t>
            </w:r>
          </w:p>
        </w:tc>
        <w:tc>
          <w:tcPr>
            <w:tcW w:type="dxa" w:w="1037"/>
            <w:shd w:val="clear" w:color="auto" w:fill="F6F1E6"/>
          </w:tcPr>
          <w:p>
            <w:pPr>
              <w:spacing w:after="20"/>
              <w:jc w:val="right"/>
            </w:pPr>
            <w:r>
              <w:rPr>
                <w:b/>
                <w:color w:val="1C3A36"/>
                <w:sz w:val="16"/>
              </w:rPr>
              <w:t>47.1%</w:t>
            </w:r>
          </w:p>
        </w:tc>
        <w:tc>
          <w:tcPr>
            <w:tcW w:type="dxa" w:w="1037"/>
            <w:shd w:val="clear" w:color="auto" w:fill="F6F1E6"/>
          </w:tcPr>
          <w:p>
            <w:pPr>
              <w:spacing w:after="20"/>
              <w:jc w:val="right"/>
            </w:pPr>
            <w:r>
              <w:rPr>
                <w:b/>
                <w:color w:val="1C3A36"/>
                <w:sz w:val="16"/>
              </w:rPr>
              <w:t>47.1%</w:t>
            </w:r>
          </w:p>
        </w:tc>
        <w:tc>
          <w:tcPr>
            <w:tcW w:type="dxa" w:w="1037"/>
            <w:shd w:val="clear" w:color="auto" w:fill="F6F1E6"/>
          </w:tcPr>
          <w:p>
            <w:pPr>
              <w:spacing w:after="20"/>
              <w:jc w:val="right"/>
            </w:pPr>
            <w:r>
              <w:rPr>
                <w:b/>
                <w:color w:val="1C3A36"/>
                <w:sz w:val="16"/>
              </w:rPr>
              <w:t>47.0%</w:t>
            </w:r>
          </w:p>
        </w:tc>
      </w:tr>
    </w:tbl>
    <w:p>
      <w:pPr>
        <w:spacing w:after="40"/>
      </w:pPr>
    </w:p>
    <w:p>
      <w:pPr>
        <w:spacing w:after="200" w:before="0"/>
      </w:pPr>
      <w:r>
        <w:rPr>
          <w:b w:val="0"/>
          <w:i/>
          <w:color w:val="6E7B77"/>
          <w:sz w:val="17"/>
        </w:rPr>
        <w:t>Table 5 — the build's output. FY2026E growth of +4.3% lands inside the company's own revised 4-6% guidance; the margin output sits just above the guided 46-47% because the first half already printed 49.2% and the build holds the audited contribution margins rather than forcing the guidance midpoint. The cost stack behind it carries one escalator per cost class: wages on UAE wage inflation, network on network scale, the licence fee and credit losses on revenue, administration on CPI — never one blended index.</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revenue by segment and the EBITDA margin path. ICT is the growth leg; mobile the recovery story; the margin is flat by construction of the disclosed contribution margins and the escalating cost stack.</w:t>
      </w:r>
    </w:p>
    <w:p>
      <w:pPr>
        <w:spacing w:after="80" w:before="200"/>
      </w:pPr>
      <w:r>
        <w:rPr>
          <w:b/>
          <w:i w:val="0"/>
          <w:color w:val="1C3A36"/>
          <w:sz w:val="24"/>
        </w:rPr>
        <w:t>1.7  The crux — the state's take first, the licence second, the war third</w:t>
      </w:r>
    </w:p>
    <w:p>
      <w:pPr>
        <w:spacing w:after="120" w:before="0"/>
      </w:pPr>
      <w:r>
        <w:rPr>
          <w:b w:val="0"/>
          <w:i w:val="0"/>
          <w:color w:val="1C3A36"/>
          <w:sz w:val="21"/>
        </w:rPr>
        <w:t>Every valuation has one judgement that moves it more than all the others. Here it is the FISCAL REGIME. At the current 43.6% combined take the cash-flow lens reads AED 19.14; at the pre-2024 construction's take it reads AED 16.29. In real observable units: every single percentage point of combined take is worth roughly AED 0.38 per share, and the regime that applies from 1 January 2027 was, at this study's sweep date, disclosed in du's own filings only as "effective from 2024 to 2026". A ministry notification extending the same structure to 2027-2029 has been disclosed by the OTHER operator; du's own confirmation had not yet been filed. Section 5 treats that as the first catalyst, and both framings are priced throughout this study.</w:t>
      </w:r>
    </w:p>
    <w:p>
      <w:pPr>
        <w:spacing w:after="120" w:before="0"/>
      </w:pPr>
      <w:r>
        <w:rPr>
          <w:b w:val="0"/>
          <w:i w:val="0"/>
          <w:color w:val="1C3A36"/>
          <w:sz w:val="21"/>
        </w:rPr>
        <w:t>Second, the licence: the regulator extended du's operating licence only to 8 August 2026 — one day after this study's price anchor — with renewal "in final stage" per the reviewed interim statements. The base case carries renewal on comparable terms (the licence fee held at 2.7% of revenue); every percentage point of revenue added to that fee costs about AED 0.64 per share — priced in the sensitivity table, not waved at. Third, the war recovery: the subscriber sensitivity in section 1.9 spans the outcome from a renewed conflict to a boom-style rebound.</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dirham is hard-pegged to the dollar, so the UAE imports US monetary policy: the central bank's base rate tracks the Fed, and at the sweep date the market was pricing possible HIKES rather than the cuts of six months earlier. The UAE sovereign is rated Aa2 and its dirham curve auctions THROUGH the US Treasury curve at matched tenors. Growth is strong (around 5% real in 2025) even as the regional war cut the wider region's 2026 outlook; inflation is around 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584"/>
        <w:gridCol w:w="3240"/>
      </w:tblGrid>
      <w:tr>
        <w:tc>
          <w:tcPr>
            <w:tcW w:type="dxa" w:w="4752"/>
            <w:shd w:val="clear" w:color="auto" w:fill="EAF0EE"/>
          </w:tcPr>
          <w:p>
            <w:pPr>
              <w:spacing w:after="20"/>
            </w:pPr>
            <w:r>
              <w:rPr>
                <w:b/>
                <w:color w:val="1C3A36"/>
                <w:sz w:val="17"/>
              </w:rPr>
              <w:t>Component</w:t>
            </w:r>
          </w:p>
        </w:tc>
        <w:tc>
          <w:tcPr>
            <w:tcW w:type="dxa" w:w="1584"/>
            <w:shd w:val="clear" w:color="auto" w:fill="EAF0EE"/>
          </w:tcPr>
          <w:p>
            <w:pPr>
              <w:spacing w:after="20"/>
            </w:pPr>
            <w:r>
              <w:rPr>
                <w:b/>
                <w:color w:val="1C3A36"/>
                <w:sz w:val="17"/>
              </w:rPr>
              <w:t>Value</w:t>
            </w:r>
          </w:p>
        </w:tc>
        <w:tc>
          <w:tcPr>
            <w:tcW w:type="dxa" w:w="3240"/>
            <w:shd w:val="clear" w:color="auto" w:fill="EAF0EE"/>
          </w:tcPr>
          <w:p>
            <w:pPr>
              <w:spacing w:after="20"/>
            </w:pPr>
            <w:r>
              <w:rPr>
                <w:b/>
                <w:color w:val="1C3A36"/>
                <w:sz w:val="17"/>
              </w:rPr>
              <w:t>Source basis</w:t>
            </w:r>
          </w:p>
        </w:tc>
      </w:tr>
      <w:tr>
        <w:tc>
          <w:tcPr>
            <w:tcW w:type="dxa" w:w="4752"/>
          </w:tcPr>
          <w:p>
            <w:pPr>
              <w:spacing w:after="20"/>
            </w:pPr>
            <w:r>
              <w:rPr>
                <w:color w:val="1C3A36"/>
                <w:sz w:val="17"/>
              </w:rPr>
              <w:t>Risk-free rate (Jan-2031 AED T-bond, the longest liquid AED tenor)</w:t>
            </w:r>
          </w:p>
        </w:tc>
        <w:tc>
          <w:tcPr>
            <w:tcW w:type="dxa" w:w="1584"/>
          </w:tcPr>
          <w:p>
            <w:pPr>
              <w:spacing w:after="20"/>
              <w:jc w:val="right"/>
            </w:pPr>
            <w:r>
              <w:rPr>
                <w:color w:val="1C3A36"/>
                <w:sz w:val="17"/>
              </w:rPr>
              <w:t>4.48%</w:t>
            </w:r>
          </w:p>
        </w:tc>
        <w:tc>
          <w:tcPr>
            <w:tcW w:type="dxa" w:w="3240"/>
          </w:tcPr>
          <w:p>
            <w:pPr>
              <w:spacing w:after="20"/>
              <w:jc w:val="right"/>
            </w:pPr>
            <w:r>
              <w:rPr>
                <w:color w:val="1C3A36"/>
                <w:sz w:val="17"/>
              </w:rPr>
              <w:t>UAE MoF auction, 22-Jul-2026</w:t>
            </w:r>
          </w:p>
        </w:tc>
      </w:tr>
      <w:tr>
        <w:tc>
          <w:tcPr>
            <w:tcW w:type="dxa" w:w="4752"/>
          </w:tcPr>
          <w:p>
            <w:pPr>
              <w:spacing w:after="20"/>
            </w:pPr>
            <w:r>
              <w:rPr>
                <w:color w:val="1C3A36"/>
                <w:sz w:val="17"/>
              </w:rPr>
              <w:t>less UAE sovereign default spread (Aa2, rating basis)</w:t>
            </w:r>
          </w:p>
        </w:tc>
        <w:tc>
          <w:tcPr>
            <w:tcW w:type="dxa" w:w="1584"/>
          </w:tcPr>
          <w:p>
            <w:pPr>
              <w:spacing w:after="20"/>
              <w:jc w:val="right"/>
            </w:pPr>
            <w:r>
              <w:rPr>
                <w:color w:val="1C3A36"/>
                <w:sz w:val="17"/>
              </w:rPr>
              <w:t>0.42%</w:t>
            </w:r>
          </w:p>
        </w:tc>
        <w:tc>
          <w:tcPr>
            <w:tcW w:type="dxa" w:w="3240"/>
          </w:tcPr>
          <w:p>
            <w:pPr>
              <w:spacing w:after="20"/>
              <w:jc w:val="right"/>
            </w:pPr>
            <w:r>
              <w:rPr>
                <w:color w:val="1C3A36"/>
                <w:sz w:val="17"/>
              </w:rPr>
              <w:t>Damodaran dataset, Jan-2026</w:t>
            </w:r>
          </w:p>
        </w:tc>
      </w:tr>
      <w:tr>
        <w:tc>
          <w:tcPr>
            <w:tcW w:type="dxa" w:w="4752"/>
          </w:tcPr>
          <w:p>
            <w:pPr>
              <w:spacing w:after="20"/>
            </w:pPr>
            <w:r>
              <w:rPr>
                <w:color w:val="1C3A36"/>
                <w:sz w:val="17"/>
              </w:rPr>
              <w:t>Risk-free net of the sovereign spread</w:t>
            </w:r>
          </w:p>
        </w:tc>
        <w:tc>
          <w:tcPr>
            <w:tcW w:type="dxa" w:w="1584"/>
          </w:tcPr>
          <w:p>
            <w:pPr>
              <w:spacing w:after="20"/>
              <w:jc w:val="right"/>
            </w:pPr>
            <w:r>
              <w:rPr>
                <w:color w:val="1C3A36"/>
                <w:sz w:val="17"/>
              </w:rPr>
              <w:t>4.06%</w:t>
            </w:r>
          </w:p>
        </w:tc>
        <w:tc>
          <w:tcPr>
            <w:tcW w:type="dxa" w:w="3240"/>
          </w:tcPr>
          <w:p>
            <w:pPr>
              <w:spacing w:after="20"/>
              <w:jc w:val="right"/>
            </w:pPr>
            <w:r>
              <w:rPr>
                <w:color w:val="1C3A36"/>
                <w:sz w:val="17"/>
              </w:rPr>
              <w:t>country risk enters ONCE, via the premium</w:t>
            </w:r>
          </w:p>
        </w:tc>
      </w:tr>
      <w:tr>
        <w:tc>
          <w:tcPr>
            <w:tcW w:type="dxa" w:w="4752"/>
          </w:tcPr>
          <w:p>
            <w:pPr>
              <w:spacing w:after="20"/>
            </w:pPr>
            <w:r>
              <w:rPr>
                <w:color w:val="1C3A36"/>
                <w:sz w:val="17"/>
              </w:rPr>
              <w:t>Beta — DU weekly vs the DFM General Index, 5 years</w:t>
            </w:r>
          </w:p>
        </w:tc>
        <w:tc>
          <w:tcPr>
            <w:tcW w:type="dxa" w:w="1584"/>
          </w:tcPr>
          <w:p>
            <w:pPr>
              <w:spacing w:after="20"/>
              <w:jc w:val="right"/>
            </w:pPr>
            <w:r>
              <w:rPr>
                <w:color w:val="1C3A36"/>
                <w:sz w:val="17"/>
              </w:rPr>
              <w:t>0.472</w:t>
            </w:r>
          </w:p>
        </w:tc>
        <w:tc>
          <w:tcPr>
            <w:tcW w:type="dxa" w:w="3240"/>
          </w:tcPr>
          <w:p>
            <w:pPr>
              <w:spacing w:after="20"/>
              <w:jc w:val="right"/>
            </w:pPr>
            <w:r>
              <w:rPr>
                <w:color w:val="1C3A36"/>
                <w:sz w:val="17"/>
              </w:rPr>
              <w:t>own regression; details below</w:t>
            </w:r>
          </w:p>
        </w:tc>
      </w:tr>
      <w:tr>
        <w:tc>
          <w:tcPr>
            <w:tcW w:type="dxa" w:w="4752"/>
          </w:tcPr>
          <w:p>
            <w:pPr>
              <w:spacing w:after="20"/>
            </w:pPr>
            <w:r>
              <w:rPr>
                <w:color w:val="1C3A36"/>
                <w:sz w:val="17"/>
              </w:rPr>
              <w:t>Equity risk premium (UAE total, rating basis)</w:t>
            </w:r>
          </w:p>
        </w:tc>
        <w:tc>
          <w:tcPr>
            <w:tcW w:type="dxa" w:w="1584"/>
          </w:tcPr>
          <w:p>
            <w:pPr>
              <w:spacing w:after="20"/>
              <w:jc w:val="right"/>
            </w:pPr>
            <w:r>
              <w:rPr>
                <w:color w:val="1C3A36"/>
                <w:sz w:val="17"/>
              </w:rPr>
              <w:t>4.87%</w:t>
            </w:r>
          </w:p>
        </w:tc>
        <w:tc>
          <w:tcPr>
            <w:tcW w:type="dxa" w:w="3240"/>
          </w:tcPr>
          <w:p>
            <w:pPr>
              <w:spacing w:after="20"/>
              <w:jc w:val="right"/>
            </w:pPr>
            <w:r>
              <w:rPr>
                <w:color w:val="1C3A36"/>
                <w:sz w:val="17"/>
              </w:rPr>
              <w:t>Damodaran, mature 4.23% + country 0.64%</w:t>
            </w:r>
          </w:p>
        </w:tc>
      </w:tr>
      <w:tr>
        <w:tc>
          <w:tcPr>
            <w:tcW w:type="dxa" w:w="4752"/>
            <w:shd w:val="clear" w:color="auto" w:fill="F6F1E6"/>
          </w:tcPr>
          <w:p>
            <w:pPr>
              <w:spacing w:after="20"/>
            </w:pPr>
            <w:r>
              <w:rPr>
                <w:b/>
                <w:color w:val="1C3A36"/>
                <w:sz w:val="17"/>
              </w:rPr>
              <w:t>Cost of equity</w:t>
            </w:r>
          </w:p>
        </w:tc>
        <w:tc>
          <w:tcPr>
            <w:tcW w:type="dxa" w:w="1584"/>
            <w:shd w:val="clear" w:color="auto" w:fill="F6F1E6"/>
          </w:tcPr>
          <w:p>
            <w:pPr>
              <w:spacing w:after="20"/>
              <w:jc w:val="right"/>
            </w:pPr>
            <w:r>
              <w:rPr>
                <w:b/>
                <w:color w:val="1C3A36"/>
                <w:sz w:val="17"/>
              </w:rPr>
              <w:t>6.36%</w:t>
            </w:r>
          </w:p>
        </w:tc>
        <w:tc>
          <w:tcPr>
            <w:tcW w:type="dxa" w:w="3240"/>
            <w:shd w:val="clear" w:color="auto" w:fill="F6F1E6"/>
          </w:tcPr>
          <w:p>
            <w:pPr>
              <w:spacing w:after="20"/>
              <w:jc w:val="right"/>
            </w:pPr>
            <w:r>
              <w:rPr>
                <w:b/>
                <w:color w:val="1C3A36"/>
                <w:sz w:val="17"/>
              </w:rPr>
              <w:t>build, not assumption</w:t>
            </w:r>
          </w:p>
        </w:tc>
      </w:tr>
      <w:tr>
        <w:tc>
          <w:tcPr>
            <w:tcW w:type="dxa" w:w="4752"/>
          </w:tcPr>
          <w:p>
            <w:pPr>
              <w:spacing w:after="20"/>
            </w:pPr>
            <w:r>
              <w:rPr>
                <w:color w:val="1C3A36"/>
                <w:sz w:val="17"/>
              </w:rPr>
              <w:t>Marginal cost of debt (AED sovereign + GCC telecom spread)</w:t>
            </w:r>
          </w:p>
        </w:tc>
        <w:tc>
          <w:tcPr>
            <w:tcW w:type="dxa" w:w="1584"/>
          </w:tcPr>
          <w:p>
            <w:pPr>
              <w:spacing w:after="20"/>
              <w:jc w:val="right"/>
            </w:pPr>
            <w:r>
              <w:rPr>
                <w:color w:val="1C3A36"/>
                <w:sz w:val="17"/>
              </w:rPr>
              <w:t>5.10%</w:t>
            </w:r>
          </w:p>
        </w:tc>
        <w:tc>
          <w:tcPr>
            <w:tcW w:type="dxa" w:w="3240"/>
          </w:tcPr>
          <w:p>
            <w:pPr>
              <w:spacing w:after="20"/>
              <w:jc w:val="right"/>
            </w:pPr>
            <w:r>
              <w:rPr>
                <w:color w:val="1C3A36"/>
                <w:sz w:val="17"/>
              </w:rPr>
              <w:t>stc sukuk curve evidence; du has no debt</w:t>
            </w:r>
          </w:p>
        </w:tc>
      </w:tr>
      <w:tr>
        <w:tc>
          <w:tcPr>
            <w:tcW w:type="dxa" w:w="4752"/>
          </w:tcPr>
          <w:p>
            <w:pPr>
              <w:spacing w:after="20"/>
            </w:pPr>
            <w:r>
              <w:rPr>
                <w:color w:val="1C3A36"/>
                <w:sz w:val="17"/>
              </w:rPr>
              <w:t>Weights — market equity / lease debt</w:t>
            </w:r>
          </w:p>
        </w:tc>
        <w:tc>
          <w:tcPr>
            <w:tcW w:type="dxa" w:w="1584"/>
          </w:tcPr>
          <w:p>
            <w:pPr>
              <w:spacing w:after="20"/>
              <w:jc w:val="right"/>
            </w:pPr>
            <w:r>
              <w:rPr>
                <w:color w:val="1C3A36"/>
                <w:sz w:val="17"/>
              </w:rPr>
              <w:t>96.6% / 3.4%</w:t>
            </w:r>
          </w:p>
        </w:tc>
        <w:tc>
          <w:tcPr>
            <w:tcW w:type="dxa" w:w="3240"/>
          </w:tcPr>
          <w:p>
            <w:pPr>
              <w:spacing w:after="20"/>
              <w:jc w:val="right"/>
            </w:pPr>
            <w:r>
              <w:rPr>
                <w:color w:val="1C3A36"/>
                <w:sz w:val="17"/>
              </w:rPr>
              <w:t>market capitalisation vs the audited lease book</w:t>
            </w:r>
          </w:p>
        </w:tc>
      </w:tr>
      <w:tr>
        <w:tc>
          <w:tcPr>
            <w:tcW w:type="dxa" w:w="4752"/>
            <w:shd w:val="clear" w:color="auto" w:fill="F6F1E6"/>
          </w:tcPr>
          <w:p>
            <w:pPr>
              <w:spacing w:after="20"/>
            </w:pPr>
            <w:r>
              <w:rPr>
                <w:b/>
                <w:color w:val="1C3A36"/>
                <w:sz w:val="17"/>
              </w:rPr>
              <w:t>Cost of capital — explicit window</w:t>
            </w:r>
          </w:p>
        </w:tc>
        <w:tc>
          <w:tcPr>
            <w:tcW w:type="dxa" w:w="1584"/>
            <w:shd w:val="clear" w:color="auto" w:fill="F6F1E6"/>
          </w:tcPr>
          <w:p>
            <w:pPr>
              <w:spacing w:after="20"/>
              <w:jc w:val="right"/>
            </w:pPr>
            <w:r>
              <w:rPr>
                <w:b/>
                <w:color w:val="1C3A36"/>
                <w:sz w:val="17"/>
              </w:rPr>
              <w:t>6.24%</w:t>
            </w:r>
          </w:p>
        </w:tc>
        <w:tc>
          <w:tcPr>
            <w:tcW w:type="dxa" w:w="3240"/>
            <w:shd w:val="clear" w:color="auto" w:fill="F6F1E6"/>
          </w:tcPr>
          <w:p>
            <w:pPr>
              <w:spacing w:after="20"/>
              <w:jc w:val="right"/>
            </w:pPr>
            <w:r>
              <w:rPr>
                <w:b/>
                <w:color w:val="1C3A36"/>
                <w:sz w:val="17"/>
              </w:rPr>
            </w:r>
          </w:p>
        </w:tc>
      </w:tr>
      <w:tr>
        <w:tc>
          <w:tcPr>
            <w:tcW w:type="dxa" w:w="4752"/>
            <w:shd w:val="clear" w:color="auto" w:fill="F6F1E6"/>
          </w:tcPr>
          <w:p>
            <w:pPr>
              <w:spacing w:after="20"/>
            </w:pPr>
            <w:r>
              <w:rPr>
                <w:b/>
                <w:color w:val="1C3A36"/>
                <w:sz w:val="17"/>
              </w:rPr>
              <w:t>Cost of capital — terminal</w:t>
            </w:r>
          </w:p>
        </w:tc>
        <w:tc>
          <w:tcPr>
            <w:tcW w:type="dxa" w:w="1584"/>
            <w:shd w:val="clear" w:color="auto" w:fill="F6F1E6"/>
          </w:tcPr>
          <w:p>
            <w:pPr>
              <w:spacing w:after="20"/>
              <w:jc w:val="right"/>
            </w:pPr>
            <w:r>
              <w:rPr>
                <w:b/>
                <w:color w:val="1C3A36"/>
                <w:sz w:val="17"/>
              </w:rPr>
              <w:t>6.01%</w:t>
            </w:r>
          </w:p>
        </w:tc>
        <w:tc>
          <w:tcPr>
            <w:tcW w:type="dxa" w:w="3240"/>
            <w:shd w:val="clear" w:color="auto" w:fill="F6F1E6"/>
          </w:tcPr>
          <w:p>
            <w:pPr>
              <w:spacing w:after="20"/>
              <w:jc w:val="right"/>
            </w:pPr>
            <w:r>
              <w:rPr>
                <w:b/>
                <w:color w:val="1C3A36"/>
                <w:sz w:val="17"/>
              </w:rPr>
              <w:t>terminal risk-free 4.30%, debt weight 5%</w:t>
            </w:r>
          </w:p>
        </w:tc>
      </w:tr>
    </w:tbl>
    <w:p>
      <w:pPr>
        <w:spacing w:after="40"/>
      </w:pPr>
    </w:p>
    <w:p>
      <w:pPr>
        <w:spacing w:after="200" w:before="0"/>
      </w:pPr>
      <w:r>
        <w:rPr>
          <w:b w:val="0"/>
          <w:i/>
          <w:color w:val="6E7B77"/>
          <w:sz w:val="17"/>
        </w:rPr>
        <w:t>Table 6 — the cost of capital, built from sourced parts. The sovereign spread is stripped from the risk-free rate because the equity premium already carries the country premium — counting it twice is the classic error this construction exists to avoid. On the second premium basis (market-spread, with the live implied US premium), the same build gives 6.43% cost of equity and 6.31% cost of capital — both bases are published.</w:t>
      </w:r>
    </w:p>
    <w:p>
      <w:pPr>
        <w:spacing w:after="80" w:before="200"/>
      </w:pPr>
      <w:r>
        <w:rPr>
          <w:b/>
          <w:i w:val="0"/>
          <w:color w:val="1C3A36"/>
          <w:sz w:val="24"/>
        </w:rPr>
        <w:t>The beta — measured, gated, and honestly low</w:t>
      </w:r>
    </w:p>
    <w:p>
      <w:pPr>
        <w:spacing w:after="120" w:before="0"/>
      </w:pPr>
      <w:r>
        <w:rPr>
          <w:b w:val="0"/>
          <w:i w:val="0"/>
          <w:color w:val="1C3A36"/>
          <w:sz w:val="21"/>
        </w:rPr>
        <w:t>du's beta is measured, not assumed: weekly log-returns against its OWN index (the DFM General), five years, 259 observations: beta 0.472, R² 0.20, standard error 0.058, 90% confidence interval 0.38 to 0.57. The regression passes the usability gate (enough observations, explanatory power, an error smaller than the estimate), and an equal-weight composite of the market's own large names cross-checks it at 0.394. A defensive, negative-net-debt utility-like telecom measuring below 0.5 on its own index is economically coherent — and it is also the single assumption doing the most work in this study, because at these weights the cost of capital is essentially the cost of equity. Betas of 0.57 (the interval's top), 0.65 and 0.80 are priced in section 1.9: the last takes the DCF from AED 17.30 to AED 12.30. The market, at 19.2× earnings, is implicitly charging a HIGHER required return than this regression produces; section 4 prices that disagreement rather than dismissing it.</w:t>
      </w:r>
    </w:p>
    <w:p>
      <w:pPr>
        <w:spacing w:after="80" w:before="200"/>
      </w:pPr>
      <w:r>
        <w:rPr>
          <w:b/>
          <w:i w:val="0"/>
          <w:color w:val="1C3A36"/>
          <w:sz w:val="24"/>
        </w:rPr>
        <w:t>Where this construction is contested, and what the alternatives are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368"/>
        <w:gridCol w:w="1512"/>
        <w:gridCol w:w="2520"/>
      </w:tblGrid>
      <w:tr>
        <w:tc>
          <w:tcPr>
            <w:tcW w:type="dxa" w:w="4176"/>
            <w:shd w:val="clear" w:color="auto" w:fill="EAF0EE"/>
          </w:tcPr>
          <w:p>
            <w:pPr>
              <w:spacing w:after="20"/>
            </w:pPr>
            <w:r>
              <w:rPr>
                <w:b/>
                <w:color w:val="1C3A36"/>
                <w:sz w:val="17"/>
              </w:rPr>
              <w:t>Contested construction</w:t>
            </w:r>
          </w:p>
        </w:tc>
        <w:tc>
          <w:tcPr>
            <w:tcW w:type="dxa" w:w="1368"/>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Alternative</w:t>
            </w:r>
          </w:p>
        </w:tc>
        <w:tc>
          <w:tcPr>
            <w:tcW w:type="dxa" w:w="2520"/>
            <w:shd w:val="clear" w:color="auto" w:fill="EAF0EE"/>
          </w:tcPr>
          <w:p>
            <w:pPr>
              <w:spacing w:after="20"/>
            </w:pPr>
            <w:r>
              <w:rPr>
                <w:b/>
                <w:color w:val="1C3A36"/>
                <w:sz w:val="17"/>
              </w:rPr>
              <w:t>Worth (AED/share)</w:t>
            </w:r>
          </w:p>
        </w:tc>
      </w:tr>
      <w:tr>
        <w:tc>
          <w:tcPr>
            <w:tcW w:type="dxa" w:w="4176"/>
          </w:tcPr>
          <w:p>
            <w:pPr>
              <w:spacing w:after="20"/>
            </w:pPr>
            <w:r>
              <w:rPr>
                <w:color w:val="1C3A36"/>
                <w:sz w:val="17"/>
              </w:rPr>
              <w:t>Risk-free tenor: Jan-2031 AED print vs 10y peg-extrapolated proxy</w:t>
            </w:r>
          </w:p>
        </w:tc>
        <w:tc>
          <w:tcPr>
            <w:tcW w:type="dxa" w:w="1368"/>
          </w:tcPr>
          <w:p>
            <w:pPr>
              <w:spacing w:after="20"/>
              <w:jc w:val="right"/>
            </w:pPr>
            <w:r>
              <w:rPr>
                <w:color w:val="1C3A36"/>
                <w:sz w:val="17"/>
              </w:rPr>
              <w:t>4.48%</w:t>
            </w:r>
          </w:p>
        </w:tc>
        <w:tc>
          <w:tcPr>
            <w:tcW w:type="dxa" w:w="1512"/>
          </w:tcPr>
          <w:p>
            <w:pPr>
              <w:spacing w:after="20"/>
              <w:jc w:val="right"/>
            </w:pPr>
            <w:r>
              <w:rPr>
                <w:color w:val="1C3A36"/>
                <w:sz w:val="17"/>
              </w:rPr>
              <w:t>4.69%</w:t>
            </w:r>
          </w:p>
        </w:tc>
        <w:tc>
          <w:tcPr>
            <w:tcW w:type="dxa" w:w="2520"/>
          </w:tcPr>
          <w:p>
            <w:pPr>
              <w:spacing w:after="20"/>
              <w:jc w:val="right"/>
            </w:pPr>
            <w:r>
              <w:rPr>
                <w:color w:val="1C3A36"/>
                <w:sz w:val="17"/>
              </w:rPr>
              <w:t>18.09 vs 19.14 (-1.05)</w:t>
            </w:r>
          </w:p>
        </w:tc>
      </w:tr>
      <w:tr>
        <w:tc>
          <w:tcPr>
            <w:tcW w:type="dxa" w:w="4176"/>
          </w:tcPr>
          <w:p>
            <w:pPr>
              <w:spacing w:after="20"/>
            </w:pPr>
            <w:r>
              <w:rPr>
                <w:color w:val="1C3A36"/>
                <w:sz w:val="17"/>
              </w:rPr>
              <w:t>Equity premium basis: rating vs market-spread</w:t>
            </w:r>
          </w:p>
        </w:tc>
        <w:tc>
          <w:tcPr>
            <w:tcW w:type="dxa" w:w="1368"/>
          </w:tcPr>
          <w:p>
            <w:pPr>
              <w:spacing w:after="20"/>
              <w:jc w:val="right"/>
            </w:pPr>
            <w:r>
              <w:rPr>
                <w:color w:val="1C3A36"/>
                <w:sz w:val="17"/>
              </w:rPr>
              <w:t>4.87%</w:t>
            </w:r>
          </w:p>
        </w:tc>
        <w:tc>
          <w:tcPr>
            <w:tcW w:type="dxa" w:w="1512"/>
          </w:tcPr>
          <w:p>
            <w:pPr>
              <w:spacing w:after="20"/>
              <w:jc w:val="right"/>
            </w:pPr>
            <w:r>
              <w:rPr>
                <w:color w:val="1C3A36"/>
                <w:sz w:val="17"/>
              </w:rPr>
              <w:t>4.66%</w:t>
            </w:r>
          </w:p>
        </w:tc>
        <w:tc>
          <w:tcPr>
            <w:tcW w:type="dxa" w:w="2520"/>
          </w:tcPr>
          <w:p>
            <w:pPr>
              <w:spacing w:after="20"/>
              <w:jc w:val="right"/>
            </w:pPr>
            <w:r>
              <w:rPr>
                <w:color w:val="1C3A36"/>
                <w:sz w:val="17"/>
              </w:rPr>
              <w:t>cost of capital 6.24% vs 6.31%</w:t>
            </w:r>
          </w:p>
        </w:tc>
      </w:tr>
      <w:tr>
        <w:tc>
          <w:tcPr>
            <w:tcW w:type="dxa" w:w="4176"/>
          </w:tcPr>
          <w:p>
            <w:pPr>
              <w:spacing w:after="20"/>
            </w:pPr>
            <w:r>
              <w:rPr>
                <w:color w:val="1C3A36"/>
                <w:sz w:val="17"/>
              </w:rPr>
              <w:t>Beta: regression vs the sector-implied prior</w:t>
            </w:r>
          </w:p>
        </w:tc>
        <w:tc>
          <w:tcPr>
            <w:tcW w:type="dxa" w:w="1368"/>
          </w:tcPr>
          <w:p>
            <w:pPr>
              <w:spacing w:after="20"/>
              <w:jc w:val="right"/>
            </w:pPr>
            <w:r>
              <w:rPr>
                <w:color w:val="1C3A36"/>
                <w:sz w:val="17"/>
              </w:rPr>
              <w:t>0.472</w:t>
            </w:r>
          </w:p>
        </w:tc>
        <w:tc>
          <w:tcPr>
            <w:tcW w:type="dxa" w:w="1512"/>
          </w:tcPr>
          <w:p>
            <w:pPr>
              <w:spacing w:after="20"/>
              <w:jc w:val="right"/>
            </w:pPr>
            <w:r>
              <w:rPr>
                <w:color w:val="1C3A36"/>
                <w:sz w:val="17"/>
              </w:rPr>
              <w:t>0.80</w:t>
            </w:r>
          </w:p>
        </w:tc>
        <w:tc>
          <w:tcPr>
            <w:tcW w:type="dxa" w:w="2520"/>
          </w:tcPr>
          <w:p>
            <w:pPr>
              <w:spacing w:after="20"/>
              <w:jc w:val="right"/>
            </w:pPr>
            <w:r>
              <w:rPr>
                <w:color w:val="1C3A36"/>
                <w:sz w:val="17"/>
              </w:rPr>
              <w:t>17.30 vs 12.30</w:t>
            </w:r>
          </w:p>
        </w:tc>
      </w:tr>
      <w:tr>
        <w:tc>
          <w:tcPr>
            <w:tcW w:type="dxa" w:w="4176"/>
          </w:tcPr>
          <w:p>
            <w:pPr>
              <w:spacing w:after="20"/>
            </w:pPr>
            <w:r>
              <w:rPr>
                <w:color w:val="1C3A36"/>
                <w:sz w:val="17"/>
              </w:rPr>
              <w:t>Fiscal regime: Framing A vs Framing B</w:t>
            </w:r>
          </w:p>
        </w:tc>
        <w:tc>
          <w:tcPr>
            <w:tcW w:type="dxa" w:w="1368"/>
          </w:tcPr>
          <w:p>
            <w:pPr>
              <w:spacing w:after="20"/>
              <w:jc w:val="right"/>
            </w:pPr>
            <w:r>
              <w:rPr>
                <w:color w:val="1C3A36"/>
                <w:sz w:val="17"/>
              </w:rPr>
              <w:t>43.6%</w:t>
            </w:r>
          </w:p>
        </w:tc>
        <w:tc>
          <w:tcPr>
            <w:tcW w:type="dxa" w:w="1512"/>
          </w:tcPr>
          <w:p>
            <w:pPr>
              <w:spacing w:after="20"/>
              <w:jc w:val="right"/>
            </w:pPr>
            <w:r>
              <w:rPr>
                <w:color w:val="1C3A36"/>
                <w:sz w:val="17"/>
              </w:rPr>
              <w:t>51.5%</w:t>
            </w:r>
          </w:p>
        </w:tc>
        <w:tc>
          <w:tcPr>
            <w:tcW w:type="dxa" w:w="2520"/>
          </w:tcPr>
          <w:p>
            <w:pPr>
              <w:spacing w:after="20"/>
              <w:jc w:val="right"/>
            </w:pPr>
            <w:r>
              <w:rPr>
                <w:color w:val="1C3A36"/>
                <w:sz w:val="17"/>
              </w:rPr>
              <w:t>19.14 vs 16.29</w:t>
            </w:r>
          </w:p>
        </w:tc>
      </w:tr>
    </w:tbl>
    <w:p>
      <w:pPr>
        <w:spacing w:after="40"/>
      </w:pPr>
    </w:p>
    <w:p>
      <w:pPr>
        <w:spacing w:after="200" w:before="0"/>
      </w:pPr>
      <w:r>
        <w:rPr>
          <w:b w:val="0"/>
          <w:i/>
          <w:color w:val="6E7B77"/>
          <w:sz w:val="17"/>
        </w:rPr>
        <w:t>Table 7 — every contested construction priced, not just named. The retired error is also preserved for the audit trail: an UN-netted risk-free rate would have given a 6.78% cost of equity — the sovereign-risk double-count this method exists to prevent.</w:t>
      </w:r>
    </w:p>
    <w:p>
      <w:pPr>
        <w:spacing w:after="80" w:before="200"/>
      </w:pPr>
      <w:r>
        <w:rPr>
          <w:b/>
          <w:i w:val="0"/>
          <w:color w:val="1C3A36"/>
          <w:sz w:val="24"/>
        </w:rPr>
        <w:t>1.9  Sensitivity — the discount rate, the growth, the regime and the war</w:t>
      </w:r>
    </w:p>
    <w:p>
      <w:pPr>
        <w:spacing w:after="40"/>
        <w:jc w:val="center"/>
      </w:pPr>
      <w:r>
        <w:drawing>
          <wp:inline xmlns:a="http://schemas.openxmlformats.org/drawingml/2006/main" xmlns:pic="http://schemas.openxmlformats.org/drawingml/2006/picture">
            <wp:extent cx="6035040" cy="2902931"/>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2902931"/>
                    </a:xfrm>
                    <a:prstGeom prst="rect"/>
                  </pic:spPr>
                </pic:pic>
              </a:graphicData>
            </a:graphic>
          </wp:inline>
        </w:drawing>
      </w:r>
    </w:p>
    <w:p>
      <w:pPr>
        <w:spacing w:after="200" w:before="0"/>
      </w:pPr>
      <w:r>
        <w:rPr>
          <w:b w:val="0"/>
          <w:i/>
          <w:color w:val="6E7B77"/>
          <w:sz w:val="17"/>
        </w:rPr>
        <w:t>Figure 3 — DCF fair value against the terminal cost of capital and terminal growth. Bold cells sit within about 80 fils of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1008"/>
        <w:gridCol w:w="1008"/>
        <w:gridCol w:w="1008"/>
        <w:gridCol w:w="1008"/>
        <w:gridCol w:w="1008"/>
      </w:tblGrid>
      <w:tr>
        <w:tc>
          <w:tcPr>
            <w:tcW w:type="dxa" w:w="3744"/>
            <w:shd w:val="clear" w:color="auto" w:fill="EAF0EE"/>
          </w:tcPr>
          <w:p>
            <w:pPr>
              <w:spacing w:after="20"/>
            </w:pPr>
            <w:r>
              <w:rPr>
                <w:b/>
                <w:color w:val="1C3A36"/>
                <w:sz w:val="16"/>
              </w:rPr>
              <w:t>Driver (grid)</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base</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swing</w:t>
            </w:r>
          </w:p>
        </w:tc>
      </w:tr>
      <w:tr>
        <w:tc>
          <w:tcPr>
            <w:tcW w:type="dxa" w:w="3744"/>
          </w:tcPr>
          <w:p>
            <w:pPr>
              <w:spacing w:after="20"/>
            </w:pPr>
            <w:r>
              <w:rPr>
                <w:color w:val="1C3A36"/>
                <w:sz w:val="16"/>
              </w:rPr>
              <w:t>Beta  (0.38 / 0.47 / 0.57 / 0.65 / 0.80)</w:t>
            </w:r>
          </w:p>
        </w:tc>
        <w:tc>
          <w:tcPr>
            <w:tcW w:type="dxa" w:w="1008"/>
          </w:tcPr>
          <w:p>
            <w:pPr>
              <w:spacing w:after="20"/>
              <w:jc w:val="right"/>
            </w:pPr>
            <w:r>
              <w:rPr>
                <w:color w:val="1C3A36"/>
                <w:sz w:val="16"/>
              </w:rPr>
              <w:t>19.48</w:t>
            </w:r>
          </w:p>
        </w:tc>
        <w:tc>
          <w:tcPr>
            <w:tcW w:type="dxa" w:w="1008"/>
          </w:tcPr>
          <w:p>
            <w:pPr>
              <w:spacing w:after="20"/>
              <w:jc w:val="right"/>
            </w:pPr>
            <w:r>
              <w:rPr>
                <w:color w:val="1C3A36"/>
                <w:sz w:val="16"/>
              </w:rPr>
              <w:t>17.30</w:t>
            </w:r>
          </w:p>
        </w:tc>
        <w:tc>
          <w:tcPr>
            <w:tcW w:type="dxa" w:w="1008"/>
          </w:tcPr>
          <w:p>
            <w:pPr>
              <w:spacing w:after="20"/>
              <w:jc w:val="right"/>
            </w:pPr>
            <w:r>
              <w:rPr>
                <w:color w:val="1C3A36"/>
                <w:sz w:val="16"/>
              </w:rPr>
              <w:t>15.44</w:t>
            </w:r>
          </w:p>
        </w:tc>
        <w:tc>
          <w:tcPr>
            <w:tcW w:type="dxa" w:w="1008"/>
          </w:tcPr>
          <w:p>
            <w:pPr>
              <w:spacing w:after="20"/>
              <w:jc w:val="right"/>
            </w:pPr>
            <w:r>
              <w:rPr>
                <w:color w:val="1C3A36"/>
                <w:sz w:val="16"/>
              </w:rPr>
              <w:t>14.19</w:t>
            </w:r>
          </w:p>
        </w:tc>
        <w:tc>
          <w:tcPr>
            <w:tcW w:type="dxa" w:w="1008"/>
          </w:tcPr>
          <w:p>
            <w:pPr>
              <w:spacing w:after="20"/>
              <w:jc w:val="right"/>
            </w:pPr>
            <w:r>
              <w:rPr>
                <w:color w:val="1C3A36"/>
                <w:sz w:val="16"/>
              </w:rPr>
              <w:t>12.30</w:t>
            </w:r>
          </w:p>
        </w:tc>
        <w:tc>
          <w:tcPr>
            <w:tcW w:type="dxa" w:w="1008"/>
          </w:tcPr>
          <w:p>
            <w:pPr>
              <w:spacing w:after="20"/>
              <w:jc w:val="right"/>
            </w:pPr>
            <w:r>
              <w:rPr>
                <w:color w:val="1C3A36"/>
                <w:sz w:val="16"/>
              </w:rPr>
              <w:t>7.18</w:t>
            </w:r>
          </w:p>
        </w:tc>
      </w:tr>
      <w:tr>
        <w:tc>
          <w:tcPr>
            <w:tcW w:type="dxa" w:w="3744"/>
          </w:tcPr>
          <w:p>
            <w:pPr>
              <w:spacing w:after="20"/>
            </w:pPr>
            <w:r>
              <w:rPr>
                <w:color w:val="1C3A36"/>
                <w:sz w:val="16"/>
              </w:rPr>
              <w:t>Combined fiscal take  (40% / 44% / 47% / 50% / 53%)</w:t>
            </w:r>
          </w:p>
        </w:tc>
        <w:tc>
          <w:tcPr>
            <w:tcW w:type="dxa" w:w="1008"/>
          </w:tcPr>
          <w:p>
            <w:pPr>
              <w:spacing w:after="20"/>
              <w:jc w:val="right"/>
            </w:pPr>
            <w:r>
              <w:rPr>
                <w:color w:val="1C3A36"/>
                <w:sz w:val="16"/>
              </w:rPr>
              <w:t>20.51</w:t>
            </w:r>
          </w:p>
        </w:tc>
        <w:tc>
          <w:tcPr>
            <w:tcW w:type="dxa" w:w="1008"/>
          </w:tcPr>
          <w:p>
            <w:pPr>
              <w:spacing w:after="20"/>
              <w:jc w:val="right"/>
            </w:pPr>
            <w:r>
              <w:rPr>
                <w:color w:val="1C3A36"/>
                <w:sz w:val="16"/>
              </w:rPr>
              <w:t>19.14</w:t>
            </w:r>
          </w:p>
        </w:tc>
        <w:tc>
          <w:tcPr>
            <w:tcW w:type="dxa" w:w="1008"/>
          </w:tcPr>
          <w:p>
            <w:pPr>
              <w:spacing w:after="20"/>
              <w:jc w:val="right"/>
            </w:pPr>
            <w:r>
              <w:rPr>
                <w:color w:val="1C3A36"/>
                <w:sz w:val="16"/>
              </w:rPr>
              <w:t>17.83</w:t>
            </w:r>
          </w:p>
        </w:tc>
        <w:tc>
          <w:tcPr>
            <w:tcW w:type="dxa" w:w="1008"/>
          </w:tcPr>
          <w:p>
            <w:pPr>
              <w:spacing w:after="20"/>
              <w:jc w:val="right"/>
            </w:pPr>
            <w:r>
              <w:rPr>
                <w:color w:val="1C3A36"/>
                <w:sz w:val="16"/>
              </w:rPr>
              <w:t>16.68</w:t>
            </w:r>
          </w:p>
        </w:tc>
        <w:tc>
          <w:tcPr>
            <w:tcW w:type="dxa" w:w="1008"/>
          </w:tcPr>
          <w:p>
            <w:pPr>
              <w:spacing w:after="20"/>
              <w:jc w:val="right"/>
            </w:pPr>
            <w:r>
              <w:rPr>
                <w:color w:val="1C3A36"/>
                <w:sz w:val="16"/>
              </w:rPr>
              <w:t>15.49</w:t>
            </w:r>
          </w:p>
        </w:tc>
        <w:tc>
          <w:tcPr>
            <w:tcW w:type="dxa" w:w="1008"/>
          </w:tcPr>
          <w:p>
            <w:pPr>
              <w:spacing w:after="20"/>
              <w:jc w:val="right"/>
            </w:pPr>
            <w:r>
              <w:rPr>
                <w:color w:val="1C3A36"/>
                <w:sz w:val="16"/>
              </w:rPr>
              <w:t>5.02</w:t>
            </w:r>
          </w:p>
        </w:tc>
      </w:tr>
      <w:tr>
        <w:tc>
          <w:tcPr>
            <w:tcW w:type="dxa" w:w="3744"/>
          </w:tcPr>
          <w:p>
            <w:pPr>
              <w:spacing w:after="20"/>
            </w:pPr>
            <w:r>
              <w:rPr>
                <w:color w:val="1C3A36"/>
                <w:sz w:val="16"/>
              </w:rPr>
              <w:t>Blended ARPU (×)  (0.92 / 0.96 / 1.00 / 1.04 / 1.08)</w:t>
            </w:r>
          </w:p>
        </w:tc>
        <w:tc>
          <w:tcPr>
            <w:tcW w:type="dxa" w:w="1008"/>
          </w:tcPr>
          <w:p>
            <w:pPr>
              <w:spacing w:after="20"/>
              <w:jc w:val="right"/>
            </w:pPr>
            <w:r>
              <w:rPr>
                <w:color w:val="1C3A36"/>
                <w:sz w:val="16"/>
              </w:rPr>
              <w:t>17.15</w:t>
            </w:r>
          </w:p>
        </w:tc>
        <w:tc>
          <w:tcPr>
            <w:tcW w:type="dxa" w:w="1008"/>
          </w:tcPr>
          <w:p>
            <w:pPr>
              <w:spacing w:after="20"/>
              <w:jc w:val="right"/>
            </w:pPr>
            <w:r>
              <w:rPr>
                <w:color w:val="1C3A36"/>
                <w:sz w:val="16"/>
              </w:rPr>
              <w:t>18.14</w:t>
            </w:r>
          </w:p>
        </w:tc>
        <w:tc>
          <w:tcPr>
            <w:tcW w:type="dxa" w:w="1008"/>
          </w:tcPr>
          <w:p>
            <w:pPr>
              <w:spacing w:after="20"/>
              <w:jc w:val="right"/>
            </w:pPr>
            <w:r>
              <w:rPr>
                <w:color w:val="1C3A36"/>
                <w:sz w:val="16"/>
              </w:rPr>
              <w:t>19.14</w:t>
            </w:r>
          </w:p>
        </w:tc>
        <w:tc>
          <w:tcPr>
            <w:tcW w:type="dxa" w:w="1008"/>
          </w:tcPr>
          <w:p>
            <w:pPr>
              <w:spacing w:after="20"/>
              <w:jc w:val="right"/>
            </w:pPr>
            <w:r>
              <w:rPr>
                <w:color w:val="1C3A36"/>
                <w:sz w:val="16"/>
              </w:rPr>
              <w:t>20.14</w:t>
            </w:r>
          </w:p>
        </w:tc>
        <w:tc>
          <w:tcPr>
            <w:tcW w:type="dxa" w:w="1008"/>
          </w:tcPr>
          <w:p>
            <w:pPr>
              <w:spacing w:after="20"/>
              <w:jc w:val="right"/>
            </w:pPr>
            <w:r>
              <w:rPr>
                <w:color w:val="1C3A36"/>
                <w:sz w:val="16"/>
              </w:rPr>
              <w:t>21.14</w:t>
            </w:r>
          </w:p>
        </w:tc>
        <w:tc>
          <w:tcPr>
            <w:tcW w:type="dxa" w:w="1008"/>
          </w:tcPr>
          <w:p>
            <w:pPr>
              <w:spacing w:after="20"/>
              <w:jc w:val="right"/>
            </w:pPr>
            <w:r>
              <w:rPr>
                <w:color w:val="1C3A36"/>
                <w:sz w:val="16"/>
              </w:rPr>
              <w:t>3.99</w:t>
            </w:r>
          </w:p>
        </w:tc>
      </w:tr>
      <w:tr>
        <w:tc>
          <w:tcPr>
            <w:tcW w:type="dxa" w:w="3744"/>
          </w:tcPr>
          <w:p>
            <w:pPr>
              <w:spacing w:after="20"/>
            </w:pPr>
            <w:r>
              <w:rPr>
                <w:color w:val="1C3A36"/>
                <w:sz w:val="16"/>
              </w:rPr>
              <w:t>Subscribers ('000, shift)  (-400 / -200 / +0 / +200 / +400)</w:t>
            </w:r>
          </w:p>
        </w:tc>
        <w:tc>
          <w:tcPr>
            <w:tcW w:type="dxa" w:w="1008"/>
          </w:tcPr>
          <w:p>
            <w:pPr>
              <w:spacing w:after="20"/>
              <w:jc w:val="right"/>
            </w:pPr>
            <w:r>
              <w:rPr>
                <w:color w:val="1C3A36"/>
                <w:sz w:val="16"/>
              </w:rPr>
              <w:t>18.19</w:t>
            </w:r>
          </w:p>
        </w:tc>
        <w:tc>
          <w:tcPr>
            <w:tcW w:type="dxa" w:w="1008"/>
          </w:tcPr>
          <w:p>
            <w:pPr>
              <w:spacing w:after="20"/>
              <w:jc w:val="right"/>
            </w:pPr>
            <w:r>
              <w:rPr>
                <w:color w:val="1C3A36"/>
                <w:sz w:val="16"/>
              </w:rPr>
              <w:t>18.67</w:t>
            </w:r>
          </w:p>
        </w:tc>
        <w:tc>
          <w:tcPr>
            <w:tcW w:type="dxa" w:w="1008"/>
          </w:tcPr>
          <w:p>
            <w:pPr>
              <w:spacing w:after="20"/>
              <w:jc w:val="right"/>
            </w:pPr>
            <w:r>
              <w:rPr>
                <w:color w:val="1C3A36"/>
                <w:sz w:val="16"/>
              </w:rPr>
              <w:t>19.14</w:t>
            </w:r>
          </w:p>
        </w:tc>
        <w:tc>
          <w:tcPr>
            <w:tcW w:type="dxa" w:w="1008"/>
          </w:tcPr>
          <w:p>
            <w:pPr>
              <w:spacing w:after="20"/>
              <w:jc w:val="right"/>
            </w:pPr>
            <w:r>
              <w:rPr>
                <w:color w:val="1C3A36"/>
                <w:sz w:val="16"/>
              </w:rPr>
              <w:t>19.62</w:t>
            </w:r>
          </w:p>
        </w:tc>
        <w:tc>
          <w:tcPr>
            <w:tcW w:type="dxa" w:w="1008"/>
          </w:tcPr>
          <w:p>
            <w:pPr>
              <w:spacing w:after="20"/>
              <w:jc w:val="right"/>
            </w:pPr>
            <w:r>
              <w:rPr>
                <w:color w:val="1C3A36"/>
                <w:sz w:val="16"/>
              </w:rPr>
              <w:t>20.09</w:t>
            </w:r>
          </w:p>
        </w:tc>
        <w:tc>
          <w:tcPr>
            <w:tcW w:type="dxa" w:w="1008"/>
          </w:tcPr>
          <w:p>
            <w:pPr>
              <w:spacing w:after="20"/>
              <w:jc w:val="right"/>
            </w:pPr>
            <w:r>
              <w:rPr>
                <w:color w:val="1C3A36"/>
                <w:sz w:val="16"/>
              </w:rPr>
              <w:t>1.90</w:t>
            </w:r>
          </w:p>
        </w:tc>
      </w:tr>
      <w:tr>
        <w:tc>
          <w:tcPr>
            <w:tcW w:type="dxa" w:w="3744"/>
          </w:tcPr>
          <w:p>
            <w:pPr>
              <w:spacing w:after="20"/>
            </w:pPr>
            <w:r>
              <w:rPr>
                <w:color w:val="1C3A36"/>
                <w:sz w:val="16"/>
              </w:rPr>
              <w:t>Contribution margins (×)  (0.94 / 0.97 / 1.00 / 1.03 / 1.06)</w:t>
            </w:r>
          </w:p>
        </w:tc>
        <w:tc>
          <w:tcPr>
            <w:tcW w:type="dxa" w:w="1008"/>
          </w:tcPr>
          <w:p>
            <w:pPr>
              <w:spacing w:after="20"/>
              <w:jc w:val="right"/>
            </w:pPr>
            <w:r>
              <w:rPr>
                <w:color w:val="1C3A36"/>
                <w:sz w:val="16"/>
              </w:rPr>
              <w:t>16.60</w:t>
            </w:r>
          </w:p>
        </w:tc>
        <w:tc>
          <w:tcPr>
            <w:tcW w:type="dxa" w:w="1008"/>
          </w:tcPr>
          <w:p>
            <w:pPr>
              <w:spacing w:after="20"/>
              <w:jc w:val="right"/>
            </w:pPr>
            <w:r>
              <w:rPr>
                <w:color w:val="1C3A36"/>
                <w:sz w:val="16"/>
              </w:rPr>
              <w:t>17.87</w:t>
            </w:r>
          </w:p>
        </w:tc>
        <w:tc>
          <w:tcPr>
            <w:tcW w:type="dxa" w:w="1008"/>
          </w:tcPr>
          <w:p>
            <w:pPr>
              <w:spacing w:after="20"/>
              <w:jc w:val="right"/>
            </w:pPr>
            <w:r>
              <w:rPr>
                <w:color w:val="1C3A36"/>
                <w:sz w:val="16"/>
              </w:rPr>
              <w:t>19.14</w:t>
            </w:r>
          </w:p>
        </w:tc>
        <w:tc>
          <w:tcPr>
            <w:tcW w:type="dxa" w:w="1008"/>
          </w:tcPr>
          <w:p>
            <w:pPr>
              <w:spacing w:after="20"/>
              <w:jc w:val="right"/>
            </w:pPr>
            <w:r>
              <w:rPr>
                <w:color w:val="1C3A36"/>
                <w:sz w:val="16"/>
              </w:rPr>
              <w:t>20.41</w:t>
            </w:r>
          </w:p>
        </w:tc>
        <w:tc>
          <w:tcPr>
            <w:tcW w:type="dxa" w:w="1008"/>
          </w:tcPr>
          <w:p>
            <w:pPr>
              <w:spacing w:after="20"/>
              <w:jc w:val="right"/>
            </w:pPr>
            <w:r>
              <w:rPr>
                <w:color w:val="1C3A36"/>
                <w:sz w:val="16"/>
              </w:rPr>
              <w:t>21.69</w:t>
            </w:r>
          </w:p>
        </w:tc>
        <w:tc>
          <w:tcPr>
            <w:tcW w:type="dxa" w:w="1008"/>
          </w:tcPr>
          <w:p>
            <w:pPr>
              <w:spacing w:after="20"/>
              <w:jc w:val="right"/>
            </w:pPr>
            <w:r>
              <w:rPr>
                <w:color w:val="1C3A36"/>
                <w:sz w:val="16"/>
              </w:rPr>
              <w:t>5.08</w:t>
            </w:r>
          </w:p>
        </w:tc>
      </w:tr>
      <w:tr>
        <w:tc>
          <w:tcPr>
            <w:tcW w:type="dxa" w:w="3744"/>
          </w:tcPr>
          <w:p>
            <w:pPr>
              <w:spacing w:after="20"/>
            </w:pPr>
            <w:r>
              <w:rPr>
                <w:color w:val="1C3A36"/>
                <w:sz w:val="16"/>
              </w:rPr>
              <w:t>Capex path (×)  (0.85 / 0.93 / 1.00 / 1.10 / 1.20)</w:t>
            </w:r>
          </w:p>
        </w:tc>
        <w:tc>
          <w:tcPr>
            <w:tcW w:type="dxa" w:w="1008"/>
          </w:tcPr>
          <w:p>
            <w:pPr>
              <w:spacing w:after="20"/>
              <w:jc w:val="right"/>
            </w:pPr>
            <w:r>
              <w:rPr>
                <w:color w:val="1C3A36"/>
                <w:sz w:val="16"/>
              </w:rPr>
              <w:t>20.21</w:t>
            </w:r>
          </w:p>
        </w:tc>
        <w:tc>
          <w:tcPr>
            <w:tcW w:type="dxa" w:w="1008"/>
          </w:tcPr>
          <w:p>
            <w:pPr>
              <w:spacing w:after="20"/>
              <w:jc w:val="right"/>
            </w:pPr>
            <w:r>
              <w:rPr>
                <w:color w:val="1C3A36"/>
                <w:sz w:val="16"/>
              </w:rPr>
              <w:t>19.68</w:t>
            </w:r>
          </w:p>
        </w:tc>
        <w:tc>
          <w:tcPr>
            <w:tcW w:type="dxa" w:w="1008"/>
          </w:tcPr>
          <w:p>
            <w:pPr>
              <w:spacing w:after="20"/>
              <w:jc w:val="right"/>
            </w:pPr>
            <w:r>
              <w:rPr>
                <w:color w:val="1C3A36"/>
                <w:sz w:val="16"/>
              </w:rPr>
              <w:t>19.14</w:t>
            </w:r>
          </w:p>
        </w:tc>
        <w:tc>
          <w:tcPr>
            <w:tcW w:type="dxa" w:w="1008"/>
          </w:tcPr>
          <w:p>
            <w:pPr>
              <w:spacing w:after="20"/>
              <w:jc w:val="right"/>
            </w:pPr>
            <w:r>
              <w:rPr>
                <w:color w:val="1C3A36"/>
                <w:sz w:val="16"/>
              </w:rPr>
              <w:t>18.43</w:t>
            </w:r>
          </w:p>
        </w:tc>
        <w:tc>
          <w:tcPr>
            <w:tcW w:type="dxa" w:w="1008"/>
          </w:tcPr>
          <w:p>
            <w:pPr>
              <w:spacing w:after="20"/>
              <w:jc w:val="right"/>
            </w:pPr>
            <w:r>
              <w:rPr>
                <w:color w:val="1C3A36"/>
                <w:sz w:val="16"/>
              </w:rPr>
              <w:t>17.72</w:t>
            </w:r>
          </w:p>
        </w:tc>
        <w:tc>
          <w:tcPr>
            <w:tcW w:type="dxa" w:w="1008"/>
          </w:tcPr>
          <w:p>
            <w:pPr>
              <w:spacing w:after="20"/>
              <w:jc w:val="right"/>
            </w:pPr>
            <w:r>
              <w:rPr>
                <w:color w:val="1C3A36"/>
                <w:sz w:val="16"/>
              </w:rPr>
              <w:t>2.48</w:t>
            </w:r>
          </w:p>
        </w:tc>
      </w:tr>
      <w:tr>
        <w:tc>
          <w:tcPr>
            <w:tcW w:type="dxa" w:w="3744"/>
          </w:tcPr>
          <w:p>
            <w:pPr>
              <w:spacing w:after="20"/>
            </w:pPr>
            <w:r>
              <w:rPr>
                <w:color w:val="1C3A36"/>
                <w:sz w:val="16"/>
              </w:rPr>
              <w:t>Terminal ROIC  (18% / 22% / 27% / 30% / 34%)</w:t>
            </w:r>
          </w:p>
        </w:tc>
        <w:tc>
          <w:tcPr>
            <w:tcW w:type="dxa" w:w="1008"/>
          </w:tcPr>
          <w:p>
            <w:pPr>
              <w:spacing w:after="20"/>
              <w:jc w:val="right"/>
            </w:pPr>
            <w:r>
              <w:rPr>
                <w:color w:val="1C3A36"/>
                <w:sz w:val="16"/>
              </w:rPr>
              <w:t>18.31</w:t>
            </w:r>
          </w:p>
        </w:tc>
        <w:tc>
          <w:tcPr>
            <w:tcW w:type="dxa" w:w="1008"/>
          </w:tcPr>
          <w:p>
            <w:pPr>
              <w:spacing w:after="20"/>
              <w:jc w:val="right"/>
            </w:pPr>
            <w:r>
              <w:rPr>
                <w:color w:val="1C3A36"/>
                <w:sz w:val="16"/>
              </w:rPr>
              <w:t>18.78</w:t>
            </w:r>
          </w:p>
        </w:tc>
        <w:tc>
          <w:tcPr>
            <w:tcW w:type="dxa" w:w="1008"/>
          </w:tcPr>
          <w:p>
            <w:pPr>
              <w:spacing w:after="20"/>
              <w:jc w:val="right"/>
            </w:pPr>
            <w:r>
              <w:rPr>
                <w:color w:val="1C3A36"/>
                <w:sz w:val="16"/>
              </w:rPr>
              <w:t>19.14</w:t>
            </w:r>
          </w:p>
        </w:tc>
        <w:tc>
          <w:tcPr>
            <w:tcW w:type="dxa" w:w="1008"/>
          </w:tcPr>
          <w:p>
            <w:pPr>
              <w:spacing w:after="20"/>
              <w:jc w:val="right"/>
            </w:pPr>
            <w:r>
              <w:rPr>
                <w:color w:val="1C3A36"/>
                <w:sz w:val="16"/>
              </w:rPr>
              <w:t>19.33</w:t>
            </w:r>
          </w:p>
        </w:tc>
        <w:tc>
          <w:tcPr>
            <w:tcW w:type="dxa" w:w="1008"/>
          </w:tcPr>
          <w:p>
            <w:pPr>
              <w:spacing w:after="20"/>
              <w:jc w:val="right"/>
            </w:pPr>
            <w:r>
              <w:rPr>
                <w:color w:val="1C3A36"/>
                <w:sz w:val="16"/>
              </w:rPr>
              <w:t>19.51</w:t>
            </w:r>
          </w:p>
        </w:tc>
        <w:tc>
          <w:tcPr>
            <w:tcW w:type="dxa" w:w="1008"/>
          </w:tcPr>
          <w:p>
            <w:pPr>
              <w:spacing w:after="20"/>
              <w:jc w:val="right"/>
            </w:pPr>
            <w:r>
              <w:rPr>
                <w:color w:val="1C3A36"/>
                <w:sz w:val="16"/>
              </w:rPr>
              <w:t>1.20</w:t>
            </w:r>
          </w:p>
        </w:tc>
      </w:tr>
    </w:tbl>
    <w:p>
      <w:pPr>
        <w:spacing w:after="40"/>
      </w:pPr>
    </w:p>
    <w:p>
      <w:pPr>
        <w:spacing w:after="200" w:before="0"/>
      </w:pPr>
      <w:r>
        <w:rPr>
          <w:b w:val="0"/>
          <w:i/>
          <w:color w:val="6E7B77"/>
          <w:sz w:val="17"/>
        </w:rPr>
        <w:t>Table 8 — single-driver sensitivities on the DCF (AED/share); the middle column is the base. Each cell is a complete re-run of the model including the unit build. The rank order is the study's honest hierarchy: the discount rate and the fiscal regime dwarf every operating driver; among operating drivers ARPU is king, which is why a duopoly that does not price-war deserves its premium.</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12.30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12.18</w:t>
            </w:r>
          </w:p>
        </w:tc>
        <w:tc>
          <w:tcPr>
            <w:tcW w:type="dxa" w:w="5760"/>
          </w:tcPr>
          <w:p>
            <w:pPr>
              <w:spacing w:after="20"/>
              <w:jc w:val="right"/>
            </w:pPr>
            <w:r>
              <w:rPr>
                <w:color w:val="1C3A36"/>
                <w:sz w:val="17"/>
              </w:rPr>
              <w:t>price is +1.0%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11.92</w:t>
            </w:r>
          </w:p>
        </w:tc>
        <w:tc>
          <w:tcPr>
            <w:tcW w:type="dxa" w:w="5760"/>
          </w:tcPr>
          <w:p>
            <w:pPr>
              <w:spacing w:after="20"/>
              <w:jc w:val="right"/>
            </w:pPr>
            <w:r>
              <w:rPr>
                <w:color w:val="1C3A36"/>
                <w:sz w:val="17"/>
              </w:rPr>
              <w:t>price is +3.2%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11.22</w:t>
            </w:r>
          </w:p>
        </w:tc>
        <w:tc>
          <w:tcPr>
            <w:tcW w:type="dxa" w:w="5760"/>
          </w:tcPr>
          <w:p>
            <w:pPr>
              <w:spacing w:after="20"/>
              <w:jc w:val="right"/>
            </w:pPr>
            <w:r>
              <w:rPr>
                <w:color w:val="1C3A36"/>
                <w:sz w:val="17"/>
              </w:rPr>
              <w:t>price is +9.6%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10.60</w:t>
            </w:r>
          </w:p>
        </w:tc>
        <w:tc>
          <w:tcPr>
            <w:tcW w:type="dxa" w:w="5760"/>
          </w:tcPr>
          <w:p>
            <w:pPr>
              <w:spacing w:after="20"/>
              <w:jc w:val="right"/>
            </w:pPr>
            <w:r>
              <w:rPr>
                <w:color w:val="1C3A36"/>
                <w:sz w:val="17"/>
              </w:rPr>
              <w:t>price is +16.0%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12.76</w:t>
            </w:r>
          </w:p>
        </w:tc>
        <w:tc>
          <w:tcPr>
            <w:tcW w:type="dxa" w:w="5760"/>
          </w:tcPr>
          <w:p>
            <w:pPr>
              <w:spacing w:after="20"/>
              <w:jc w:val="right"/>
            </w:pPr>
            <w:r>
              <w:rPr>
                <w:color w:val="1C3A36"/>
                <w:sz w:val="17"/>
              </w:rPr>
              <w:t>-3.6%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12.80</w:t>
            </w:r>
          </w:p>
        </w:tc>
        <w:tc>
          <w:tcPr>
            <w:tcW w:type="dxa" w:w="5760"/>
          </w:tcPr>
          <w:p>
            <w:pPr>
              <w:spacing w:after="20"/>
              <w:jc w:val="right"/>
            </w:pPr>
            <w:r>
              <w:rPr>
                <w:color w:val="1C3A36"/>
                <w:sz w:val="17"/>
              </w:rPr>
              <w:t>-3.9%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9.17</w:t>
            </w:r>
          </w:p>
        </w:tc>
        <w:tc>
          <w:tcPr>
            <w:tcW w:type="dxa" w:w="5760"/>
          </w:tcPr>
          <w:p>
            <w:pPr>
              <w:spacing w:after="20"/>
              <w:jc w:val="right"/>
            </w:pPr>
            <w:r>
              <w:rPr>
                <w:color w:val="1C3A36"/>
                <w:sz w:val="17"/>
              </w:rPr>
              <w:t>+34.1%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28.1%</w:t>
            </w:r>
          </w:p>
        </w:tc>
        <w:tc>
          <w:tcPr>
            <w:tcW w:type="dxa" w:w="5760"/>
          </w:tcPr>
          <w:p>
            <w:pPr>
              <w:spacing w:after="20"/>
              <w:jc w:val="right"/>
            </w:pPr>
            <w:r>
              <w:rPr>
                <w:color w:val="1C3A36"/>
                <w:sz w:val="17"/>
              </w:rPr>
              <w:t>the fitted range-based volatility model's CURRENT state — elevated by the war-quarter swings — and the input to the price cone in section 3</w:t>
            </w:r>
          </w:p>
        </w:tc>
      </w:tr>
    </w:tbl>
    <w:p>
      <w:pPr>
        <w:spacing w:after="40"/>
      </w:pPr>
    </w:p>
    <w:p>
      <w:pPr>
        <w:spacing w:after="200" w:before="0"/>
      </w:pPr>
      <w:r>
        <w:rPr>
          <w:b w:val="0"/>
          <w:i w:val="0"/>
          <w:color w:val="1C3A36"/>
          <w:sz w:val="21"/>
        </w:rPr>
        <w:t>The share sits +16.0% above its 200-session average but -3.6% below its 52-week closing high — an uptrend that has given back its top since the war quarter. Realised volatility over the last 50 sessions is 21.4%; the model's range-based estimate of 28.1% reflects the regime of the last months rather than a single session. None of this is a valuation argument; it is the price context the valuation has to be read against, and the gap between a recovering price and a fundamental central above it is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the dollar policy path under the dirham's peg, net of the dividend yield — carrying no directional view.</w:t>
      </w:r>
    </w:p>
    <w:p>
      <w:pPr>
        <w:spacing w:after="120" w:before="0"/>
      </w:pPr>
      <w:r>
        <w:rPr>
          <w:b w:val="0"/>
          <w:i w:val="0"/>
          <w:color w:val="1C3A36"/>
          <w:sz w:val="21"/>
        </w:rPr>
        <w:t>The widths below are tested rather than assumed, and the honest result is stated plainly: over the last five years of non-overlapping quarterly windows (19 of them, origins 2021-10-27 to 2026-04-29, each forecast using only data available before it), the model scored -1.15% against a random-walk benchmark anchored on the same cost of carry — statistically indistinguishable from the benchmark (the confidence interval spans zero), neither better nor worse. Outcomes fell inside the stated bands at least as often as advertised (63% inside the 50% band, 95% inside the 80%, 100% inside the 90%) and were spread evenly across the distribution — a uniformity test returns p = 0.66, comfortably consistent with a calibrated forecast. The one real limitation: for this particular low-volatility share the bands run about 52% wider than the benchmark's — the cone is over-cautious rather than over-confident, and a reader should treat the outer bands as generous. Over the full history the model UNDERPERFORMS the benchmark on windows that predate the 2022 change in the exchange's trading week; those windows are excluded from the production calibration for that reason, and the exclusion is disclosed here.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14.98; the dotted line is the spot of 12.30.</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152"/>
        <w:gridCol w:w="1152"/>
        <w:gridCol w:w="1152"/>
        <w:gridCol w:w="1512"/>
      </w:tblGrid>
      <w:tr>
        <w:tc>
          <w:tcPr>
            <w:tcW w:type="dxa" w:w="2808"/>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512"/>
            <w:shd w:val="clear" w:color="auto" w:fill="EAF0EE"/>
          </w:tcPr>
          <w:p>
            <w:pPr>
              <w:spacing w:after="20"/>
            </w:pPr>
            <w:r>
              <w:rPr>
                <w:b/>
                <w:color w:val="1C3A36"/>
                <w:sz w:val="17"/>
              </w:rPr>
              <w:t>P(above spot)</w:t>
            </w:r>
          </w:p>
        </w:tc>
      </w:tr>
      <w:tr>
        <w:tc>
          <w:tcPr>
            <w:tcW w:type="dxa" w:w="2808"/>
          </w:tcPr>
          <w:p>
            <w:pPr>
              <w:spacing w:after="20"/>
            </w:pPr>
            <w:r>
              <w:rPr>
                <w:color w:val="1C3A36"/>
                <w:sz w:val="17"/>
              </w:rPr>
              <w:t>One month — to 2026-09-07</w:t>
            </w:r>
          </w:p>
        </w:tc>
        <w:tc>
          <w:tcPr>
            <w:tcW w:type="dxa" w:w="1152"/>
          </w:tcPr>
          <w:p>
            <w:pPr>
              <w:spacing w:after="20"/>
              <w:jc w:val="right"/>
            </w:pPr>
            <w:r>
              <w:rPr>
                <w:color w:val="1C3A36"/>
                <w:sz w:val="17"/>
              </w:rPr>
              <w:t>10.85</w:t>
            </w:r>
          </w:p>
        </w:tc>
        <w:tc>
          <w:tcPr>
            <w:tcW w:type="dxa" w:w="1152"/>
          </w:tcPr>
          <w:p>
            <w:pPr>
              <w:spacing w:after="20"/>
              <w:jc w:val="right"/>
            </w:pPr>
            <w:r>
              <w:rPr>
                <w:color w:val="1C3A36"/>
                <w:sz w:val="17"/>
              </w:rPr>
              <w:t>11.71</w:t>
            </w:r>
          </w:p>
        </w:tc>
        <w:tc>
          <w:tcPr>
            <w:tcW w:type="dxa" w:w="1152"/>
          </w:tcPr>
          <w:p>
            <w:pPr>
              <w:spacing w:after="20"/>
              <w:jc w:val="right"/>
            </w:pPr>
            <w:r>
              <w:rPr>
                <w:color w:val="1C3A36"/>
                <w:sz w:val="17"/>
              </w:rPr>
              <w:t>12.28</w:t>
            </w:r>
          </w:p>
        </w:tc>
        <w:tc>
          <w:tcPr>
            <w:tcW w:type="dxa" w:w="1152"/>
          </w:tcPr>
          <w:p>
            <w:pPr>
              <w:spacing w:after="20"/>
              <w:jc w:val="right"/>
            </w:pPr>
            <w:r>
              <w:rPr>
                <w:color w:val="1C3A36"/>
                <w:sz w:val="17"/>
              </w:rPr>
              <w:t>12.89</w:t>
            </w:r>
          </w:p>
        </w:tc>
        <w:tc>
          <w:tcPr>
            <w:tcW w:type="dxa" w:w="1152"/>
          </w:tcPr>
          <w:p>
            <w:pPr>
              <w:spacing w:after="20"/>
              <w:jc w:val="right"/>
            </w:pPr>
            <w:r>
              <w:rPr>
                <w:color w:val="1C3A36"/>
                <w:sz w:val="17"/>
              </w:rPr>
              <w:t>13.88</w:t>
            </w:r>
          </w:p>
        </w:tc>
        <w:tc>
          <w:tcPr>
            <w:tcW w:type="dxa" w:w="1512"/>
          </w:tcPr>
          <w:p>
            <w:pPr>
              <w:spacing w:after="20"/>
              <w:jc w:val="right"/>
            </w:pPr>
            <w:r>
              <w:rPr>
                <w:color w:val="1C3A36"/>
                <w:sz w:val="17"/>
              </w:rPr>
              <w:t>49%</w:t>
            </w:r>
          </w:p>
        </w:tc>
      </w:tr>
      <w:tr>
        <w:tc>
          <w:tcPr>
            <w:tcW w:type="dxa" w:w="2808"/>
          </w:tcPr>
          <w:p>
            <w:pPr>
              <w:spacing w:after="20"/>
            </w:pPr>
            <w:r>
              <w:rPr>
                <w:color w:val="1C3A36"/>
                <w:sz w:val="17"/>
              </w:rPr>
              <w:t>Three months — to 2026-11-09</w:t>
            </w:r>
          </w:p>
        </w:tc>
        <w:tc>
          <w:tcPr>
            <w:tcW w:type="dxa" w:w="1152"/>
          </w:tcPr>
          <w:p>
            <w:pPr>
              <w:spacing w:after="20"/>
              <w:jc w:val="right"/>
            </w:pPr>
            <w:r>
              <w:rPr>
                <w:color w:val="1C3A36"/>
                <w:sz w:val="17"/>
              </w:rPr>
              <w:t>9.82</w:t>
            </w:r>
          </w:p>
        </w:tc>
        <w:tc>
          <w:tcPr>
            <w:tcW w:type="dxa" w:w="1152"/>
          </w:tcPr>
          <w:p>
            <w:pPr>
              <w:spacing w:after="20"/>
              <w:jc w:val="right"/>
            </w:pPr>
            <w:r>
              <w:rPr>
                <w:color w:val="1C3A36"/>
                <w:sz w:val="17"/>
              </w:rPr>
              <w:t>11.26</w:t>
            </w:r>
          </w:p>
        </w:tc>
        <w:tc>
          <w:tcPr>
            <w:tcW w:type="dxa" w:w="1152"/>
          </w:tcPr>
          <w:p>
            <w:pPr>
              <w:spacing w:after="20"/>
              <w:jc w:val="right"/>
            </w:pPr>
            <w:r>
              <w:rPr>
                <w:color w:val="1C3A36"/>
                <w:sz w:val="17"/>
              </w:rPr>
              <w:t>12.26</w:t>
            </w:r>
          </w:p>
        </w:tc>
        <w:tc>
          <w:tcPr>
            <w:tcW w:type="dxa" w:w="1152"/>
          </w:tcPr>
          <w:p>
            <w:pPr>
              <w:spacing w:after="20"/>
              <w:jc w:val="right"/>
            </w:pPr>
            <w:r>
              <w:rPr>
                <w:color w:val="1C3A36"/>
                <w:sz w:val="17"/>
              </w:rPr>
              <w:t>13.35</w:t>
            </w:r>
          </w:p>
        </w:tc>
        <w:tc>
          <w:tcPr>
            <w:tcW w:type="dxa" w:w="1152"/>
          </w:tcPr>
          <w:p>
            <w:pPr>
              <w:spacing w:after="20"/>
              <w:jc w:val="right"/>
            </w:pPr>
            <w:r>
              <w:rPr>
                <w:color w:val="1C3A36"/>
                <w:sz w:val="17"/>
              </w:rPr>
              <w:t>15.32</w:t>
            </w:r>
          </w:p>
        </w:tc>
        <w:tc>
          <w:tcPr>
            <w:tcW w:type="dxa" w:w="1512"/>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937760" cy="246888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6 — price distribution at one month.</w:t>
      </w:r>
    </w:p>
    <w:p>
      <w:pPr>
        <w:spacing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7 — price distribution at three months.</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872"/>
        <w:gridCol w:w="1872"/>
      </w:tblGrid>
      <w:tr>
        <w:tc>
          <w:tcPr>
            <w:tcW w:type="dxa" w:w="4752"/>
            <w:shd w:val="clear" w:color="auto" w:fill="EAF0EE"/>
          </w:tcPr>
          <w:p>
            <w:pPr>
              <w:spacing w:after="20"/>
            </w:pPr>
            <w:r>
              <w:rPr>
                <w:b/>
                <w:color w:val="1C3A36"/>
                <w:sz w:val="17"/>
              </w:rPr>
              <w:t>Event</w:t>
            </w:r>
          </w:p>
        </w:tc>
        <w:tc>
          <w:tcPr>
            <w:tcW w:type="dxa" w:w="1872"/>
            <w:shd w:val="clear" w:color="auto" w:fill="EAF0EE"/>
          </w:tcPr>
          <w:p>
            <w:pPr>
              <w:spacing w:after="20"/>
            </w:pPr>
            <w:r>
              <w:rPr>
                <w:b/>
                <w:color w:val="1C3A36"/>
                <w:sz w:val="17"/>
              </w:rPr>
              <w:t>One month</w:t>
            </w:r>
          </w:p>
        </w:tc>
        <w:tc>
          <w:tcPr>
            <w:tcW w:type="dxa" w:w="1872"/>
            <w:shd w:val="clear" w:color="auto" w:fill="EAF0EE"/>
          </w:tcPr>
          <w:p>
            <w:pPr>
              <w:spacing w:after="20"/>
            </w:pPr>
            <w:r>
              <w:rPr>
                <w:b/>
                <w:color w:val="1C3A36"/>
                <w:sz w:val="17"/>
              </w:rPr>
              <w:t>Three months</w:t>
            </w:r>
          </w:p>
        </w:tc>
      </w:tr>
      <w:tr>
        <w:tc>
          <w:tcPr>
            <w:tcW w:type="dxa" w:w="4752"/>
          </w:tcPr>
          <w:p>
            <w:pPr>
              <w:spacing w:after="20"/>
            </w:pPr>
            <w:r>
              <w:rPr>
                <w:color w:val="1C3A36"/>
                <w:sz w:val="17"/>
              </w:rPr>
              <w:t>Finishes 10% or more above spot</w:t>
            </w:r>
          </w:p>
        </w:tc>
        <w:tc>
          <w:tcPr>
            <w:tcW w:type="dxa" w:w="1872"/>
          </w:tcPr>
          <w:p>
            <w:pPr>
              <w:spacing w:after="20"/>
              <w:jc w:val="right"/>
            </w:pPr>
            <w:r>
              <w:rPr>
                <w:color w:val="1C3A36"/>
                <w:sz w:val="17"/>
              </w:rPr>
              <w:t>9%</w:t>
            </w:r>
          </w:p>
        </w:tc>
        <w:tc>
          <w:tcPr>
            <w:tcW w:type="dxa" w:w="1872"/>
          </w:tcPr>
          <w:p>
            <w:pPr>
              <w:spacing w:after="20"/>
              <w:jc w:val="right"/>
            </w:pPr>
            <w:r>
              <w:rPr>
                <w:color w:val="1C3A36"/>
                <w:sz w:val="17"/>
              </w:rPr>
              <w:t>22%</w:t>
            </w:r>
          </w:p>
        </w:tc>
      </w:tr>
      <w:tr>
        <w:tc>
          <w:tcPr>
            <w:tcW w:type="dxa" w:w="4752"/>
          </w:tcPr>
          <w:p>
            <w:pPr>
              <w:spacing w:after="20"/>
            </w:pPr>
            <w:r>
              <w:rPr>
                <w:color w:val="1C3A36"/>
                <w:sz w:val="17"/>
              </w:rPr>
              <w:t>Finishes 10% or more below spot</w:t>
            </w:r>
          </w:p>
        </w:tc>
        <w:tc>
          <w:tcPr>
            <w:tcW w:type="dxa" w:w="1872"/>
          </w:tcPr>
          <w:p>
            <w:pPr>
              <w:spacing w:after="20"/>
              <w:jc w:val="right"/>
            </w:pPr>
            <w:r>
              <w:rPr>
                <w:color w:val="1C3A36"/>
                <w:sz w:val="17"/>
              </w:rPr>
              <w:t>8%</w:t>
            </w:r>
          </w:p>
        </w:tc>
        <w:tc>
          <w:tcPr>
            <w:tcW w:type="dxa" w:w="1872"/>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872"/>
          </w:tcPr>
          <w:p>
            <w:pPr>
              <w:spacing w:after="20"/>
              <w:jc w:val="right"/>
            </w:pPr>
            <w:r>
              <w:rPr>
                <w:color w:val="1C3A36"/>
                <w:sz w:val="17"/>
              </w:rPr>
              <w:t>15%</w:t>
            </w:r>
          </w:p>
        </w:tc>
        <w:tc>
          <w:tcPr>
            <w:tcW w:type="dxa" w:w="1872"/>
          </w:tcPr>
          <w:p>
            <w:pPr>
              <w:spacing w:after="20"/>
              <w:jc w:val="right"/>
            </w:pPr>
            <w:r>
              <w:rPr>
                <w:color w:val="1C3A36"/>
                <w:sz w:val="17"/>
              </w:rPr>
              <w:t>41%</w:t>
            </w:r>
          </w:p>
        </w:tc>
      </w:tr>
      <w:tr>
        <w:tc>
          <w:tcPr>
            <w:tcW w:type="dxa" w:w="4752"/>
          </w:tcPr>
          <w:p>
            <w:pPr>
              <w:spacing w:after="20"/>
            </w:pPr>
            <w:r>
              <w:rPr>
                <w:color w:val="1C3A36"/>
                <w:sz w:val="17"/>
              </w:rPr>
              <w:t>Touches 10% below spot at any point</w:t>
            </w:r>
          </w:p>
        </w:tc>
        <w:tc>
          <w:tcPr>
            <w:tcW w:type="dxa" w:w="1872"/>
          </w:tcPr>
          <w:p>
            <w:pPr>
              <w:spacing w:after="20"/>
              <w:jc w:val="right"/>
            </w:pPr>
            <w:r>
              <w:rPr>
                <w:color w:val="1C3A36"/>
                <w:sz w:val="17"/>
              </w:rPr>
              <w:t>13%</w:t>
            </w:r>
          </w:p>
        </w:tc>
        <w:tc>
          <w:tcPr>
            <w:tcW w:type="dxa" w:w="1872"/>
          </w:tcPr>
          <w:p>
            <w:pPr>
              <w:spacing w:after="20"/>
              <w:jc w:val="right"/>
            </w:pPr>
            <w:r>
              <w:rPr>
                <w:color w:val="1C3A36"/>
                <w:sz w:val="17"/>
              </w:rPr>
              <w:t>38%</w:t>
            </w:r>
          </w:p>
        </w:tc>
      </w:tr>
    </w:tbl>
    <w:p>
      <w:pPr>
        <w:spacing w:after="40"/>
      </w:pPr>
    </w:p>
    <w:p>
      <w:pPr>
        <w:spacing w:after="120" w:before="0"/>
      </w:pPr>
      <w:r>
        <w:rPr>
          <w:b w:val="0"/>
          <w:i w:val="0"/>
          <w:color w:val="1C3A36"/>
          <w:sz w:val="21"/>
        </w:rPr>
      </w:r>
    </w:p>
    <w:p>
      <w:pPr>
        <w:spacing w:after="120" w:before="280"/>
      </w:pPr>
      <w:r>
        <w:rPr>
          <w:b/>
          <w:i w:val="0"/>
          <w:color w:val="1C3A36"/>
          <w:sz w:val="30"/>
        </w:rPr>
        <w:t>4  Comparison of the lenses</w:t>
      </w:r>
    </w:p>
    <w:p>
      <w:pPr>
        <w:spacing w:after="120" w:before="0"/>
      </w:pPr>
      <w:r>
        <w:rPr>
          <w:b w:val="0"/>
          <w:i w:val="0"/>
          <w:color w:val="1C3A36"/>
          <w:sz w:val="21"/>
        </w:rPr>
        <w:t>The field disagrees, and the disagreement is informative. The cash-flow lens reads AED 19.14; the two market-anchored lenses read AED 10.80 and AED 10.78; the book lens AED 15.07. The spread is NOT about the forecast — all four lenses consume the same build, and the near-term numbers are anchored on a printed first half. It is about the price of time and certainty: the measured beta prices du's equity at a 6.4% required return, while the regional market, at the peer median multiple, implicitly charges something closer to the return implied by a 15-16× earnings multiple on a slow-growing annuity — two to three points more. Discount this study's own cash flows at that market-implied rate and you get, in effect, the relative lens.</w:t>
      </w:r>
    </w:p>
    <w:p>
      <w:pPr>
        <w:spacing w:after="120" w:before="0"/>
      </w:pPr>
      <w:r>
        <w:rPr>
          <w:b w:val="0"/>
          <w:i w:val="0"/>
          <w:color w:val="1C3A36"/>
          <w:sz w:val="21"/>
        </w:rPr>
        <w:t>What would close the gap from each side. The DCF is right and the market re-rates if: the fiscal regime is extended on current terms with the floor lapsing or lightening; the licence renews on comparable terms; the war recovery completes; and the data-centre leg starts printing revenue the market can see. The market is right and the DCF is generous if: the royalty regime reverts or worsens (Framing B alone closes most of the gap — AED 16.29); the measured beta understates the true risk of a single-market, single-licence operator (beta 0.80 alone takes the DCF to AED 12.30); or terminal reinvestment needs are heavier than 9.4% of profit. The weighted central of AED 14.98 embodies exactly this balance: it leans toward the cash flows but pays the market-anchored lenses the 45% respect their discipline has earned.</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expert panel's three independent reads (Appendix C), against spot.</w:t>
      </w:r>
    </w:p>
    <w:p>
      <w:pPr>
        <w:spacing w:after="120" w:before="280"/>
      </w:pPr>
      <w:r>
        <w:rPr>
          <w:b/>
          <w:i w:val="0"/>
          <w:color w:val="1C3A36"/>
          <w:sz w:val="30"/>
        </w:rPr>
        <w:t>5  Catalysts to watch</w:t>
      </w:r>
    </w:p>
    <w:p>
      <w:pPr>
        <w:pStyle w:val="ListBullet"/>
        <w:spacing w:after="60"/>
      </w:pPr>
      <w:r>
        <w:rPr>
          <w:b/>
          <w:color w:val="1C3A36"/>
          <w:sz w:val="21"/>
        </w:rPr>
        <w:t xml:space="preserve">1 · The post-2026 fiscal regime (direction: either; size: the study's largest). </w:t>
      </w:r>
      <w:r>
        <w:rPr>
          <w:color w:val="1C3A36"/>
          <w:sz w:val="21"/>
        </w:rPr>
        <w:t>du's own filings describe the 38% + 9% regime as effective 2024-2026. The other operator has disclosed a ministry notification extending the structure through 2029; du's mirroring disclosure — and whether the AED 1.8bn combined floor carries over — is the single most valuable sentence the company can publish: AED 19.14 versus AED 16.29 per share between the framings.</w:t>
      </w:r>
    </w:p>
    <w:p>
      <w:pPr>
        <w:pStyle w:val="ListBullet"/>
        <w:spacing w:after="60"/>
      </w:pPr>
      <w:r>
        <w:rPr>
          <w:b/>
          <w:color w:val="1C3A36"/>
          <w:sz w:val="21"/>
        </w:rPr>
        <w:t xml:space="preserve">2 · The licence renewal (direction: binary-adverse tail; timing: now). </w:t>
      </w:r>
      <w:r>
        <w:rPr>
          <w:color w:val="1C3A36"/>
          <w:sz w:val="21"/>
        </w:rPr>
        <w:t>The TDRA extension ran to 8 August 2026 with conclusion expected "on or before" that date — i.e. the outcome is due at press time. Renewal on comparable terms is the base case and would be a non-event; a renewal that raises the fee ratio costs roughly AED 0.64 per share per percentage point of revenue.</w:t>
      </w:r>
    </w:p>
    <w:p>
      <w:pPr>
        <w:pStyle w:val="ListBullet"/>
        <w:spacing w:after="60"/>
      </w:pPr>
      <w:r>
        <w:rPr>
          <w:b/>
          <w:color w:val="1C3A36"/>
          <w:sz w:val="21"/>
        </w:rPr>
        <w:t xml:space="preserve">3 · The war recovery (direction: up if the ceasefire holds). </w:t>
      </w:r>
      <w:r>
        <w:rPr>
          <w:color w:val="1C3A36"/>
          <w:sz w:val="21"/>
        </w:rPr>
        <w:t>Prepaid subscribers, roaming and wholesale transit all recover with tourism; the company itself reports gross adds below pre-war levels with a ceasefire in place. The Q3-2026 print (late October) is the first clean read; a return to net adds above +150k/quarter would put the bull subscriber path in play.</w:t>
      </w:r>
    </w:p>
    <w:p>
      <w:pPr>
        <w:pStyle w:val="ListBullet"/>
        <w:spacing w:after="60"/>
      </w:pPr>
      <w:r>
        <w:rPr>
          <w:b/>
          <w:color w:val="1C3A36"/>
          <w:sz w:val="21"/>
        </w:rPr>
        <w:t xml:space="preserve">4 · The data-centre leg (direction: up; horizon: 2027-2028). </w:t>
      </w:r>
      <w:r>
        <w:rPr>
          <w:color w:val="1C3A36"/>
          <w:sz w:val="21"/>
        </w:rPr>
        <w:t>Five data centres plus the Microsoft-anchored hyperscale campus; commitments rose to AED 2,412mn at mid-2026. First disclosed hyperscale revenue — or a named second anchor tenant — would convert the ICT growth path from house assumption to disclosed run-rate.</w:t>
      </w:r>
    </w:p>
    <w:p>
      <w:pPr>
        <w:pStyle w:val="ListBullet"/>
        <w:spacing w:after="60"/>
      </w:pPr>
      <w:r>
        <w:rPr>
          <w:b/>
          <w:color w:val="1C3A36"/>
          <w:sz w:val="21"/>
        </w:rPr>
        <w:t xml:space="preserve">5 · The dividend (direction: up, mechanically). </w:t>
      </w:r>
      <w:r>
        <w:rPr>
          <w:color w:val="1C3A36"/>
          <w:sz w:val="21"/>
        </w:rPr>
        <w:t>The board raised the interim 8.3% in the same release that cut revenue guidance — a statement of intent. At the forecast payout the FY2026E dividend is AED 0.68; at the regional benchmark yield that alone is worth AED 13.12 per share (section 1.3).</w:t>
      </w:r>
    </w:p>
    <w:p>
      <w:pPr>
        <w:spacing w:after="80" w:before="0"/>
      </w:pPr>
      <w:r>
        <w:rPr>
          <w:b w:val="0"/>
          <w:i w:val="0"/>
          <w:color w:val="1C3A36"/>
          <w:sz w:val="21"/>
        </w:rPr>
      </w:r>
    </w:p>
    <w:p>
      <w:pPr>
        <w:spacing w:after="120" w:before="280"/>
      </w:pPr>
      <w:r>
        <w:rPr>
          <w:b/>
          <w:i w:val="0"/>
          <w:color w:val="1C3A36"/>
          <w:sz w:val="30"/>
        </w:rPr>
        <w:t>6  Reading the probability zones</w:t>
      </w:r>
    </w:p>
    <w:p>
      <w:pPr>
        <w:spacing w:after="120" w:before="0"/>
      </w:pPr>
      <w:r>
        <w:rPr>
          <w:b w:val="0"/>
          <w:i w:val="0"/>
          <w:color w:val="1C3A36"/>
          <w:sz w:val="21"/>
        </w:rPr>
        <w:t>How to read sections 2-3 against section 1. The three-month cone spans AED 9.82 to 15.32 — the price can visit a lot of places in ninety days without any of them being a statement about value. The fundamental central of AED 14.98 sits inside the cone's upper half: reaching it within a quarter would be a strong but not extraordinary move. Three zones, then:</w:t>
      </w:r>
    </w:p>
    <w:p>
      <w:pPr>
        <w:pStyle w:val="ListBullet"/>
        <w:spacing w:after="60"/>
      </w:pPr>
      <w:r>
        <w:rPr>
          <w:b/>
          <w:color w:val="1C3A36"/>
          <w:sz w:val="21"/>
        </w:rPr>
        <w:t xml:space="preserve">Below AED 11.26 (the cone's lower quarter): </w:t>
      </w:r>
      <w:r>
        <w:rPr>
          <w:color w:val="1C3A36"/>
          <w:sz w:val="21"/>
        </w:rPr>
        <w:t>price weakness this deep with no fiscal or licence news would widen the value gap mechanically; with adverse regime news it would simply be the market pricing Framing B — check which before reading it as opportunity.</w:t>
      </w:r>
    </w:p>
    <w:p>
      <w:pPr>
        <w:pStyle w:val="ListBullet"/>
        <w:spacing w:after="60"/>
      </w:pPr>
      <w:r>
        <w:rPr>
          <w:b/>
          <w:color w:val="1C3A36"/>
          <w:sz w:val="21"/>
        </w:rPr>
        <w:t xml:space="preserve">AED 11.26 to 13.35 (the middle half): </w:t>
      </w:r>
      <w:r>
        <w:rPr>
          <w:color w:val="1C3A36"/>
          <w:sz w:val="21"/>
        </w:rPr>
        <w:t>noise. Nothing in this band changes any conclusion in this study.</w:t>
      </w:r>
    </w:p>
    <w:p>
      <w:pPr>
        <w:pStyle w:val="ListBullet"/>
        <w:spacing w:after="60"/>
      </w:pPr>
      <w:r>
        <w:rPr>
          <w:b/>
          <w:color w:val="1C3A36"/>
          <w:sz w:val="21"/>
        </w:rPr>
        <w:t xml:space="preserve">Above AED 13.35: </w:t>
      </w:r>
      <w:r>
        <w:rPr>
          <w:color w:val="1C3A36"/>
          <w:sz w:val="21"/>
        </w:rPr>
        <w:t>the market starting to pay for the recovery and the regime extension before they are printed; at the cone's top the share would still sit below the cash-flow lens but at the weighted central.</w:t>
      </w:r>
    </w:p>
    <w:p>
      <w:pPr>
        <w:spacing w:after="200" w:before="0"/>
      </w:pPr>
      <w:r>
        <w:rPr>
          <w:b w:val="0"/>
          <w:i w:val="0"/>
          <w:color w:val="1C3A36"/>
          <w:sz w:val="21"/>
        </w:rPr>
        <w:t>The cone is honest about its own limits: for this share its bands have historically run wider than needed (section 3), so the outer zones are conservative.</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discount rate is the study. </w:t>
      </w:r>
      <w:r>
        <w:rPr>
          <w:color w:val="1C3A36"/>
          <w:sz w:val="21"/>
        </w:rPr>
        <w:t>A 0.47 measured beta against an Aa2 curve prices du's equity at 6.4%. Every conclusion that differs from the market traces to that number; section 1.8 prices the alternatives and section 4 takes the other side seriously. If du's risk is the sector's rather than its regression's, the central is several dirhams lower.</w:t>
      </w:r>
    </w:p>
    <w:p>
      <w:pPr>
        <w:pStyle w:val="ListBullet"/>
        <w:spacing w:after="60"/>
      </w:pPr>
      <w:r>
        <w:rPr>
          <w:b/>
          <w:color w:val="1C3A36"/>
          <w:sz w:val="21"/>
        </w:rPr>
        <w:t xml:space="preserve">The terminal value is most of the value. </w:t>
      </w:r>
      <w:r>
        <w:rPr>
          <w:color w:val="1C3A36"/>
          <w:sz w:val="21"/>
        </w:rPr>
        <w:t>85% of the DCF's enterprise value is beyond year five. That is the honest shape of a low-discount-rate annuity, and it is why the licence and the royalty — the two things that could touch the annuity itself — outrank every operating driver.</w:t>
      </w:r>
    </w:p>
    <w:p>
      <w:pPr>
        <w:pStyle w:val="ListBullet"/>
        <w:spacing w:after="60"/>
      </w:pPr>
      <w:r>
        <w:rPr>
          <w:b/>
          <w:color w:val="1C3A36"/>
          <w:sz w:val="21"/>
        </w:rPr>
        <w:t xml:space="preserve">The fiscal regime is not ours to forecast. </w:t>
      </w:r>
      <w:r>
        <w:rPr>
          <w:color w:val="1C3A36"/>
          <w:sz w:val="21"/>
        </w:rPr>
        <w:t>Both framings are priced throughout; the study REFUSES a single number where the state has not yet published one. If a harsher-than-either construction emerged, both framings would need re-striking.</w:t>
      </w:r>
    </w:p>
    <w:p>
      <w:pPr>
        <w:pStyle w:val="ListBullet"/>
        <w:spacing w:after="60"/>
      </w:pPr>
      <w:r>
        <w:rPr>
          <w:b/>
          <w:color w:val="1C3A36"/>
          <w:sz w:val="21"/>
        </w:rPr>
        <w:t xml:space="preserve">The war path. </w:t>
      </w:r>
      <w:r>
        <w:rPr>
          <w:color w:val="1C3A36"/>
          <w:sz w:val="21"/>
        </w:rPr>
        <w:t>The base case assumes the ceasefire holds and tourism normalises into 2027. A re-opened conflict invalidates the subscriber path, the wholesale recovery and possibly the multiple — the bear scenario, not the base.</w:t>
      </w:r>
    </w:p>
    <w:p>
      <w:pPr>
        <w:pStyle w:val="ListBullet"/>
        <w:spacing w:after="60"/>
      </w:pPr>
      <w:r>
        <w:rPr>
          <w:b/>
          <w:color w:val="1C3A36"/>
          <w:sz w:val="21"/>
        </w:rPr>
        <w:t xml:space="preserve">Wholesale and ICT are built top-down. </w:t>
      </w:r>
      <w:r>
        <w:rPr>
          <w:color w:val="1C3A36"/>
          <w:sz w:val="21"/>
        </w:rPr>
        <w:t>No unit disclosures exist for either; both are flagged. The ICT ramp in particular leans on a disclosed programme whose revenue model (colocation vs services) the company has not yet broken out.</w:t>
      </w:r>
    </w:p>
    <w:p>
      <w:pPr>
        <w:pStyle w:val="ListBullet"/>
        <w:spacing w:after="60"/>
      </w:pPr>
      <w:r>
        <w:rPr>
          <w:b/>
          <w:color w:val="1C3A36"/>
          <w:sz w:val="21"/>
        </w:rPr>
        <w:t xml:space="preserve">What would change our mind, concretely. </w:t>
      </w:r>
      <w:r>
        <w:rPr>
          <w:color w:val="1C3A36"/>
          <w:sz w:val="21"/>
        </w:rPr>
        <w:t>A royalty construction harsher than Framing B; licence renewal terms materially above the current fee ratio; two consecutive quarters of negative postpaid net adds; ARPU breaking below AED 60 without a mix explanation; or the payout being cut other than for a named investment programme. Any one of these re-opens the build; the register in Appendix B tells a reader exactly which inputs to re-examine first.</w:t>
      </w:r>
    </w:p>
    <w:p>
      <w:pPr>
        <w:spacing w:after="12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Revenue</w:t>
            </w:r>
          </w:p>
        </w:tc>
        <w:tc>
          <w:tcPr>
            <w:tcW w:type="dxa" w:w="907"/>
          </w:tcPr>
          <w:p>
            <w:pPr>
              <w:spacing w:after="20"/>
              <w:jc w:val="right"/>
            </w:pPr>
            <w:r>
              <w:rPr>
                <w:color w:val="1C3A36"/>
                <w:sz w:val="16"/>
              </w:rPr>
              <w:t>13,636</w:t>
            </w:r>
          </w:p>
        </w:tc>
        <w:tc>
          <w:tcPr>
            <w:tcW w:type="dxa" w:w="907"/>
          </w:tcPr>
          <w:p>
            <w:pPr>
              <w:spacing w:after="20"/>
              <w:jc w:val="right"/>
            </w:pPr>
            <w:r>
              <w:rPr>
                <w:color w:val="1C3A36"/>
                <w:sz w:val="16"/>
              </w:rPr>
              <w:t>14,636</w:t>
            </w:r>
          </w:p>
        </w:tc>
        <w:tc>
          <w:tcPr>
            <w:tcW w:type="dxa" w:w="907"/>
          </w:tcPr>
          <w:p>
            <w:pPr>
              <w:spacing w:after="20"/>
              <w:jc w:val="right"/>
            </w:pPr>
            <w:r>
              <w:rPr>
                <w:color w:val="1C3A36"/>
                <w:sz w:val="16"/>
              </w:rPr>
              <w:t>15,905</w:t>
            </w:r>
          </w:p>
        </w:tc>
        <w:tc>
          <w:tcPr>
            <w:tcW w:type="dxa" w:w="907"/>
          </w:tcPr>
          <w:p>
            <w:pPr>
              <w:spacing w:after="20"/>
              <w:jc w:val="right"/>
            </w:pPr>
            <w:r>
              <w:rPr>
                <w:color w:val="1C3A36"/>
                <w:sz w:val="16"/>
              </w:rPr>
              <w:t>16,593</w:t>
            </w:r>
          </w:p>
        </w:tc>
        <w:tc>
          <w:tcPr>
            <w:tcW w:type="dxa" w:w="907"/>
          </w:tcPr>
          <w:p>
            <w:pPr>
              <w:spacing w:after="20"/>
              <w:jc w:val="right"/>
            </w:pPr>
            <w:r>
              <w:rPr>
                <w:color w:val="1C3A36"/>
                <w:sz w:val="16"/>
              </w:rPr>
              <w:t>17,240</w:t>
            </w:r>
          </w:p>
        </w:tc>
        <w:tc>
          <w:tcPr>
            <w:tcW w:type="dxa" w:w="907"/>
          </w:tcPr>
          <w:p>
            <w:pPr>
              <w:spacing w:after="20"/>
              <w:jc w:val="right"/>
            </w:pPr>
            <w:r>
              <w:rPr>
                <w:color w:val="1C3A36"/>
                <w:sz w:val="16"/>
              </w:rPr>
              <w:t>18,011</w:t>
            </w:r>
          </w:p>
        </w:tc>
        <w:tc>
          <w:tcPr>
            <w:tcW w:type="dxa" w:w="907"/>
          </w:tcPr>
          <w:p>
            <w:pPr>
              <w:spacing w:after="20"/>
              <w:jc w:val="right"/>
            </w:pPr>
            <w:r>
              <w:rPr>
                <w:color w:val="1C3A36"/>
                <w:sz w:val="16"/>
              </w:rPr>
              <w:t>18,734</w:t>
            </w:r>
          </w:p>
        </w:tc>
        <w:tc>
          <w:tcPr>
            <w:tcW w:type="dxa" w:w="907"/>
          </w:tcPr>
          <w:p>
            <w:pPr>
              <w:spacing w:after="20"/>
              <w:jc w:val="right"/>
            </w:pPr>
            <w:r>
              <w:rPr>
                <w:color w:val="1C3A36"/>
                <w:sz w:val="16"/>
              </w:rPr>
              <w:t>19,424</w:t>
            </w:r>
          </w:p>
        </w:tc>
      </w:tr>
      <w:tr>
        <w:tc>
          <w:tcPr>
            <w:tcW w:type="dxa" w:w="2678"/>
            <w:shd w:val="clear" w:color="auto" w:fill="F6F1E6"/>
          </w:tcPr>
          <w:p>
            <w:pPr>
              <w:spacing w:after="20"/>
            </w:pPr>
            <w:r>
              <w:rPr>
                <w:b/>
                <w:color w:val="1C3A36"/>
                <w:sz w:val="16"/>
              </w:rPr>
              <w:t>EBITDA</w:t>
            </w:r>
          </w:p>
        </w:tc>
        <w:tc>
          <w:tcPr>
            <w:tcW w:type="dxa" w:w="907"/>
            <w:shd w:val="clear" w:color="auto" w:fill="F6F1E6"/>
          </w:tcPr>
          <w:p>
            <w:pPr>
              <w:spacing w:after="20"/>
              <w:jc w:val="right"/>
            </w:pPr>
            <w:r>
              <w:rPr>
                <w:b/>
                <w:color w:val="1C3A36"/>
                <w:sz w:val="16"/>
              </w:rPr>
              <w:t>5,800</w:t>
            </w:r>
          </w:p>
        </w:tc>
        <w:tc>
          <w:tcPr>
            <w:tcW w:type="dxa" w:w="907"/>
            <w:shd w:val="clear" w:color="auto" w:fill="F6F1E6"/>
          </w:tcPr>
          <w:p>
            <w:pPr>
              <w:spacing w:after="20"/>
              <w:jc w:val="right"/>
            </w:pPr>
            <w:r>
              <w:rPr>
                <w:b/>
                <w:color w:val="1C3A36"/>
                <w:sz w:val="16"/>
              </w:rPr>
              <w:t>6,470</w:t>
            </w:r>
          </w:p>
        </w:tc>
        <w:tc>
          <w:tcPr>
            <w:tcW w:type="dxa" w:w="907"/>
            <w:shd w:val="clear" w:color="auto" w:fill="F6F1E6"/>
          </w:tcPr>
          <w:p>
            <w:pPr>
              <w:spacing w:after="20"/>
              <w:jc w:val="right"/>
            </w:pPr>
            <w:r>
              <w:rPr>
                <w:b/>
                <w:color w:val="1C3A36"/>
                <w:sz w:val="16"/>
              </w:rPr>
              <w:t>7,338</w:t>
            </w:r>
          </w:p>
        </w:tc>
        <w:tc>
          <w:tcPr>
            <w:tcW w:type="dxa" w:w="907"/>
            <w:shd w:val="clear" w:color="auto" w:fill="F6F1E6"/>
          </w:tcPr>
          <w:p>
            <w:pPr>
              <w:spacing w:after="20"/>
              <w:jc w:val="right"/>
            </w:pPr>
            <w:r>
              <w:rPr>
                <w:b/>
                <w:color w:val="1C3A36"/>
                <w:sz w:val="16"/>
              </w:rPr>
              <w:t>7,822</w:t>
            </w:r>
          </w:p>
        </w:tc>
        <w:tc>
          <w:tcPr>
            <w:tcW w:type="dxa" w:w="907"/>
            <w:shd w:val="clear" w:color="auto" w:fill="F6F1E6"/>
          </w:tcPr>
          <w:p>
            <w:pPr>
              <w:spacing w:after="20"/>
              <w:jc w:val="right"/>
            </w:pPr>
            <w:r>
              <w:rPr>
                <w:b/>
                <w:color w:val="1C3A36"/>
                <w:sz w:val="16"/>
              </w:rPr>
              <w:t>8,117</w:t>
            </w:r>
          </w:p>
        </w:tc>
        <w:tc>
          <w:tcPr>
            <w:tcW w:type="dxa" w:w="907"/>
            <w:shd w:val="clear" w:color="auto" w:fill="F6F1E6"/>
          </w:tcPr>
          <w:p>
            <w:pPr>
              <w:spacing w:after="20"/>
              <w:jc w:val="right"/>
            </w:pPr>
            <w:r>
              <w:rPr>
                <w:b/>
                <w:color w:val="1C3A36"/>
                <w:sz w:val="16"/>
              </w:rPr>
              <w:t>8,481</w:t>
            </w:r>
          </w:p>
        </w:tc>
        <w:tc>
          <w:tcPr>
            <w:tcW w:type="dxa" w:w="907"/>
            <w:shd w:val="clear" w:color="auto" w:fill="F6F1E6"/>
          </w:tcPr>
          <w:p>
            <w:pPr>
              <w:spacing w:after="20"/>
              <w:jc w:val="right"/>
            </w:pPr>
            <w:r>
              <w:rPr>
                <w:b/>
                <w:color w:val="1C3A36"/>
                <w:sz w:val="16"/>
              </w:rPr>
              <w:t>8,815</w:t>
            </w:r>
          </w:p>
        </w:tc>
        <w:tc>
          <w:tcPr>
            <w:tcW w:type="dxa" w:w="907"/>
            <w:shd w:val="clear" w:color="auto" w:fill="F6F1E6"/>
          </w:tcPr>
          <w:p>
            <w:pPr>
              <w:spacing w:after="20"/>
              <w:jc w:val="right"/>
            </w:pPr>
            <w:r>
              <w:rPr>
                <w:b/>
                <w:color w:val="1C3A36"/>
                <w:sz w:val="16"/>
              </w:rPr>
              <w:t>9,132</w:t>
            </w:r>
          </w:p>
        </w:tc>
      </w:tr>
      <w:tr>
        <w:tc>
          <w:tcPr>
            <w:tcW w:type="dxa" w:w="2678"/>
          </w:tcPr>
          <w:p>
            <w:pPr>
              <w:spacing w:after="20"/>
            </w:pPr>
            <w:r>
              <w:rPr>
                <w:color w:val="1C3A36"/>
                <w:sz w:val="16"/>
              </w:rPr>
              <w:t>EBITDA margin</w:t>
            </w:r>
          </w:p>
        </w:tc>
        <w:tc>
          <w:tcPr>
            <w:tcW w:type="dxa" w:w="907"/>
          </w:tcPr>
          <w:p>
            <w:pPr>
              <w:spacing w:after="20"/>
              <w:jc w:val="right"/>
            </w:pPr>
            <w:r>
              <w:rPr>
                <w:color w:val="1C3A36"/>
                <w:sz w:val="16"/>
              </w:rPr>
              <w:t>42.5%</w:t>
            </w:r>
          </w:p>
        </w:tc>
        <w:tc>
          <w:tcPr>
            <w:tcW w:type="dxa" w:w="907"/>
          </w:tcPr>
          <w:p>
            <w:pPr>
              <w:spacing w:after="20"/>
              <w:jc w:val="right"/>
            </w:pPr>
            <w:r>
              <w:rPr>
                <w:color w:val="1C3A36"/>
                <w:sz w:val="16"/>
              </w:rPr>
              <w:t>44.2%</w:t>
            </w:r>
          </w:p>
        </w:tc>
        <w:tc>
          <w:tcPr>
            <w:tcW w:type="dxa" w:w="907"/>
          </w:tcPr>
          <w:p>
            <w:pPr>
              <w:spacing w:after="20"/>
              <w:jc w:val="right"/>
            </w:pPr>
            <w:r>
              <w:rPr>
                <w:color w:val="1C3A36"/>
                <w:sz w:val="16"/>
              </w:rPr>
              <w:t>46.1%</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47.0%</w:t>
            </w:r>
          </w:p>
        </w:tc>
      </w:tr>
      <w:tr>
        <w:tc>
          <w:tcPr>
            <w:tcW w:type="dxa" w:w="2678"/>
          </w:tcPr>
          <w:p>
            <w:pPr>
              <w:spacing w:after="20"/>
            </w:pPr>
            <w:r>
              <w:rPr>
                <w:color w:val="1C3A36"/>
                <w:sz w:val="16"/>
              </w:rPr>
              <w:t>Depreciation &amp; amortisation</w:t>
            </w:r>
          </w:p>
        </w:tc>
        <w:tc>
          <w:tcPr>
            <w:tcW w:type="dxa" w:w="907"/>
          </w:tcPr>
          <w:p>
            <w:pPr>
              <w:spacing w:after="20"/>
              <w:jc w:val="right"/>
            </w:pPr>
            <w:r>
              <w:rPr>
                <w:color w:val="1C3A36"/>
                <w:sz w:val="16"/>
              </w:rPr>
              <w:t>-2,198</w:t>
            </w:r>
          </w:p>
        </w:tc>
        <w:tc>
          <w:tcPr>
            <w:tcW w:type="dxa" w:w="907"/>
          </w:tcPr>
          <w:p>
            <w:pPr>
              <w:spacing w:after="20"/>
              <w:jc w:val="right"/>
            </w:pPr>
            <w:r>
              <w:rPr>
                <w:color w:val="1C3A36"/>
                <w:sz w:val="16"/>
              </w:rPr>
              <w:t>-2,154</w:t>
            </w:r>
          </w:p>
        </w:tc>
        <w:tc>
          <w:tcPr>
            <w:tcW w:type="dxa" w:w="907"/>
          </w:tcPr>
          <w:p>
            <w:pPr>
              <w:spacing w:after="20"/>
              <w:jc w:val="right"/>
            </w:pPr>
            <w:r>
              <w:rPr>
                <w:color w:val="1C3A36"/>
                <w:sz w:val="16"/>
              </w:rPr>
              <w:t>-2,168</w:t>
            </w:r>
          </w:p>
        </w:tc>
        <w:tc>
          <w:tcPr>
            <w:tcW w:type="dxa" w:w="907"/>
          </w:tcPr>
          <w:p>
            <w:pPr>
              <w:spacing w:after="20"/>
              <w:jc w:val="right"/>
            </w:pPr>
            <w:r>
              <w:rPr>
                <w:color w:val="1C3A36"/>
                <w:sz w:val="16"/>
              </w:rPr>
              <w:t>-2,235</w:t>
            </w:r>
          </w:p>
        </w:tc>
        <w:tc>
          <w:tcPr>
            <w:tcW w:type="dxa" w:w="907"/>
          </w:tcPr>
          <w:p>
            <w:pPr>
              <w:spacing w:after="20"/>
              <w:jc w:val="right"/>
            </w:pPr>
            <w:r>
              <w:rPr>
                <w:color w:val="1C3A36"/>
                <w:sz w:val="16"/>
              </w:rPr>
              <w:t>-2,352</w:t>
            </w:r>
          </w:p>
        </w:tc>
        <w:tc>
          <w:tcPr>
            <w:tcW w:type="dxa" w:w="907"/>
          </w:tcPr>
          <w:p>
            <w:pPr>
              <w:spacing w:after="20"/>
              <w:jc w:val="right"/>
            </w:pPr>
            <w:r>
              <w:rPr>
                <w:color w:val="1C3A36"/>
                <w:sz w:val="16"/>
              </w:rPr>
              <w:t>-2,448</w:t>
            </w:r>
          </w:p>
        </w:tc>
        <w:tc>
          <w:tcPr>
            <w:tcW w:type="dxa" w:w="907"/>
          </w:tcPr>
          <w:p>
            <w:pPr>
              <w:spacing w:after="20"/>
              <w:jc w:val="right"/>
            </w:pPr>
            <w:r>
              <w:rPr>
                <w:color w:val="1C3A36"/>
                <w:sz w:val="16"/>
              </w:rPr>
              <w:t>-2,530</w:t>
            </w:r>
          </w:p>
        </w:tc>
        <w:tc>
          <w:tcPr>
            <w:tcW w:type="dxa" w:w="907"/>
          </w:tcPr>
          <w:p>
            <w:pPr>
              <w:spacing w:after="20"/>
              <w:jc w:val="right"/>
            </w:pPr>
            <w:r>
              <w:rPr>
                <w:color w:val="1C3A36"/>
                <w:sz w:val="16"/>
              </w:rPr>
              <w:t>-2,582</w:t>
            </w:r>
          </w:p>
        </w:tc>
      </w:tr>
      <w:tr>
        <w:tc>
          <w:tcPr>
            <w:tcW w:type="dxa" w:w="2678"/>
          </w:tcPr>
          <w:p>
            <w:pPr>
              <w:spacing w:after="20"/>
            </w:pPr>
            <w:r>
              <w:rPr>
                <w:color w:val="1C3A36"/>
                <w:sz w:val="16"/>
              </w:rPr>
              <w:t>Operating profit (EBIT)</w:t>
            </w:r>
          </w:p>
        </w:tc>
        <w:tc>
          <w:tcPr>
            <w:tcW w:type="dxa" w:w="907"/>
          </w:tcPr>
          <w:p>
            <w:pPr>
              <w:spacing w:after="20"/>
              <w:jc w:val="right"/>
            </w:pPr>
            <w:r>
              <w:rPr>
                <w:color w:val="1C3A36"/>
                <w:sz w:val="16"/>
              </w:rPr>
              <w:t>3,601</w:t>
            </w:r>
          </w:p>
        </w:tc>
        <w:tc>
          <w:tcPr>
            <w:tcW w:type="dxa" w:w="907"/>
          </w:tcPr>
          <w:p>
            <w:pPr>
              <w:spacing w:after="20"/>
              <w:jc w:val="right"/>
            </w:pPr>
            <w:r>
              <w:rPr>
                <w:color w:val="1C3A36"/>
                <w:sz w:val="16"/>
              </w:rPr>
              <w:t>4,316</w:t>
            </w:r>
          </w:p>
        </w:tc>
        <w:tc>
          <w:tcPr>
            <w:tcW w:type="dxa" w:w="907"/>
          </w:tcPr>
          <w:p>
            <w:pPr>
              <w:spacing w:after="20"/>
              <w:jc w:val="right"/>
            </w:pPr>
            <w:r>
              <w:rPr>
                <w:color w:val="1C3A36"/>
                <w:sz w:val="16"/>
              </w:rPr>
              <w:t>5,170</w:t>
            </w:r>
          </w:p>
        </w:tc>
        <w:tc>
          <w:tcPr>
            <w:tcW w:type="dxa" w:w="907"/>
          </w:tcPr>
          <w:p>
            <w:pPr>
              <w:spacing w:after="20"/>
              <w:jc w:val="right"/>
            </w:pPr>
            <w:r>
              <w:rPr>
                <w:color w:val="1C3A36"/>
                <w:sz w:val="16"/>
              </w:rPr>
              <w:t>5,587</w:t>
            </w:r>
          </w:p>
        </w:tc>
        <w:tc>
          <w:tcPr>
            <w:tcW w:type="dxa" w:w="907"/>
          </w:tcPr>
          <w:p>
            <w:pPr>
              <w:spacing w:after="20"/>
              <w:jc w:val="right"/>
            </w:pPr>
            <w:r>
              <w:rPr>
                <w:color w:val="1C3A36"/>
                <w:sz w:val="16"/>
              </w:rPr>
              <w:t>5,765</w:t>
            </w:r>
          </w:p>
        </w:tc>
        <w:tc>
          <w:tcPr>
            <w:tcW w:type="dxa" w:w="907"/>
          </w:tcPr>
          <w:p>
            <w:pPr>
              <w:spacing w:after="20"/>
              <w:jc w:val="right"/>
            </w:pPr>
            <w:r>
              <w:rPr>
                <w:color w:val="1C3A36"/>
                <w:sz w:val="16"/>
              </w:rPr>
              <w:t>6,032</w:t>
            </w:r>
          </w:p>
        </w:tc>
        <w:tc>
          <w:tcPr>
            <w:tcW w:type="dxa" w:w="907"/>
          </w:tcPr>
          <w:p>
            <w:pPr>
              <w:spacing w:after="20"/>
              <w:jc w:val="right"/>
            </w:pPr>
            <w:r>
              <w:rPr>
                <w:color w:val="1C3A36"/>
                <w:sz w:val="16"/>
              </w:rPr>
              <w:t>6,284</w:t>
            </w:r>
          </w:p>
        </w:tc>
        <w:tc>
          <w:tcPr>
            <w:tcW w:type="dxa" w:w="907"/>
          </w:tcPr>
          <w:p>
            <w:pPr>
              <w:spacing w:after="20"/>
              <w:jc w:val="right"/>
            </w:pPr>
            <w:r>
              <w:rPr>
                <w:color w:val="1C3A36"/>
                <w:sz w:val="16"/>
              </w:rPr>
              <w:t>6,549</w:t>
            </w:r>
          </w:p>
        </w:tc>
      </w:tr>
      <w:tr>
        <w:tc>
          <w:tcPr>
            <w:tcW w:type="dxa" w:w="2678"/>
          </w:tcPr>
          <w:p>
            <w:pPr>
              <w:spacing w:after="20"/>
            </w:pPr>
            <w:r>
              <w:rPr>
                <w:color w:val="1C3A36"/>
                <w:sz w:val="16"/>
              </w:rPr>
              <w:t>Net finance income / (cost)</w:t>
            </w:r>
          </w:p>
        </w:tc>
        <w:tc>
          <w:tcPr>
            <w:tcW w:type="dxa" w:w="907"/>
          </w:tcPr>
          <w:p>
            <w:pPr>
              <w:spacing w:after="20"/>
              <w:jc w:val="right"/>
            </w:pPr>
            <w:r>
              <w:rPr>
                <w:color w:val="1C3A36"/>
                <w:sz w:val="16"/>
              </w:rPr>
              <w:t>—</w:t>
            </w:r>
          </w:p>
        </w:tc>
        <w:tc>
          <w:tcPr>
            <w:tcW w:type="dxa" w:w="907"/>
          </w:tcPr>
          <w:p>
            <w:pPr>
              <w:spacing w:after="20"/>
              <w:jc w:val="right"/>
            </w:pPr>
            <w:r>
              <w:rPr>
                <w:color w:val="1C3A36"/>
                <w:sz w:val="16"/>
              </w:rPr>
              <w:t>-8</w:t>
            </w:r>
          </w:p>
        </w:tc>
        <w:tc>
          <w:tcPr>
            <w:tcW w:type="dxa" w:w="907"/>
          </w:tcPr>
          <w:p>
            <w:pPr>
              <w:spacing w:after="20"/>
              <w:jc w:val="right"/>
            </w:pPr>
            <w:r>
              <w:rPr>
                <w:color w:val="1C3A36"/>
                <w:sz w:val="16"/>
              </w:rPr>
              <w:t>-20</w:t>
            </w:r>
          </w:p>
        </w:tc>
        <w:tc>
          <w:tcPr>
            <w:tcW w:type="dxa" w:w="907"/>
          </w:tcPr>
          <w:p>
            <w:pPr>
              <w:spacing w:after="20"/>
              <w:jc w:val="right"/>
            </w:pPr>
            <w:r>
              <w:rPr>
                <w:color w:val="1C3A36"/>
                <w:sz w:val="16"/>
              </w:rPr>
              <w:t>4</w:t>
            </w:r>
          </w:p>
        </w:tc>
        <w:tc>
          <w:tcPr>
            <w:tcW w:type="dxa" w:w="907"/>
          </w:tcPr>
          <w:p>
            <w:pPr>
              <w:spacing w:after="20"/>
              <w:jc w:val="right"/>
            </w:pPr>
            <w:r>
              <w:rPr>
                <w:color w:val="1C3A36"/>
                <w:sz w:val="16"/>
              </w:rPr>
              <w:t>-15</w:t>
            </w:r>
          </w:p>
        </w:tc>
        <w:tc>
          <w:tcPr>
            <w:tcW w:type="dxa" w:w="907"/>
          </w:tcPr>
          <w:p>
            <w:pPr>
              <w:spacing w:after="20"/>
              <w:jc w:val="right"/>
            </w:pPr>
            <w:r>
              <w:rPr>
                <w:color w:val="1C3A36"/>
                <w:sz w:val="16"/>
              </w:rPr>
              <w:t>-31</w:t>
            </w:r>
          </w:p>
        </w:tc>
        <w:tc>
          <w:tcPr>
            <w:tcW w:type="dxa" w:w="907"/>
          </w:tcPr>
          <w:p>
            <w:pPr>
              <w:spacing w:after="20"/>
              <w:jc w:val="right"/>
            </w:pPr>
            <w:r>
              <w:rPr>
                <w:color w:val="1C3A36"/>
                <w:sz w:val="16"/>
              </w:rPr>
              <w:t>-43</w:t>
            </w:r>
          </w:p>
        </w:tc>
        <w:tc>
          <w:tcPr>
            <w:tcW w:type="dxa" w:w="907"/>
          </w:tcPr>
          <w:p>
            <w:pPr>
              <w:spacing w:after="20"/>
              <w:jc w:val="right"/>
            </w:pPr>
            <w:r>
              <w:rPr>
                <w:color w:val="1C3A36"/>
                <w:sz w:val="16"/>
              </w:rPr>
              <w:t>-51</w:t>
            </w:r>
          </w:p>
        </w:tc>
      </w:tr>
      <w:tr>
        <w:tc>
          <w:tcPr>
            <w:tcW w:type="dxa" w:w="2678"/>
          </w:tcPr>
          <w:p>
            <w:pPr>
              <w:spacing w:after="20"/>
            </w:pPr>
            <w:r>
              <w:rPr>
                <w:color w:val="1C3A36"/>
                <w:sz w:val="16"/>
              </w:rPr>
              <w:t>Profit before royalty and tax</w:t>
            </w:r>
          </w:p>
        </w:tc>
        <w:tc>
          <w:tcPr>
            <w:tcW w:type="dxa" w:w="907"/>
          </w:tcPr>
          <w:p>
            <w:pPr>
              <w:spacing w:after="20"/>
              <w:jc w:val="right"/>
            </w:pPr>
            <w:r>
              <w:rPr>
                <w:color w:val="1C3A36"/>
                <w:sz w:val="16"/>
              </w:rPr>
              <w:t>3,559</w:t>
            </w:r>
          </w:p>
        </w:tc>
        <w:tc>
          <w:tcPr>
            <w:tcW w:type="dxa" w:w="907"/>
          </w:tcPr>
          <w:p>
            <w:pPr>
              <w:spacing w:after="20"/>
              <w:jc w:val="right"/>
            </w:pPr>
            <w:r>
              <w:rPr>
                <w:color w:val="1C3A36"/>
                <w:sz w:val="16"/>
              </w:rPr>
              <w:t>4,306</w:t>
            </w:r>
          </w:p>
        </w:tc>
        <w:tc>
          <w:tcPr>
            <w:tcW w:type="dxa" w:w="907"/>
          </w:tcPr>
          <w:p>
            <w:pPr>
              <w:spacing w:after="20"/>
              <w:jc w:val="right"/>
            </w:pPr>
            <w:r>
              <w:rPr>
                <w:color w:val="1C3A36"/>
                <w:sz w:val="16"/>
              </w:rPr>
              <w:t>5,149</w:t>
            </w:r>
          </w:p>
        </w:tc>
        <w:tc>
          <w:tcPr>
            <w:tcW w:type="dxa" w:w="907"/>
          </w:tcPr>
          <w:p>
            <w:pPr>
              <w:spacing w:after="20"/>
              <w:jc w:val="right"/>
            </w:pPr>
            <w:r>
              <w:rPr>
                <w:color w:val="1C3A36"/>
                <w:sz w:val="16"/>
              </w:rPr>
              <w:t>5,591</w:t>
            </w:r>
          </w:p>
        </w:tc>
        <w:tc>
          <w:tcPr>
            <w:tcW w:type="dxa" w:w="907"/>
          </w:tcPr>
          <w:p>
            <w:pPr>
              <w:spacing w:after="20"/>
              <w:jc w:val="right"/>
            </w:pPr>
            <w:r>
              <w:rPr>
                <w:color w:val="1C3A36"/>
                <w:sz w:val="16"/>
              </w:rPr>
              <w:t>5,750</w:t>
            </w:r>
          </w:p>
        </w:tc>
        <w:tc>
          <w:tcPr>
            <w:tcW w:type="dxa" w:w="907"/>
          </w:tcPr>
          <w:p>
            <w:pPr>
              <w:spacing w:after="20"/>
              <w:jc w:val="right"/>
            </w:pPr>
            <w:r>
              <w:rPr>
                <w:color w:val="1C3A36"/>
                <w:sz w:val="16"/>
              </w:rPr>
              <w:t>6,002</w:t>
            </w:r>
          </w:p>
        </w:tc>
        <w:tc>
          <w:tcPr>
            <w:tcW w:type="dxa" w:w="907"/>
          </w:tcPr>
          <w:p>
            <w:pPr>
              <w:spacing w:after="20"/>
              <w:jc w:val="right"/>
            </w:pPr>
            <w:r>
              <w:rPr>
                <w:color w:val="1C3A36"/>
                <w:sz w:val="16"/>
              </w:rPr>
              <w:t>6,241</w:t>
            </w:r>
          </w:p>
        </w:tc>
        <w:tc>
          <w:tcPr>
            <w:tcW w:type="dxa" w:w="907"/>
          </w:tcPr>
          <w:p>
            <w:pPr>
              <w:spacing w:after="20"/>
              <w:jc w:val="right"/>
            </w:pPr>
            <w:r>
              <w:rPr>
                <w:color w:val="1C3A36"/>
                <w:sz w:val="16"/>
              </w:rPr>
              <w:t>6,498</w:t>
            </w:r>
          </w:p>
        </w:tc>
      </w:tr>
      <w:tr>
        <w:tc>
          <w:tcPr>
            <w:tcW w:type="dxa" w:w="2678"/>
          </w:tcPr>
          <w:p>
            <w:pPr>
              <w:spacing w:after="20"/>
            </w:pPr>
            <w:r>
              <w:rPr>
                <w:color w:val="1C3A36"/>
                <w:sz w:val="16"/>
              </w:rPr>
              <w:t>Federal royalty and income tax</w:t>
            </w:r>
          </w:p>
        </w:tc>
        <w:tc>
          <w:tcPr>
            <w:tcW w:type="dxa" w:w="907"/>
          </w:tcPr>
          <w:p>
            <w:pPr>
              <w:spacing w:after="20"/>
              <w:jc w:val="right"/>
            </w:pPr>
            <w:r>
              <w:rPr>
                <w:color w:val="1C3A36"/>
                <w:sz w:val="16"/>
              </w:rPr>
              <w:t>-1,891</w:t>
            </w:r>
          </w:p>
        </w:tc>
        <w:tc>
          <w:tcPr>
            <w:tcW w:type="dxa" w:w="907"/>
          </w:tcPr>
          <w:p>
            <w:pPr>
              <w:spacing w:after="20"/>
              <w:jc w:val="right"/>
            </w:pPr>
            <w:r>
              <w:rPr>
                <w:color w:val="1C3A36"/>
                <w:sz w:val="16"/>
              </w:rPr>
              <w:t>-1,819</w:t>
            </w:r>
          </w:p>
        </w:tc>
        <w:tc>
          <w:tcPr>
            <w:tcW w:type="dxa" w:w="907"/>
          </w:tcPr>
          <w:p>
            <w:pPr>
              <w:spacing w:after="20"/>
              <w:jc w:val="right"/>
            </w:pPr>
            <w:r>
              <w:rPr>
                <w:color w:val="1C3A36"/>
                <w:sz w:val="16"/>
              </w:rPr>
              <w:t>-2,244</w:t>
            </w:r>
          </w:p>
        </w:tc>
        <w:tc>
          <w:tcPr>
            <w:tcW w:type="dxa" w:w="907"/>
          </w:tcPr>
          <w:p>
            <w:pPr>
              <w:spacing w:after="20"/>
              <w:jc w:val="right"/>
            </w:pPr>
            <w:r>
              <w:rPr>
                <w:color w:val="1C3A36"/>
                <w:sz w:val="16"/>
              </w:rPr>
              <w:t>-2,436</w:t>
            </w:r>
          </w:p>
        </w:tc>
        <w:tc>
          <w:tcPr>
            <w:tcW w:type="dxa" w:w="907"/>
          </w:tcPr>
          <w:p>
            <w:pPr>
              <w:spacing w:after="20"/>
              <w:jc w:val="right"/>
            </w:pPr>
            <w:r>
              <w:rPr>
                <w:color w:val="1C3A36"/>
                <w:sz w:val="16"/>
              </w:rPr>
              <w:t>-2,505</w:t>
            </w:r>
          </w:p>
        </w:tc>
        <w:tc>
          <w:tcPr>
            <w:tcW w:type="dxa" w:w="907"/>
          </w:tcPr>
          <w:p>
            <w:pPr>
              <w:spacing w:after="20"/>
              <w:jc w:val="right"/>
            </w:pPr>
            <w:r>
              <w:rPr>
                <w:color w:val="1C3A36"/>
                <w:sz w:val="16"/>
              </w:rPr>
              <w:t>-2,615</w:t>
            </w:r>
          </w:p>
        </w:tc>
        <w:tc>
          <w:tcPr>
            <w:tcW w:type="dxa" w:w="907"/>
          </w:tcPr>
          <w:p>
            <w:pPr>
              <w:spacing w:after="20"/>
              <w:jc w:val="right"/>
            </w:pPr>
            <w:r>
              <w:rPr>
                <w:color w:val="1C3A36"/>
                <w:sz w:val="16"/>
              </w:rPr>
              <w:t>-2,719</w:t>
            </w:r>
          </w:p>
        </w:tc>
        <w:tc>
          <w:tcPr>
            <w:tcW w:type="dxa" w:w="907"/>
          </w:tcPr>
          <w:p>
            <w:pPr>
              <w:spacing w:after="20"/>
              <w:jc w:val="right"/>
            </w:pPr>
            <w:r>
              <w:rPr>
                <w:color w:val="1C3A36"/>
                <w:sz w:val="16"/>
              </w:rPr>
              <w:t>-2,831</w:t>
            </w:r>
          </w:p>
        </w:tc>
      </w:tr>
      <w:tr>
        <w:tc>
          <w:tcPr>
            <w:tcW w:type="dxa" w:w="2678"/>
            <w:shd w:val="clear" w:color="auto" w:fill="F6F1E6"/>
          </w:tcPr>
          <w:p>
            <w:pPr>
              <w:spacing w:after="20"/>
            </w:pPr>
            <w:r>
              <w:rPr>
                <w:b/>
                <w:color w:val="1C3A36"/>
                <w:sz w:val="16"/>
              </w:rPr>
              <w:t>Net profit</w:t>
            </w:r>
          </w:p>
        </w:tc>
        <w:tc>
          <w:tcPr>
            <w:tcW w:type="dxa" w:w="907"/>
            <w:shd w:val="clear" w:color="auto" w:fill="F6F1E6"/>
          </w:tcPr>
          <w:p>
            <w:pPr>
              <w:spacing w:after="20"/>
              <w:jc w:val="right"/>
            </w:pPr>
            <w:r>
              <w:rPr>
                <w:b/>
                <w:color w:val="1C3A36"/>
                <w:sz w:val="16"/>
              </w:rPr>
              <w:t>1,668</w:t>
            </w:r>
          </w:p>
        </w:tc>
        <w:tc>
          <w:tcPr>
            <w:tcW w:type="dxa" w:w="907"/>
            <w:shd w:val="clear" w:color="auto" w:fill="F6F1E6"/>
          </w:tcPr>
          <w:p>
            <w:pPr>
              <w:spacing w:after="20"/>
              <w:jc w:val="right"/>
            </w:pPr>
            <w:r>
              <w:rPr>
                <w:b/>
                <w:color w:val="1C3A36"/>
                <w:sz w:val="16"/>
              </w:rPr>
              <w:t>2,488</w:t>
            </w:r>
          </w:p>
        </w:tc>
        <w:tc>
          <w:tcPr>
            <w:tcW w:type="dxa" w:w="907"/>
            <w:shd w:val="clear" w:color="auto" w:fill="F6F1E6"/>
          </w:tcPr>
          <w:p>
            <w:pPr>
              <w:spacing w:after="20"/>
              <w:jc w:val="right"/>
            </w:pPr>
            <w:r>
              <w:rPr>
                <w:b/>
                <w:color w:val="1C3A36"/>
                <w:sz w:val="16"/>
              </w:rPr>
              <w:t>2,905</w:t>
            </w:r>
          </w:p>
        </w:tc>
        <w:tc>
          <w:tcPr>
            <w:tcW w:type="dxa" w:w="907"/>
            <w:shd w:val="clear" w:color="auto" w:fill="F6F1E6"/>
          </w:tcPr>
          <w:p>
            <w:pPr>
              <w:spacing w:after="20"/>
              <w:jc w:val="right"/>
            </w:pPr>
            <w:r>
              <w:rPr>
                <w:b/>
                <w:color w:val="1C3A36"/>
                <w:sz w:val="16"/>
              </w:rPr>
              <w:t>3,155</w:t>
            </w:r>
          </w:p>
        </w:tc>
        <w:tc>
          <w:tcPr>
            <w:tcW w:type="dxa" w:w="907"/>
            <w:shd w:val="clear" w:color="auto" w:fill="F6F1E6"/>
          </w:tcPr>
          <w:p>
            <w:pPr>
              <w:spacing w:after="20"/>
              <w:jc w:val="right"/>
            </w:pPr>
            <w:r>
              <w:rPr>
                <w:b/>
                <w:color w:val="1C3A36"/>
                <w:sz w:val="16"/>
              </w:rPr>
              <w:t>3,245</w:t>
            </w:r>
          </w:p>
        </w:tc>
        <w:tc>
          <w:tcPr>
            <w:tcW w:type="dxa" w:w="907"/>
            <w:shd w:val="clear" w:color="auto" w:fill="F6F1E6"/>
          </w:tcPr>
          <w:p>
            <w:pPr>
              <w:spacing w:after="20"/>
              <w:jc w:val="right"/>
            </w:pPr>
            <w:r>
              <w:rPr>
                <w:b/>
                <w:color w:val="1C3A36"/>
                <w:sz w:val="16"/>
              </w:rPr>
              <w:t>3,387</w:t>
            </w:r>
          </w:p>
        </w:tc>
        <w:tc>
          <w:tcPr>
            <w:tcW w:type="dxa" w:w="907"/>
            <w:shd w:val="clear" w:color="auto" w:fill="F6F1E6"/>
          </w:tcPr>
          <w:p>
            <w:pPr>
              <w:spacing w:after="20"/>
              <w:jc w:val="right"/>
            </w:pPr>
            <w:r>
              <w:rPr>
                <w:b/>
                <w:color w:val="1C3A36"/>
                <w:sz w:val="16"/>
              </w:rPr>
              <w:t>3,522</w:t>
            </w:r>
          </w:p>
        </w:tc>
        <w:tc>
          <w:tcPr>
            <w:tcW w:type="dxa" w:w="907"/>
            <w:shd w:val="clear" w:color="auto" w:fill="F6F1E6"/>
          </w:tcPr>
          <w:p>
            <w:pPr>
              <w:spacing w:after="20"/>
              <w:jc w:val="right"/>
            </w:pPr>
            <w:r>
              <w:rPr>
                <w:b/>
                <w:color w:val="1C3A36"/>
                <w:sz w:val="16"/>
              </w:rPr>
              <w:t>3,667</w:t>
            </w:r>
          </w:p>
        </w:tc>
      </w:tr>
      <w:tr>
        <w:tc>
          <w:tcPr>
            <w:tcW w:type="dxa" w:w="2678"/>
          </w:tcPr>
          <w:p>
            <w:pPr>
              <w:spacing w:after="20"/>
            </w:pPr>
            <w:r>
              <w:rPr>
                <w:color w:val="1C3A36"/>
                <w:sz w:val="16"/>
              </w:rPr>
              <w:t>Earnings per share (AED)</w:t>
            </w:r>
          </w:p>
        </w:tc>
        <w:tc>
          <w:tcPr>
            <w:tcW w:type="dxa" w:w="907"/>
          </w:tcPr>
          <w:p>
            <w:pPr>
              <w:spacing w:after="20"/>
              <w:jc w:val="right"/>
            </w:pPr>
            <w:r>
              <w:rPr>
                <w:color w:val="1C3A36"/>
                <w:sz w:val="16"/>
              </w:rPr>
              <w:t>0.37</w:t>
            </w:r>
          </w:p>
        </w:tc>
        <w:tc>
          <w:tcPr>
            <w:tcW w:type="dxa" w:w="907"/>
          </w:tcPr>
          <w:p>
            <w:pPr>
              <w:spacing w:after="20"/>
              <w:jc w:val="right"/>
            </w:pPr>
            <w:r>
              <w:rPr>
                <w:color w:val="1C3A36"/>
                <w:sz w:val="16"/>
              </w:rPr>
              <w:t>0.55</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0.72</w:t>
            </w:r>
          </w:p>
        </w:tc>
        <w:tc>
          <w:tcPr>
            <w:tcW w:type="dxa" w:w="907"/>
          </w:tcPr>
          <w:p>
            <w:pPr>
              <w:spacing w:after="20"/>
              <w:jc w:val="right"/>
            </w:pPr>
            <w:r>
              <w:rPr>
                <w:color w:val="1C3A36"/>
                <w:sz w:val="16"/>
              </w:rPr>
              <w:t>0.75</w:t>
            </w:r>
          </w:p>
        </w:tc>
        <w:tc>
          <w:tcPr>
            <w:tcW w:type="dxa" w:w="907"/>
          </w:tcPr>
          <w:p>
            <w:pPr>
              <w:spacing w:after="20"/>
              <w:jc w:val="right"/>
            </w:pPr>
            <w:r>
              <w:rPr>
                <w:color w:val="1C3A36"/>
                <w:sz w:val="16"/>
              </w:rPr>
              <w:t>0.78</w:t>
            </w:r>
          </w:p>
        </w:tc>
        <w:tc>
          <w:tcPr>
            <w:tcW w:type="dxa" w:w="907"/>
          </w:tcPr>
          <w:p>
            <w:pPr>
              <w:spacing w:after="20"/>
              <w:jc w:val="right"/>
            </w:pPr>
            <w:r>
              <w:rPr>
                <w:color w:val="1C3A36"/>
                <w:sz w:val="16"/>
              </w:rPr>
              <w:t>0.81</w:t>
            </w:r>
          </w:p>
        </w:tc>
      </w:tr>
      <w:tr>
        <w:tc>
          <w:tcPr>
            <w:tcW w:type="dxa" w:w="2678"/>
          </w:tcPr>
          <w:p>
            <w:pPr>
              <w:spacing w:after="20"/>
            </w:pPr>
            <w:r>
              <w:rPr>
                <w:color w:val="1C3A36"/>
                <w:sz w:val="16"/>
              </w:rPr>
              <w:t>Dividend per share (AED)</w:t>
            </w:r>
          </w:p>
        </w:tc>
        <w:tc>
          <w:tcPr>
            <w:tcW w:type="dxa" w:w="907"/>
          </w:tcPr>
          <w:p>
            <w:pPr>
              <w:spacing w:after="20"/>
              <w:jc w:val="right"/>
            </w:pPr>
            <w:r>
              <w:rPr>
                <w:color w:val="1C3A36"/>
                <w:sz w:val="16"/>
              </w:rPr>
              <w:t>0.34</w:t>
            </w:r>
          </w:p>
        </w:tc>
        <w:tc>
          <w:tcPr>
            <w:tcW w:type="dxa" w:w="907"/>
          </w:tcPr>
          <w:p>
            <w:pPr>
              <w:spacing w:after="20"/>
              <w:jc w:val="right"/>
            </w:pPr>
            <w:r>
              <w:rPr>
                <w:color w:val="1C3A36"/>
                <w:sz w:val="16"/>
              </w:rPr>
              <w:t>0.54</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0.68</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0.73</w:t>
            </w:r>
          </w:p>
        </w:tc>
        <w:tc>
          <w:tcPr>
            <w:tcW w:type="dxa" w:w="907"/>
          </w:tcPr>
          <w:p>
            <w:pPr>
              <w:spacing w:after="20"/>
              <w:jc w:val="right"/>
            </w:pPr>
            <w:r>
              <w:rPr>
                <w:color w:val="1C3A36"/>
                <w:sz w:val="16"/>
              </w:rPr>
              <w:t>0.76</w:t>
            </w:r>
          </w:p>
        </w:tc>
        <w:tc>
          <w:tcPr>
            <w:tcW w:type="dxa" w:w="907"/>
          </w:tcPr>
          <w:p>
            <w:pPr>
              <w:spacing w:after="20"/>
              <w:jc w:val="right"/>
            </w:pPr>
            <w:r>
              <w:rPr>
                <w:color w:val="1C3A36"/>
                <w:sz w:val="16"/>
              </w:rPr>
              <w:t>0.79</w:t>
            </w:r>
          </w:p>
        </w:tc>
      </w:tr>
    </w:tbl>
    <w:p>
      <w:pPr>
        <w:spacing w:after="40"/>
      </w:pPr>
    </w:p>
    <w:p>
      <w:pPr>
        <w:spacing w:after="200" w:before="0"/>
      </w:pPr>
      <w:r>
        <w:rPr>
          <w:b w:val="0"/>
          <w:i/>
          <w:color w:val="6E7B77"/>
          <w:sz w:val="17"/>
        </w:rPr>
        <w:t>Table A1 — FY2023-25 are the audited figures (FY2024 on the re-presented basis of the FY2025 statements, so the two recent years sit on one presentation; FY2023 EBITDA is derived from audited components because the older format prints no such line, and is flagged as such). The FY2023 royalty is the old-regime charge; no corporate income tax existed before 2024.</w:t>
      </w:r>
    </w:p>
    <w:p>
      <w:pPr>
        <w:spacing w:after="80" w:before="200"/>
      </w:pPr>
      <w:r>
        <w:rPr>
          <w:b/>
          <w:i w:val="0"/>
          <w:color w:val="1C3A36"/>
          <w:sz w:val="24"/>
        </w:rPr>
        <w:t>A.2  Balance sheet — condensed house layout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Property, plant and equipment</w:t>
            </w:r>
          </w:p>
        </w:tc>
        <w:tc>
          <w:tcPr>
            <w:tcW w:type="dxa" w:w="907"/>
          </w:tcPr>
          <w:p>
            <w:pPr>
              <w:spacing w:after="20"/>
              <w:jc w:val="right"/>
            </w:pPr>
            <w:r>
              <w:rPr>
                <w:color w:val="1C3A36"/>
                <w:sz w:val="16"/>
              </w:rPr>
              <w:t>9,723</w:t>
            </w:r>
          </w:p>
        </w:tc>
        <w:tc>
          <w:tcPr>
            <w:tcW w:type="dxa" w:w="907"/>
          </w:tcPr>
          <w:p>
            <w:pPr>
              <w:spacing w:after="20"/>
              <w:jc w:val="right"/>
            </w:pPr>
            <w:r>
              <w:rPr>
                <w:color w:val="1C3A36"/>
                <w:sz w:val="16"/>
              </w:rPr>
              <w:t>9,838</w:t>
            </w:r>
          </w:p>
        </w:tc>
        <w:tc>
          <w:tcPr>
            <w:tcW w:type="dxa" w:w="907"/>
          </w:tcPr>
          <w:p>
            <w:pPr>
              <w:spacing w:after="20"/>
              <w:jc w:val="right"/>
            </w:pPr>
            <w:r>
              <w:rPr>
                <w:color w:val="1C3A36"/>
                <w:sz w:val="16"/>
              </w:rPr>
              <w:t>10,289</w:t>
            </w:r>
          </w:p>
        </w:tc>
        <w:tc>
          <w:tcPr>
            <w:tcW w:type="dxa" w:w="907"/>
          </w:tcPr>
          <w:p>
            <w:pPr>
              <w:spacing w:after="20"/>
              <w:jc w:val="right"/>
            </w:pPr>
            <w:r>
              <w:rPr>
                <w:color w:val="1C3A36"/>
                <w:sz w:val="16"/>
              </w:rPr>
              <w:t>10,887</w:t>
            </w:r>
          </w:p>
        </w:tc>
        <w:tc>
          <w:tcPr>
            <w:tcW w:type="dxa" w:w="907"/>
          </w:tcPr>
          <w:p>
            <w:pPr>
              <w:spacing w:after="20"/>
              <w:jc w:val="right"/>
            </w:pPr>
            <w:r>
              <w:rPr>
                <w:color w:val="1C3A36"/>
                <w:sz w:val="16"/>
              </w:rPr>
              <w:t>11,403</w:t>
            </w:r>
          </w:p>
        </w:tc>
        <w:tc>
          <w:tcPr>
            <w:tcW w:type="dxa" w:w="907"/>
          </w:tcPr>
          <w:p>
            <w:pPr>
              <w:spacing w:after="20"/>
              <w:jc w:val="right"/>
            </w:pPr>
            <w:r>
              <w:rPr>
                <w:color w:val="1C3A36"/>
                <w:sz w:val="16"/>
              </w:rPr>
              <w:t>11,860</w:t>
            </w:r>
          </w:p>
        </w:tc>
        <w:tc>
          <w:tcPr>
            <w:tcW w:type="dxa" w:w="907"/>
          </w:tcPr>
          <w:p>
            <w:pPr>
              <w:spacing w:after="20"/>
              <w:jc w:val="right"/>
            </w:pPr>
            <w:r>
              <w:rPr>
                <w:color w:val="1C3A36"/>
                <w:sz w:val="16"/>
              </w:rPr>
              <w:t>12,173</w:t>
            </w:r>
          </w:p>
        </w:tc>
        <w:tc>
          <w:tcPr>
            <w:tcW w:type="dxa" w:w="907"/>
          </w:tcPr>
          <w:p>
            <w:pPr>
              <w:spacing w:after="20"/>
              <w:jc w:val="right"/>
            </w:pPr>
            <w:r>
              <w:rPr>
                <w:color w:val="1C3A36"/>
                <w:sz w:val="16"/>
              </w:rPr>
              <w:t>12,432</w:t>
            </w:r>
          </w:p>
        </w:tc>
      </w:tr>
      <w:tr>
        <w:tc>
          <w:tcPr>
            <w:tcW w:type="dxa" w:w="2678"/>
          </w:tcPr>
          <w:p>
            <w:pPr>
              <w:spacing w:after="20"/>
            </w:pPr>
            <w:r>
              <w:rPr>
                <w:color w:val="1C3A36"/>
                <w:sz w:val="16"/>
              </w:rPr>
              <w:t>Right-of-use assets</w:t>
            </w:r>
          </w:p>
        </w:tc>
        <w:tc>
          <w:tcPr>
            <w:tcW w:type="dxa" w:w="907"/>
          </w:tcPr>
          <w:p>
            <w:pPr>
              <w:spacing w:after="20"/>
              <w:jc w:val="right"/>
            </w:pPr>
            <w:r>
              <w:rPr>
                <w:color w:val="1C3A36"/>
                <w:sz w:val="16"/>
              </w:rPr>
              <w:t>1,597</w:t>
            </w:r>
          </w:p>
        </w:tc>
        <w:tc>
          <w:tcPr>
            <w:tcW w:type="dxa" w:w="907"/>
          </w:tcPr>
          <w:p>
            <w:pPr>
              <w:spacing w:after="20"/>
              <w:jc w:val="right"/>
            </w:pPr>
            <w:r>
              <w:rPr>
                <w:color w:val="1C3A36"/>
                <w:sz w:val="16"/>
              </w:rPr>
              <w:t>1,657</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r>
      <w:tr>
        <w:tc>
          <w:tcPr>
            <w:tcW w:type="dxa" w:w="2678"/>
          </w:tcPr>
          <w:p>
            <w:pPr>
              <w:spacing w:after="20"/>
            </w:pPr>
            <w:r>
              <w:rPr>
                <w:color w:val="1C3A36"/>
                <w:sz w:val="16"/>
              </w:rPr>
              <w:t>Intangibles (excl. goodwill)</w:t>
            </w:r>
          </w:p>
        </w:tc>
        <w:tc>
          <w:tcPr>
            <w:tcW w:type="dxa" w:w="907"/>
          </w:tcPr>
          <w:p>
            <w:pPr>
              <w:spacing w:after="20"/>
              <w:jc w:val="right"/>
            </w:pPr>
            <w:r>
              <w:rPr>
                <w:color w:val="1C3A36"/>
                <w:sz w:val="16"/>
              </w:rPr>
              <w:t>1,111</w:t>
            </w:r>
          </w:p>
        </w:tc>
        <w:tc>
          <w:tcPr>
            <w:tcW w:type="dxa" w:w="907"/>
          </w:tcPr>
          <w:p>
            <w:pPr>
              <w:spacing w:after="20"/>
              <w:jc w:val="right"/>
            </w:pPr>
            <w:r>
              <w:rPr>
                <w:color w:val="1C3A36"/>
                <w:sz w:val="16"/>
              </w:rPr>
              <w:t>847</w:t>
            </w:r>
          </w:p>
        </w:tc>
        <w:tc>
          <w:tcPr>
            <w:tcW w:type="dxa" w:w="907"/>
          </w:tcPr>
          <w:p>
            <w:pPr>
              <w:spacing w:after="20"/>
              <w:jc w:val="right"/>
            </w:pPr>
            <w:r>
              <w:rPr>
                <w:color w:val="1C3A36"/>
                <w:sz w:val="16"/>
              </w:rPr>
              <w:t>870</w:t>
            </w:r>
          </w:p>
        </w:tc>
        <w:tc>
          <w:tcPr>
            <w:tcW w:type="dxa" w:w="907"/>
          </w:tcPr>
          <w:p>
            <w:pPr>
              <w:spacing w:after="20"/>
              <w:jc w:val="right"/>
            </w:pPr>
            <w:r>
              <w:rPr>
                <w:color w:val="1C3A36"/>
                <w:sz w:val="16"/>
              </w:rPr>
              <w:t>963</w:t>
            </w:r>
          </w:p>
        </w:tc>
        <w:tc>
          <w:tcPr>
            <w:tcW w:type="dxa" w:w="907"/>
          </w:tcPr>
          <w:p>
            <w:pPr>
              <w:spacing w:after="20"/>
              <w:jc w:val="right"/>
            </w:pPr>
            <w:r>
              <w:rPr>
                <w:color w:val="1C3A36"/>
                <w:sz w:val="16"/>
              </w:rPr>
              <w:t>1,031</w:t>
            </w:r>
          </w:p>
        </w:tc>
        <w:tc>
          <w:tcPr>
            <w:tcW w:type="dxa" w:w="907"/>
          </w:tcPr>
          <w:p>
            <w:pPr>
              <w:spacing w:after="20"/>
              <w:jc w:val="right"/>
            </w:pPr>
            <w:r>
              <w:rPr>
                <w:color w:val="1C3A36"/>
                <w:sz w:val="16"/>
              </w:rPr>
              <w:t>1,083</w:t>
            </w:r>
          </w:p>
        </w:tc>
        <w:tc>
          <w:tcPr>
            <w:tcW w:type="dxa" w:w="907"/>
          </w:tcPr>
          <w:p>
            <w:pPr>
              <w:spacing w:after="20"/>
              <w:jc w:val="right"/>
            </w:pPr>
            <w:r>
              <w:rPr>
                <w:color w:val="1C3A36"/>
                <w:sz w:val="16"/>
              </w:rPr>
              <w:t>1,109</w:t>
            </w:r>
          </w:p>
        </w:tc>
        <w:tc>
          <w:tcPr>
            <w:tcW w:type="dxa" w:w="907"/>
          </w:tcPr>
          <w:p>
            <w:pPr>
              <w:spacing w:after="20"/>
              <w:jc w:val="right"/>
            </w:pPr>
            <w:r>
              <w:rPr>
                <w:color w:val="1C3A36"/>
                <w:sz w:val="16"/>
              </w:rPr>
              <w:t>1,127</w:t>
            </w:r>
          </w:p>
        </w:tc>
      </w:tr>
      <w:tr>
        <w:tc>
          <w:tcPr>
            <w:tcW w:type="dxa" w:w="2678"/>
          </w:tcPr>
          <w:p>
            <w:pPr>
              <w:spacing w:after="20"/>
            </w:pPr>
            <w:r>
              <w:rPr>
                <w:color w:val="1C3A36"/>
                <w:sz w:val="16"/>
              </w:rPr>
              <w:t>Goodwill</w:t>
            </w:r>
          </w:p>
        </w:tc>
        <w:tc>
          <w:tcPr>
            <w:tcW w:type="dxa" w:w="907"/>
          </w:tcPr>
          <w:p>
            <w:pPr>
              <w:spacing w:after="20"/>
              <w:jc w:val="right"/>
            </w:pPr>
            <w:r>
              <w:rPr>
                <w:color w:val="1C3A36"/>
                <w:sz w:val="16"/>
              </w:rPr>
              <w:t>—</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r>
      <w:tr>
        <w:tc>
          <w:tcPr>
            <w:tcW w:type="dxa" w:w="2678"/>
          </w:tcPr>
          <w:p>
            <w:pPr>
              <w:spacing w:after="20"/>
            </w:pPr>
            <w:r>
              <w:rPr>
                <w:color w:val="1C3A36"/>
                <w:sz w:val="16"/>
              </w:rPr>
              <w:t>Net working capital</w:t>
            </w:r>
          </w:p>
        </w:tc>
        <w:tc>
          <w:tcPr>
            <w:tcW w:type="dxa" w:w="907"/>
          </w:tcPr>
          <w:p>
            <w:pPr>
              <w:spacing w:after="20"/>
              <w:jc w:val="right"/>
            </w:pPr>
            <w:r>
              <w:rPr>
                <w:color w:val="1C3A36"/>
                <w:sz w:val="16"/>
              </w:rPr>
              <w:t>-965</w:t>
            </w:r>
          </w:p>
        </w:tc>
        <w:tc>
          <w:tcPr>
            <w:tcW w:type="dxa" w:w="907"/>
          </w:tcPr>
          <w:p>
            <w:pPr>
              <w:spacing w:after="20"/>
              <w:jc w:val="right"/>
            </w:pPr>
            <w:r>
              <w:rPr>
                <w:color w:val="1C3A36"/>
                <w:sz w:val="16"/>
              </w:rPr>
              <w:t>-1,220</w:t>
            </w:r>
          </w:p>
        </w:tc>
        <w:tc>
          <w:tcPr>
            <w:tcW w:type="dxa" w:w="907"/>
          </w:tcPr>
          <w:p>
            <w:pPr>
              <w:spacing w:after="20"/>
              <w:jc w:val="right"/>
            </w:pPr>
            <w:r>
              <w:rPr>
                <w:color w:val="1C3A36"/>
                <w:sz w:val="16"/>
              </w:rPr>
              <w:t>-1,062</w:t>
            </w:r>
          </w:p>
        </w:tc>
        <w:tc>
          <w:tcPr>
            <w:tcW w:type="dxa" w:w="907"/>
          </w:tcPr>
          <w:p>
            <w:pPr>
              <w:spacing w:after="20"/>
              <w:jc w:val="right"/>
            </w:pPr>
            <w:r>
              <w:rPr>
                <w:color w:val="1C3A36"/>
                <w:sz w:val="16"/>
              </w:rPr>
              <w:t>-1,108</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-1,203</w:t>
            </w:r>
          </w:p>
        </w:tc>
        <w:tc>
          <w:tcPr>
            <w:tcW w:type="dxa" w:w="907"/>
          </w:tcPr>
          <w:p>
            <w:pPr>
              <w:spacing w:after="20"/>
              <w:jc w:val="right"/>
            </w:pPr>
            <w:r>
              <w:rPr>
                <w:color w:val="1C3A36"/>
                <w:sz w:val="16"/>
              </w:rPr>
              <w:t>-1,251</w:t>
            </w:r>
          </w:p>
        </w:tc>
        <w:tc>
          <w:tcPr>
            <w:tcW w:type="dxa" w:w="907"/>
          </w:tcPr>
          <w:p>
            <w:pPr>
              <w:spacing w:after="20"/>
              <w:jc w:val="right"/>
            </w:pPr>
            <w:r>
              <w:rPr>
                <w:color w:val="1C3A36"/>
                <w:sz w:val="16"/>
              </w:rPr>
              <w:t>-1,297</w:t>
            </w:r>
          </w:p>
        </w:tc>
      </w:tr>
      <w:tr>
        <w:tc>
          <w:tcPr>
            <w:tcW w:type="dxa" w:w="2678"/>
          </w:tcPr>
          <w:p>
            <w:pPr>
              <w:spacing w:after="20"/>
            </w:pPr>
            <w:r>
              <w:rPr>
                <w:color w:val="1C3A36"/>
                <w:sz w:val="16"/>
              </w:rPr>
              <w:t>Cash and term deposits</w:t>
            </w:r>
          </w:p>
        </w:tc>
        <w:tc>
          <w:tcPr>
            <w:tcW w:type="dxa" w:w="907"/>
          </w:tcPr>
          <w:p>
            <w:pPr>
              <w:spacing w:after="20"/>
              <w:jc w:val="right"/>
            </w:pPr>
            <w:r>
              <w:rPr>
                <w:color w:val="1C3A36"/>
                <w:sz w:val="16"/>
              </w:rPr>
              <w:t>1,937</w:t>
            </w:r>
          </w:p>
        </w:tc>
        <w:tc>
          <w:tcPr>
            <w:tcW w:type="dxa" w:w="907"/>
          </w:tcPr>
          <w:p>
            <w:pPr>
              <w:spacing w:after="20"/>
              <w:jc w:val="right"/>
            </w:pPr>
            <w:r>
              <w:rPr>
                <w:color w:val="1C3A36"/>
                <w:sz w:val="16"/>
              </w:rPr>
              <w:t>2,283</w:t>
            </w:r>
          </w:p>
        </w:tc>
        <w:tc>
          <w:tcPr>
            <w:tcW w:type="dxa" w:w="907"/>
          </w:tcPr>
          <w:p>
            <w:pPr>
              <w:spacing w:after="20"/>
              <w:jc w:val="right"/>
            </w:pPr>
            <w:r>
              <w:rPr>
                <w:color w:val="1C3A36"/>
                <w:sz w:val="16"/>
              </w:rPr>
              <w:t>2,250</w:t>
            </w:r>
          </w:p>
        </w:tc>
        <w:tc>
          <w:tcPr>
            <w:tcW w:type="dxa" w:w="907"/>
          </w:tcPr>
          <w:p>
            <w:pPr>
              <w:spacing w:after="20"/>
              <w:jc w:val="right"/>
            </w:pPr>
            <w:r>
              <w:rPr>
                <w:color w:val="1C3A36"/>
                <w:sz w:val="16"/>
              </w:rPr>
              <w:t>1,667</w:t>
            </w:r>
          </w:p>
        </w:tc>
        <w:tc>
          <w:tcPr>
            <w:tcW w:type="dxa" w:w="907"/>
          </w:tcPr>
          <w:p>
            <w:pPr>
              <w:spacing w:after="20"/>
              <w:jc w:val="right"/>
            </w:pPr>
            <w:r>
              <w:rPr>
                <w:color w:val="1C3A36"/>
                <w:sz w:val="16"/>
              </w:rPr>
              <w:t>1,191</w:t>
            </w:r>
          </w:p>
        </w:tc>
        <w:tc>
          <w:tcPr>
            <w:tcW w:type="dxa" w:w="907"/>
          </w:tcPr>
          <w:p>
            <w:pPr>
              <w:spacing w:after="20"/>
              <w:jc w:val="right"/>
            </w:pPr>
            <w:r>
              <w:rPr>
                <w:color w:val="1C3A36"/>
                <w:sz w:val="16"/>
              </w:rPr>
              <w:t>802</w:t>
            </w:r>
          </w:p>
        </w:tc>
        <w:tc>
          <w:tcPr>
            <w:tcW w:type="dxa" w:w="907"/>
          </w:tcPr>
          <w:p>
            <w:pPr>
              <w:spacing w:after="20"/>
              <w:jc w:val="right"/>
            </w:pPr>
            <w:r>
              <w:rPr>
                <w:color w:val="1C3A36"/>
                <w:sz w:val="16"/>
              </w:rPr>
              <w:t>582</w:t>
            </w:r>
          </w:p>
        </w:tc>
        <w:tc>
          <w:tcPr>
            <w:tcW w:type="dxa" w:w="907"/>
          </w:tcPr>
          <w:p>
            <w:pPr>
              <w:spacing w:after="20"/>
              <w:jc w:val="right"/>
            </w:pPr>
            <w:r>
              <w:rPr>
                <w:color w:val="1C3A36"/>
                <w:sz w:val="16"/>
              </w:rPr>
              <w:t>423</w:t>
            </w:r>
          </w:p>
        </w:tc>
      </w:tr>
      <w:tr>
        <w:tc>
          <w:tcPr>
            <w:tcW w:type="dxa" w:w="2678"/>
          </w:tcPr>
          <w:p>
            <w:pPr>
              <w:spacing w:after="20"/>
            </w:pPr>
            <w:r>
              <w:rPr>
                <w:color w:val="1C3A36"/>
                <w:sz w:val="16"/>
              </w:rPr>
              <w:t>Lease liabilities</w:t>
            </w:r>
          </w:p>
        </w:tc>
        <w:tc>
          <w:tcPr>
            <w:tcW w:type="dxa" w:w="907"/>
          </w:tcPr>
          <w:p>
            <w:pPr>
              <w:spacing w:after="20"/>
              <w:jc w:val="right"/>
            </w:pPr>
            <w:r>
              <w:rPr>
                <w:color w:val="1C3A36"/>
                <w:sz w:val="16"/>
              </w:rPr>
              <w:t>2,105</w:t>
            </w:r>
          </w:p>
        </w:tc>
        <w:tc>
          <w:tcPr>
            <w:tcW w:type="dxa" w:w="907"/>
          </w:tcPr>
          <w:p>
            <w:pPr>
              <w:spacing w:after="20"/>
              <w:jc w:val="right"/>
            </w:pPr>
            <w:r>
              <w:rPr>
                <w:color w:val="1C3A36"/>
                <w:sz w:val="16"/>
              </w:rPr>
              <w:t>1,999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r>
      <w:tr>
        <w:tc>
          <w:tcPr>
            <w:tcW w:type="dxa" w:w="2678"/>
            <w:shd w:val="clear" w:color="auto" w:fill="F6F1E6"/>
          </w:tcPr>
          <w:p>
            <w:pPr>
              <w:spacing w:after="20"/>
            </w:pPr>
            <w:r>
              <w:rPr>
                <w:b/>
                <w:color w:val="1C3A36"/>
                <w:sz w:val="16"/>
              </w:rPr>
              <w:t>Total equity</w:t>
            </w:r>
          </w:p>
        </w:tc>
        <w:tc>
          <w:tcPr>
            <w:tcW w:type="dxa" w:w="907"/>
            <w:shd w:val="clear" w:color="auto" w:fill="F6F1E6"/>
          </w:tcPr>
          <w:p>
            <w:pPr>
              <w:spacing w:after="20"/>
              <w:jc w:val="right"/>
            </w:pPr>
            <w:r>
              <w:rPr>
                <w:b/>
                <w:color w:val="1C3A36"/>
                <w:sz w:val="16"/>
              </w:rPr>
              <w:t>9,243</w:t>
            </w:r>
          </w:p>
        </w:tc>
        <w:tc>
          <w:tcPr>
            <w:tcW w:type="dxa" w:w="907"/>
            <w:shd w:val="clear" w:color="auto" w:fill="F6F1E6"/>
          </w:tcPr>
          <w:p>
            <w:pPr>
              <w:spacing w:after="20"/>
              <w:jc w:val="right"/>
            </w:pPr>
            <w:r>
              <w:rPr>
                <w:b/>
                <w:color w:val="1C3A36"/>
                <w:sz w:val="16"/>
              </w:rPr>
              <w:t>9,878</w:t>
            </w:r>
          </w:p>
        </w:tc>
        <w:tc>
          <w:tcPr>
            <w:tcW w:type="dxa" w:w="907"/>
            <w:shd w:val="clear" w:color="auto" w:fill="F6F1E6"/>
          </w:tcPr>
          <w:p>
            <w:pPr>
              <w:spacing w:after="20"/>
              <w:jc w:val="right"/>
            </w:pPr>
            <w:r>
              <w:rPr>
                <w:b/>
                <w:color w:val="1C3A36"/>
                <w:sz w:val="16"/>
              </w:rPr>
              <w:t>10,148</w:t>
            </w:r>
          </w:p>
        </w:tc>
        <w:tc>
          <w:tcPr>
            <w:tcW w:type="dxa" w:w="907"/>
            <w:shd w:val="clear" w:color="auto" w:fill="F6F1E6"/>
          </w:tcPr>
          <w:p>
            <w:pPr>
              <w:spacing w:after="20"/>
              <w:jc w:val="right"/>
            </w:pPr>
            <w:r>
              <w:rPr>
                <w:b/>
                <w:color w:val="1C3A36"/>
                <w:sz w:val="16"/>
              </w:rPr>
              <w:t>10,211</w:t>
            </w:r>
          </w:p>
        </w:tc>
        <w:tc>
          <w:tcPr>
            <w:tcW w:type="dxa" w:w="907"/>
            <w:shd w:val="clear" w:color="auto" w:fill="F6F1E6"/>
          </w:tcPr>
          <w:p>
            <w:pPr>
              <w:spacing w:after="20"/>
              <w:jc w:val="right"/>
            </w:pPr>
            <w:r>
              <w:rPr>
                <w:b/>
                <w:color w:val="1C3A36"/>
                <w:sz w:val="16"/>
              </w:rPr>
              <w:t>10,276</w:t>
            </w:r>
          </w:p>
        </w:tc>
        <w:tc>
          <w:tcPr>
            <w:tcW w:type="dxa" w:w="907"/>
            <w:shd w:val="clear" w:color="auto" w:fill="F6F1E6"/>
          </w:tcPr>
          <w:p>
            <w:pPr>
              <w:spacing w:after="20"/>
              <w:jc w:val="right"/>
            </w:pPr>
            <w:r>
              <w:rPr>
                <w:b/>
                <w:color w:val="1C3A36"/>
                <w:sz w:val="16"/>
              </w:rPr>
              <w:t>10,344</w:t>
            </w:r>
          </w:p>
        </w:tc>
        <w:tc>
          <w:tcPr>
            <w:tcW w:type="dxa" w:w="907"/>
            <w:shd w:val="clear" w:color="auto" w:fill="F6F1E6"/>
          </w:tcPr>
          <w:p>
            <w:pPr>
              <w:spacing w:after="20"/>
              <w:jc w:val="right"/>
            </w:pPr>
            <w:r>
              <w:rPr>
                <w:b/>
                <w:color w:val="1C3A36"/>
                <w:sz w:val="16"/>
              </w:rPr>
              <w:t>10,414</w:t>
            </w:r>
          </w:p>
        </w:tc>
        <w:tc>
          <w:tcPr>
            <w:tcW w:type="dxa" w:w="907"/>
            <w:shd w:val="clear" w:color="auto" w:fill="F6F1E6"/>
          </w:tcPr>
          <w:p>
            <w:pPr>
              <w:spacing w:after="20"/>
              <w:jc w:val="right"/>
            </w:pPr>
            <w:r>
              <w:rPr>
                <w:b/>
                <w:color w:val="1C3A36"/>
                <w:sz w:val="16"/>
              </w:rPr>
              <w:t>10,488</w:t>
            </w:r>
          </w:p>
        </w:tc>
      </w:tr>
      <w:tr>
        <w:tc>
          <w:tcPr>
            <w:tcW w:type="dxa" w:w="2678"/>
          </w:tcPr>
          <w:p>
            <w:pPr>
              <w:spacing w:after="20"/>
            </w:pPr>
            <w:r>
              <w:rPr>
                <w:color w:val="1C3A36"/>
                <w:sz w:val="16"/>
              </w:rPr>
              <w:t>Net cash after leases</w:t>
            </w:r>
          </w:p>
        </w:tc>
        <w:tc>
          <w:tcPr>
            <w:tcW w:type="dxa" w:w="907"/>
          </w:tcPr>
          <w:p>
            <w:pPr>
              <w:spacing w:after="20"/>
              <w:jc w:val="right"/>
            </w:pPr>
            <w:r>
              <w:rPr>
                <w:color w:val="1C3A36"/>
                <w:sz w:val="16"/>
              </w:rPr>
              <w:t>-168</w:t>
            </w:r>
          </w:p>
        </w:tc>
        <w:tc>
          <w:tcPr>
            <w:tcW w:type="dxa" w:w="907"/>
          </w:tcPr>
          <w:p>
            <w:pPr>
              <w:spacing w:after="20"/>
              <w:jc w:val="right"/>
            </w:pPr>
            <w:r>
              <w:rPr>
                <w:color w:val="1C3A36"/>
                <w:sz w:val="16"/>
              </w:rPr>
              <w:t>285</w:t>
            </w:r>
          </w:p>
        </w:tc>
        <w:tc>
          <w:tcPr>
            <w:tcW w:type="dxa" w:w="907"/>
          </w:tcPr>
          <w:p>
            <w:pPr>
              <w:spacing w:after="20"/>
              <w:jc w:val="right"/>
            </w:pPr>
            <w:r>
              <w:rPr>
                <w:color w:val="1C3A36"/>
                <w:sz w:val="16"/>
              </w:rPr>
              <w:t>311</w:t>
            </w:r>
          </w:p>
        </w:tc>
        <w:tc>
          <w:tcPr>
            <w:tcW w:type="dxa" w:w="907"/>
          </w:tcPr>
          <w:p>
            <w:pPr>
              <w:spacing w:after="20"/>
              <w:jc w:val="right"/>
            </w:pPr>
            <w:r>
              <w:rPr>
                <w:color w:val="1C3A36"/>
                <w:sz w:val="16"/>
              </w:rPr>
              <w:t>-272</w:t>
            </w:r>
          </w:p>
        </w:tc>
        <w:tc>
          <w:tcPr>
            <w:tcW w:type="dxa" w:w="907"/>
          </w:tcPr>
          <w:p>
            <w:pPr>
              <w:spacing w:after="20"/>
              <w:jc w:val="right"/>
            </w:pPr>
            <w:r>
              <w:rPr>
                <w:color w:val="1C3A36"/>
                <w:sz w:val="16"/>
              </w:rPr>
              <w:t>-748</w:t>
            </w:r>
          </w:p>
        </w:tc>
        <w:tc>
          <w:tcPr>
            <w:tcW w:type="dxa" w:w="907"/>
          </w:tcPr>
          <w:p>
            <w:pPr>
              <w:spacing w:after="20"/>
              <w:jc w:val="right"/>
            </w:pPr>
            <w:r>
              <w:rPr>
                <w:color w:val="1C3A36"/>
                <w:sz w:val="16"/>
              </w:rPr>
              <w:t>-1,137</w:t>
            </w:r>
          </w:p>
        </w:tc>
        <w:tc>
          <w:tcPr>
            <w:tcW w:type="dxa" w:w="907"/>
          </w:tcPr>
          <w:p>
            <w:pPr>
              <w:spacing w:after="20"/>
              <w:jc w:val="right"/>
            </w:pPr>
            <w:r>
              <w:rPr>
                <w:color w:val="1C3A36"/>
                <w:sz w:val="16"/>
              </w:rPr>
              <w:t>-1,357</w:t>
            </w:r>
          </w:p>
        </w:tc>
        <w:tc>
          <w:tcPr>
            <w:tcW w:type="dxa" w:w="907"/>
          </w:tcPr>
          <w:p>
            <w:pPr>
              <w:spacing w:after="20"/>
              <w:jc w:val="right"/>
            </w:pPr>
            <w:r>
              <w:rPr>
                <w:color w:val="1C3A36"/>
                <w:sz w:val="16"/>
              </w:rPr>
              <w:t>-1,515</w:t>
            </w:r>
          </w:p>
        </w:tc>
      </w:tr>
    </w:tbl>
    <w:p>
      <w:pPr>
        <w:spacing w:after="40"/>
      </w:pPr>
    </w:p>
    <w:p>
      <w:pPr>
        <w:spacing w:after="200" w:before="0"/>
      </w:pPr>
      <w:r>
        <w:rPr>
          <w:b w:val="0"/>
          <w:i/>
          <w:color w:val="6E7B77"/>
          <w:sz w:val="17"/>
        </w:rPr>
        <w:t>Table A2 — a condensed layout: receivables, payables, contract balances and the royalty accrual are netted inside working capital (the FY2023 payables line still contained the royalty accrual, separately disclosed from FY2024; it is excluded in every year so the series is like-for-like). Zero drawn borrowings in every year shown. Goodwill was not a separate line in the FY2023 layout.</w:t>
      </w:r>
    </w:p>
    <w:p>
      <w:pPr>
        <w:spacing w:after="80" w:before="200"/>
      </w:pPr>
      <w:r>
        <w:rPr>
          <w:b/>
          <w:i w:val="0"/>
          <w:color w:val="1C3A36"/>
          <w:sz w:val="24"/>
        </w:rPr>
        <w:t>A.3  Forecast balance sheet and cash-flow markers</w:t>
      </w:r>
    </w:p>
    <w:p>
      <w:pPr>
        <w:spacing w:after="200" w:before="0"/>
      </w:pPr>
      <w:r>
        <w:rPr>
          <w:b w:val="0"/>
          <w:i w:val="0"/>
          <w:color w:val="1C3A36"/>
          <w:sz w:val="21"/>
        </w:rPr>
        <w:t>The equity walk: profit less the 98% payout compounds equity from AED 10,148mn to AED 10,488mn by FY2030E. The cash walk is the stress line: at a near-total payout plus the data-centre capex peak, cash and term deposits fall from AED 2,250mn to AED 423mn at the trough before rebuilding — the audited mid-2026 position (term deposits nil after the royalty settlement and final dividend) already shows exactly this mechanic, and the undrawn AED 2.0bn facility is the disclosed backstop. Working capital RELEASES cash every year; the lease book is held flat with replacement charged at depreciation.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728"/>
        <w:gridCol w:w="1440"/>
        <w:gridCol w:w="1152"/>
        <w:gridCol w:w="3888"/>
      </w:tblGrid>
      <w:tr>
        <w:tc>
          <w:tcPr>
            <w:tcW w:type="dxa" w:w="1872"/>
            <w:shd w:val="clear" w:color="auto" w:fill="EAF0EE"/>
          </w:tcPr>
          <w:p>
            <w:pPr>
              <w:spacing w:after="20"/>
            </w:pPr>
            <w:r>
              <w:rPr>
                <w:b/>
                <w:color w:val="1C3A36"/>
                <w:sz w:val="17"/>
              </w:rPr>
              <w:t>Company</w:t>
            </w:r>
          </w:p>
        </w:tc>
        <w:tc>
          <w:tcPr>
            <w:tcW w:type="dxa" w:w="1728"/>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Trailing P/E</w:t>
            </w:r>
          </w:p>
        </w:tc>
        <w:tc>
          <w:tcPr>
            <w:tcW w:type="dxa" w:w="1152"/>
            <w:shd w:val="clear" w:color="auto" w:fill="EAF0EE"/>
          </w:tcPr>
          <w:p>
            <w:pPr>
              <w:spacing w:after="20"/>
            </w:pPr>
            <w:r>
              <w:rPr>
                <w:b/>
                <w:color w:val="1C3A36"/>
                <w:sz w:val="17"/>
              </w:rPr>
              <w:t>Yield</w:t>
            </w:r>
          </w:p>
        </w:tc>
        <w:tc>
          <w:tcPr>
            <w:tcW w:type="dxa" w:w="3888"/>
            <w:shd w:val="clear" w:color="auto" w:fill="EAF0EE"/>
          </w:tcPr>
          <w:p>
            <w:pPr>
              <w:spacing w:after="20"/>
            </w:pPr>
            <w:r>
              <w:rPr>
                <w:b/>
                <w:color w:val="1C3A36"/>
                <w:sz w:val="17"/>
              </w:rPr>
              <w:t>Read-across</w:t>
            </w:r>
          </w:p>
        </w:tc>
      </w:tr>
      <w:tr>
        <w:tc>
          <w:tcPr>
            <w:tcW w:type="dxa" w:w="1872"/>
          </w:tcPr>
          <w:p>
            <w:pPr>
              <w:spacing w:after="20"/>
            </w:pPr>
            <w:r>
              <w:rPr>
                <w:color w:val="1C3A36"/>
                <w:sz w:val="17"/>
              </w:rPr>
              <w:t>e&amp;</w:t>
            </w:r>
          </w:p>
        </w:tc>
        <w:tc>
          <w:tcPr>
            <w:tcW w:type="dxa" w:w="1728"/>
          </w:tcPr>
          <w:p>
            <w:pPr>
              <w:spacing w:after="20"/>
              <w:jc w:val="right"/>
            </w:pPr>
            <w:r>
              <w:rPr>
                <w:color w:val="1C3A36"/>
                <w:sz w:val="17"/>
              </w:rPr>
              <w:t>UAE (ADX)</w:t>
            </w:r>
          </w:p>
        </w:tc>
        <w:tc>
          <w:tcPr>
            <w:tcW w:type="dxa" w:w="1440"/>
          </w:tcPr>
          <w:p>
            <w:pPr>
              <w:spacing w:after="20"/>
              <w:jc w:val="right"/>
            </w:pPr>
            <w:r>
              <w:rPr>
                <w:color w:val="1C3A36"/>
                <w:sz w:val="17"/>
              </w:rPr>
              <w:t>~20.7×</w:t>
            </w:r>
          </w:p>
        </w:tc>
        <w:tc>
          <w:tcPr>
            <w:tcW w:type="dxa" w:w="1152"/>
          </w:tcPr>
          <w:p>
            <w:pPr>
              <w:spacing w:after="20"/>
              <w:jc w:val="right"/>
            </w:pPr>
            <w:r>
              <w:rPr>
                <w:color w:val="1C3A36"/>
                <w:sz w:val="17"/>
              </w:rPr>
              <w:t>~4.8%</w:t>
            </w:r>
          </w:p>
        </w:tc>
        <w:tc>
          <w:tcPr>
            <w:tcW w:type="dxa" w:w="3888"/>
          </w:tcPr>
          <w:p>
            <w:pPr>
              <w:spacing w:after="20"/>
              <w:jc w:val="right"/>
            </w:pPr>
            <w:r>
              <w:rPr>
                <w:color w:val="1C3A36"/>
                <w:sz w:val="17"/>
              </w:rPr>
              <w:t>the duopoly partner: scale + international assets earn the premium multiple</w:t>
            </w:r>
          </w:p>
        </w:tc>
      </w:tr>
      <w:tr>
        <w:tc>
          <w:tcPr>
            <w:tcW w:type="dxa" w:w="1872"/>
          </w:tcPr>
          <w:p>
            <w:pPr>
              <w:spacing w:after="20"/>
            </w:pPr>
            <w:r>
              <w:rPr>
                <w:color w:val="1C3A36"/>
                <w:sz w:val="17"/>
              </w:rPr>
              <w:t>stc</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~18.9×</w:t>
            </w:r>
          </w:p>
        </w:tc>
        <w:tc>
          <w:tcPr>
            <w:tcW w:type="dxa" w:w="1152"/>
          </w:tcPr>
          <w:p>
            <w:pPr>
              <w:spacing w:after="20"/>
              <w:jc w:val="right"/>
            </w:pPr>
            <w:r>
              <w:rPr>
                <w:color w:val="1C3A36"/>
                <w:sz w:val="17"/>
              </w:rPr>
              <w:t>~5.2%</w:t>
            </w:r>
          </w:p>
        </w:tc>
        <w:tc>
          <w:tcPr>
            <w:tcW w:type="dxa" w:w="3888"/>
          </w:tcPr>
          <w:p>
            <w:pPr>
              <w:spacing w:after="20"/>
              <w:jc w:val="right"/>
            </w:pPr>
            <w:r>
              <w:rPr>
                <w:color w:val="1C3A36"/>
                <w:sz w:val="17"/>
              </w:rPr>
              <w:t>the regional benchmark payer</w:t>
            </w:r>
          </w:p>
        </w:tc>
      </w:tr>
      <w:tr>
        <w:tc>
          <w:tcPr>
            <w:tcW w:type="dxa" w:w="1872"/>
          </w:tcPr>
          <w:p>
            <w:pPr>
              <w:spacing w:after="20"/>
            </w:pPr>
            <w:r>
              <w:rPr>
                <w:color w:val="1C3A36"/>
                <w:sz w:val="17"/>
              </w:rPr>
              <w:t>Mobily</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~15.5×</w:t>
            </w:r>
          </w:p>
        </w:tc>
        <w:tc>
          <w:tcPr>
            <w:tcW w:type="dxa" w:w="1152"/>
          </w:tcPr>
          <w:p>
            <w:pPr>
              <w:spacing w:after="20"/>
              <w:jc w:val="right"/>
            </w:pPr>
            <w:r>
              <w:rPr>
                <w:color w:val="1C3A36"/>
                <w:sz w:val="17"/>
              </w:rPr>
              <w:t>~2.9%</w:t>
            </w:r>
          </w:p>
        </w:tc>
        <w:tc>
          <w:tcPr>
            <w:tcW w:type="dxa" w:w="3888"/>
          </w:tcPr>
          <w:p>
            <w:pPr>
              <w:spacing w:after="20"/>
              <w:jc w:val="right"/>
            </w:pPr>
            <w:r>
              <w:rPr>
                <w:color w:val="1C3A36"/>
                <w:sz w:val="17"/>
              </w:rPr>
              <w:t>closest structural analogue — the #2 that closed the gap; sets the justified P/E</w:t>
            </w:r>
          </w:p>
        </w:tc>
      </w:tr>
      <w:tr>
        <w:tc>
          <w:tcPr>
            <w:tcW w:type="dxa" w:w="1872"/>
          </w:tcPr>
          <w:p>
            <w:pPr>
              <w:spacing w:after="20"/>
            </w:pPr>
            <w:r>
              <w:rPr>
                <w:color w:val="1C3A36"/>
                <w:sz w:val="17"/>
              </w:rPr>
              <w:t>Ooredoo</w:t>
            </w:r>
          </w:p>
        </w:tc>
        <w:tc>
          <w:tcPr>
            <w:tcW w:type="dxa" w:w="1728"/>
          </w:tcPr>
          <w:p>
            <w:pPr>
              <w:spacing w:after="20"/>
              <w:jc w:val="right"/>
            </w:pPr>
            <w:r>
              <w:rPr>
                <w:color w:val="1C3A36"/>
                <w:sz w:val="17"/>
              </w:rPr>
              <w:t>Qatar</w:t>
            </w:r>
          </w:p>
        </w:tc>
        <w:tc>
          <w:tcPr>
            <w:tcW w:type="dxa" w:w="1440"/>
          </w:tcPr>
          <w:p>
            <w:pPr>
              <w:spacing w:after="20"/>
              <w:jc w:val="right"/>
            </w:pPr>
            <w:r>
              <w:rPr>
                <w:color w:val="1C3A36"/>
                <w:sz w:val="17"/>
              </w:rPr>
              <w:t>~12.5×</w:t>
            </w:r>
          </w:p>
        </w:tc>
        <w:tc>
          <w:tcPr>
            <w:tcW w:type="dxa" w:w="1152"/>
          </w:tcPr>
          <w:p>
            <w:pPr>
              <w:spacing w:after="20"/>
              <w:jc w:val="right"/>
            </w:pPr>
            <w:r>
              <w:rPr>
                <w:color w:val="1C3A36"/>
                <w:sz w:val="17"/>
              </w:rPr>
              <w:t>~4.6%</w:t>
            </w:r>
          </w:p>
        </w:tc>
        <w:tc>
          <w:tcPr>
            <w:tcW w:type="dxa" w:w="3888"/>
          </w:tcPr>
          <w:p>
            <w:pPr>
              <w:spacing w:after="20"/>
              <w:jc w:val="right"/>
            </w:pPr>
            <w:r>
              <w:rPr>
                <w:color w:val="1C3A36"/>
                <w:sz w:val="17"/>
              </w:rPr>
              <w:t>multi-market, softer growth</w:t>
            </w:r>
          </w:p>
        </w:tc>
      </w:tr>
      <w:tr>
        <w:tc>
          <w:tcPr>
            <w:tcW w:type="dxa" w:w="1872"/>
          </w:tcPr>
          <w:p>
            <w:pPr>
              <w:spacing w:after="20"/>
            </w:pPr>
            <w:r>
              <w:rPr>
                <w:color w:val="1C3A36"/>
                <w:sz w:val="17"/>
              </w:rPr>
              <w:t>Zain</w:t>
            </w:r>
          </w:p>
        </w:tc>
        <w:tc>
          <w:tcPr>
            <w:tcW w:type="dxa" w:w="1728"/>
          </w:tcPr>
          <w:p>
            <w:pPr>
              <w:spacing w:after="20"/>
              <w:jc w:val="right"/>
            </w:pPr>
            <w:r>
              <w:rPr>
                <w:color w:val="1C3A36"/>
                <w:sz w:val="17"/>
              </w:rPr>
              <w:t>Kuwait</w:t>
            </w:r>
          </w:p>
        </w:tc>
        <w:tc>
          <w:tcPr>
            <w:tcW w:type="dxa" w:w="1440"/>
          </w:tcPr>
          <w:p>
            <w:pPr>
              <w:spacing w:after="20"/>
              <w:jc w:val="right"/>
            </w:pPr>
            <w:r>
              <w:rPr>
                <w:color w:val="1C3A36"/>
                <w:sz w:val="17"/>
              </w:rPr>
              <w:t>~9×</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levered multi-market; the bracket floor</w:t>
            </w:r>
          </w:p>
        </w:tc>
      </w:tr>
      <w:tr>
        <w:tc>
          <w:tcPr>
            <w:tcW w:type="dxa" w:w="1872"/>
          </w:tcPr>
          <w:p>
            <w:pPr>
              <w:spacing w:after="20"/>
            </w:pPr>
            <w:r>
              <w:rPr>
                <w:color w:val="1C3A36"/>
                <w:sz w:val="17"/>
              </w:rPr>
              <w:t>Omantel</w:t>
            </w:r>
          </w:p>
        </w:tc>
        <w:tc>
          <w:tcPr>
            <w:tcW w:type="dxa" w:w="1728"/>
          </w:tcPr>
          <w:p>
            <w:pPr>
              <w:spacing w:after="20"/>
              <w:jc w:val="right"/>
            </w:pPr>
            <w:r>
              <w:rPr>
                <w:color w:val="1C3A36"/>
                <w:sz w:val="17"/>
              </w:rPr>
              <w:t>Oman</w:t>
            </w:r>
          </w:p>
        </w:tc>
        <w:tc>
          <w:tcPr>
            <w:tcW w:type="dxa" w:w="1440"/>
          </w:tcPr>
          <w:p>
            <w:pPr>
              <w:spacing w:after="20"/>
              <w:jc w:val="right"/>
            </w:pPr>
            <w:r>
              <w:rPr>
                <w:color w:val="1C3A36"/>
                <w:sz w:val="17"/>
              </w:rPr>
              <w:t>~11.4×</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small-market incumbent, yield-heavy</w:t>
            </w:r>
          </w:p>
        </w:tc>
      </w:tr>
      <w:tr>
        <w:tc>
          <w:tcPr>
            <w:tcW w:type="dxa" w:w="1872"/>
          </w:tcPr>
          <w:p>
            <w:pPr>
              <w:spacing w:after="20"/>
            </w:pPr>
            <w:r>
              <w:rPr>
                <w:color w:val="1C3A36"/>
                <w:sz w:val="17"/>
              </w:rPr>
              <w:t>DT / Vodafone</w:t>
            </w:r>
          </w:p>
        </w:tc>
        <w:tc>
          <w:tcPr>
            <w:tcW w:type="dxa" w:w="1728"/>
          </w:tcPr>
          <w:p>
            <w:pPr>
              <w:spacing w:after="20"/>
              <w:jc w:val="right"/>
            </w:pPr>
            <w:r>
              <w:rPr>
                <w:color w:val="1C3A36"/>
                <w:sz w:val="17"/>
              </w:rPr>
              <w:t>Developed</w:t>
            </w:r>
          </w:p>
        </w:tc>
        <w:tc>
          <w:tcPr>
            <w:tcW w:type="dxa" w:w="1440"/>
          </w:tcPr>
          <w:p>
            <w:pPr>
              <w:spacing w:after="20"/>
              <w:jc w:val="right"/>
            </w:pPr>
            <w:r>
              <w:rPr>
                <w:color w:val="1C3A36"/>
                <w:sz w:val="17"/>
              </w:rPr>
              <w:t>n/m</w:t>
            </w:r>
          </w:p>
        </w:tc>
        <w:tc>
          <w:tcPr>
            <w:tcW w:type="dxa" w:w="1152"/>
          </w:tcPr>
          <w:p>
            <w:pPr>
              <w:spacing w:after="20"/>
              <w:jc w:val="right"/>
            </w:pPr>
            <w:r>
              <w:rPr>
                <w:color w:val="1C3A36"/>
                <w:sz w:val="17"/>
              </w:rPr>
              <w:t>~3.4%</w:t>
            </w:r>
          </w:p>
        </w:tc>
        <w:tc>
          <w:tcPr>
            <w:tcW w:type="dxa" w:w="3888"/>
          </w:tcPr>
          <w:p>
            <w:pPr>
              <w:spacing w:after="20"/>
              <w:jc w:val="right"/>
            </w:pPr>
            <w:r>
              <w:rPr>
                <w:color w:val="1C3A36"/>
                <w:sz w:val="17"/>
              </w:rPr>
              <w:t>the developed bracket: more leverage, lower returns, lower multiples</w:t>
            </w:r>
          </w:p>
        </w:tc>
      </w:tr>
    </w:tbl>
    <w:p>
      <w:pPr>
        <w:spacing w:after="40"/>
      </w:pPr>
    </w:p>
    <w:p>
      <w:pPr>
        <w:spacing w:after="200" w:before="0"/>
      </w:pPr>
      <w:r>
        <w:rPr>
          <w:b w:val="0"/>
          <w:i/>
          <w:color w:val="6E7B77"/>
          <w:sz w:val="17"/>
        </w:rPr>
        <w:t>Table B1 — aggregator reads at the sweep date, labelled cross-check; never a build source. du computes at 19.2× trailing earnings and 7.6× trailing EV/EBITDA from its own audited figures.</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7"/>
              </w:rPr>
              <w:t>Risk</w:t>
            </w:r>
          </w:p>
        </w:tc>
        <w:tc>
          <w:tcPr>
            <w:tcW w:type="dxa" w:w="3744"/>
            <w:shd w:val="clear" w:color="auto" w:fill="EAF0EE"/>
          </w:tcPr>
          <w:p>
            <w:pPr>
              <w:spacing w:after="20"/>
            </w:pPr>
            <w:r>
              <w:rPr>
                <w:b/>
                <w:color w:val="1C3A36"/>
                <w:sz w:val="17"/>
              </w:rPr>
              <w:t>Mechanism</w:t>
            </w:r>
          </w:p>
        </w:tc>
        <w:tc>
          <w:tcPr>
            <w:tcW w:type="dxa" w:w="3672"/>
            <w:shd w:val="clear" w:color="auto" w:fill="EAF0EE"/>
          </w:tcPr>
          <w:p>
            <w:pPr>
              <w:spacing w:after="20"/>
            </w:pPr>
            <w:r>
              <w:rPr>
                <w:b/>
                <w:color w:val="1C3A36"/>
                <w:sz w:val="17"/>
              </w:rPr>
              <w:t>Where it is priced</w:t>
            </w:r>
          </w:p>
        </w:tc>
      </w:tr>
      <w:tr>
        <w:tc>
          <w:tcPr>
            <w:tcW w:type="dxa" w:w="2664"/>
          </w:tcPr>
          <w:p>
            <w:pPr>
              <w:spacing w:after="20"/>
            </w:pPr>
            <w:r>
              <w:rPr>
                <w:color w:val="1C3A36"/>
                <w:sz w:val="17"/>
              </w:rPr>
              <w:t>Fiscal regime reversion or worsening</w:t>
            </w:r>
          </w:p>
        </w:tc>
        <w:tc>
          <w:tcPr>
            <w:tcW w:type="dxa" w:w="3744"/>
          </w:tcPr>
          <w:p>
            <w:pPr>
              <w:spacing w:after="20"/>
              <w:jc w:val="right"/>
            </w:pPr>
            <w:r>
              <w:rPr>
                <w:color w:val="1C3A36"/>
                <w:sz w:val="17"/>
              </w:rPr>
              <w:t>combined take above the current 44%</w:t>
            </w:r>
          </w:p>
        </w:tc>
        <w:tc>
          <w:tcPr>
            <w:tcW w:type="dxa" w:w="3672"/>
          </w:tcPr>
          <w:p>
            <w:pPr>
              <w:spacing w:after="20"/>
              <w:jc w:val="right"/>
            </w:pPr>
            <w:r>
              <w:rPr>
                <w:color w:val="1C3A36"/>
                <w:sz w:val="17"/>
              </w:rPr>
              <w:t>Framing B throughout: AED 16.29</w:t>
            </w:r>
          </w:p>
        </w:tc>
      </w:tr>
      <w:tr>
        <w:tc>
          <w:tcPr>
            <w:tcW w:type="dxa" w:w="2664"/>
          </w:tcPr>
          <w:p>
            <w:pPr>
              <w:spacing w:after="20"/>
            </w:pPr>
            <w:r>
              <w:rPr>
                <w:color w:val="1C3A36"/>
                <w:sz w:val="17"/>
              </w:rPr>
              <w:t>Licence renewal on worse terms</w:t>
            </w:r>
          </w:p>
        </w:tc>
        <w:tc>
          <w:tcPr>
            <w:tcW w:type="dxa" w:w="3744"/>
          </w:tcPr>
          <w:p>
            <w:pPr>
              <w:spacing w:after="20"/>
              <w:jc w:val="right"/>
            </w:pPr>
            <w:r>
              <w:rPr>
                <w:color w:val="1C3A36"/>
                <w:sz w:val="17"/>
              </w:rPr>
              <w:t>fee ratio above 2.7% of revenue</w:t>
            </w:r>
          </w:p>
        </w:tc>
        <w:tc>
          <w:tcPr>
            <w:tcW w:type="dxa" w:w="3672"/>
          </w:tcPr>
          <w:p>
            <w:pPr>
              <w:spacing w:after="20"/>
              <w:jc w:val="right"/>
            </w:pPr>
            <w:r>
              <w:rPr>
                <w:color w:val="1C3A36"/>
                <w:sz w:val="17"/>
              </w:rPr>
              <w:t>~AED 0.64/share per +1pp (section 1.9)</w:t>
            </w:r>
          </w:p>
        </w:tc>
      </w:tr>
      <w:tr>
        <w:tc>
          <w:tcPr>
            <w:tcW w:type="dxa" w:w="2664"/>
          </w:tcPr>
          <w:p>
            <w:pPr>
              <w:spacing w:after="20"/>
            </w:pPr>
            <w:r>
              <w:rPr>
                <w:color w:val="1C3A36"/>
                <w:sz w:val="17"/>
              </w:rPr>
              <w:t>War re-escalation</w:t>
            </w:r>
          </w:p>
        </w:tc>
        <w:tc>
          <w:tcPr>
            <w:tcW w:type="dxa" w:w="3744"/>
          </w:tcPr>
          <w:p>
            <w:pPr>
              <w:spacing w:after="20"/>
              <w:jc w:val="right"/>
            </w:pPr>
            <w:r>
              <w:rPr>
                <w:color w:val="1C3A36"/>
                <w:sz w:val="17"/>
              </w:rPr>
              <w:t>prepaid, roaming, wholesale transit reverse</w:t>
            </w:r>
          </w:p>
        </w:tc>
        <w:tc>
          <w:tcPr>
            <w:tcW w:type="dxa" w:w="3672"/>
          </w:tcPr>
          <w:p>
            <w:pPr>
              <w:spacing w:after="20"/>
              <w:jc w:val="right"/>
            </w:pPr>
            <w:r>
              <w:rPr>
                <w:color w:val="1C3A36"/>
                <w:sz w:val="17"/>
              </w:rPr>
              <w:t>subscriber sensitivity and the DCF bear</w:t>
            </w:r>
          </w:p>
        </w:tc>
      </w:tr>
      <w:tr>
        <w:tc>
          <w:tcPr>
            <w:tcW w:type="dxa" w:w="2664"/>
          </w:tcPr>
          <w:p>
            <w:pPr>
              <w:spacing w:after="20"/>
            </w:pPr>
            <w:r>
              <w:rPr>
                <w:color w:val="1C3A36"/>
                <w:sz w:val="17"/>
              </w:rPr>
              <w:t>Required-return mismeasurement</w:t>
            </w:r>
          </w:p>
        </w:tc>
        <w:tc>
          <w:tcPr>
            <w:tcW w:type="dxa" w:w="3744"/>
          </w:tcPr>
          <w:p>
            <w:pPr>
              <w:spacing w:after="20"/>
              <w:jc w:val="right"/>
            </w:pPr>
            <w:r>
              <w:rPr>
                <w:color w:val="1C3A36"/>
                <w:sz w:val="17"/>
              </w:rPr>
              <w:t>the 0.47 regression beta understates true risk</w:t>
            </w:r>
          </w:p>
        </w:tc>
        <w:tc>
          <w:tcPr>
            <w:tcW w:type="dxa" w:w="3672"/>
          </w:tcPr>
          <w:p>
            <w:pPr>
              <w:spacing w:after="20"/>
              <w:jc w:val="right"/>
            </w:pPr>
            <w:r>
              <w:rPr>
                <w:color w:val="1C3A36"/>
                <w:sz w:val="17"/>
              </w:rPr>
              <w:t>beta grid to 0.80: AED 12.30</w:t>
            </w:r>
          </w:p>
        </w:tc>
      </w:tr>
      <w:tr>
        <w:tc>
          <w:tcPr>
            <w:tcW w:type="dxa" w:w="2664"/>
          </w:tcPr>
          <w:p>
            <w:pPr>
              <w:spacing w:after="20"/>
            </w:pPr>
            <w:r>
              <w:rPr>
                <w:color w:val="1C3A36"/>
                <w:sz w:val="17"/>
              </w:rPr>
              <w:t>Data-centre execution</w:t>
            </w:r>
          </w:p>
        </w:tc>
        <w:tc>
          <w:tcPr>
            <w:tcW w:type="dxa" w:w="3744"/>
          </w:tcPr>
          <w:p>
            <w:pPr>
              <w:spacing w:after="20"/>
              <w:jc w:val="right"/>
            </w:pPr>
            <w:r>
              <w:rPr>
                <w:color w:val="1C3A36"/>
                <w:sz w:val="17"/>
              </w:rPr>
              <w:t>ICT ramp slips; capex stays high without the revenue</w:t>
            </w:r>
          </w:p>
        </w:tc>
        <w:tc>
          <w:tcPr>
            <w:tcW w:type="dxa" w:w="3672"/>
          </w:tcPr>
          <w:p>
            <w:pPr>
              <w:spacing w:after="20"/>
              <w:jc w:val="right"/>
            </w:pPr>
            <w:r>
              <w:rPr>
                <w:color w:val="1C3A36"/>
                <w:sz w:val="17"/>
              </w:rPr>
              <w:t>ICT growth and capex grids</w:t>
            </w:r>
          </w:p>
        </w:tc>
      </w:tr>
      <w:tr>
        <w:tc>
          <w:tcPr>
            <w:tcW w:type="dxa" w:w="2664"/>
          </w:tcPr>
          <w:p>
            <w:pPr>
              <w:spacing w:after="20"/>
            </w:pPr>
            <w:r>
              <w:rPr>
                <w:color w:val="1C3A36"/>
                <w:sz w:val="17"/>
              </w:rPr>
              <w:t>Payout sustainability</w:t>
            </w:r>
          </w:p>
        </w:tc>
        <w:tc>
          <w:tcPr>
            <w:tcW w:type="dxa" w:w="3744"/>
          </w:tcPr>
          <w:p>
            <w:pPr>
              <w:spacing w:after="20"/>
              <w:jc w:val="right"/>
            </w:pPr>
            <w:r>
              <w:rPr>
                <w:color w:val="1C3A36"/>
                <w:sz w:val="17"/>
              </w:rPr>
              <w:t>near-total payout + capex peak drains liquidity</w:t>
            </w:r>
          </w:p>
        </w:tc>
        <w:tc>
          <w:tcPr>
            <w:tcW w:type="dxa" w:w="3672"/>
          </w:tcPr>
          <w:p>
            <w:pPr>
              <w:spacing w:after="20"/>
              <w:jc w:val="right"/>
            </w:pPr>
            <w:r>
              <w:rPr>
                <w:color w:val="1C3A36"/>
                <w:sz w:val="17"/>
              </w:rPr>
              <w:t>the cash walk in A.3; the undrawn facility is the backstop</w:t>
            </w:r>
          </w:p>
        </w:tc>
      </w:tr>
      <w:tr>
        <w:tc>
          <w:tcPr>
            <w:tcW w:type="dxa" w:w="2664"/>
          </w:tcPr>
          <w:p>
            <w:pPr>
              <w:spacing w:after="20"/>
            </w:pPr>
            <w:r>
              <w:rPr>
                <w:color w:val="1C3A36"/>
                <w:sz w:val="17"/>
              </w:rPr>
              <w:t>Concentration</w:t>
            </w:r>
          </w:p>
        </w:tc>
        <w:tc>
          <w:tcPr>
            <w:tcW w:type="dxa" w:w="3744"/>
          </w:tcPr>
          <w:p>
            <w:pPr>
              <w:spacing w:after="20"/>
              <w:jc w:val="right"/>
            </w:pPr>
            <w:r>
              <w:rPr>
                <w:color w:val="1C3A36"/>
                <w:sz w:val="17"/>
              </w:rPr>
              <w:t>one market, one regulator, one licence</w:t>
            </w:r>
          </w:p>
        </w:tc>
        <w:tc>
          <w:tcPr>
            <w:tcW w:type="dxa" w:w="3672"/>
          </w:tcPr>
          <w:p>
            <w:pPr>
              <w:spacing w:after="20"/>
              <w:jc w:val="right"/>
            </w:pPr>
            <w:r>
              <w:rPr>
                <w:color w:val="1C3A36"/>
                <w:sz w:val="17"/>
              </w:rPr>
              <w:t>the weight given to market-anchored lenses in the synthesis</w:t>
            </w:r>
          </w:p>
        </w:tc>
      </w:tr>
    </w:tbl>
    <w:p>
      <w:pPr>
        <w:spacing w:after="40"/>
      </w:pPr>
    </w:p>
    <w:p>
      <w:pPr>
        <w:spacing w:after="80" w:before="200"/>
      </w:pPr>
      <w:r>
        <w:rPr>
          <w:b/>
          <w:i w:val="0"/>
          <w:color w:val="1C3A36"/>
          <w:sz w:val="24"/>
        </w:rPr>
        <w:t>B.3  The research register — layers, dated, negative results included</w:t>
      </w:r>
    </w:p>
    <w:p>
      <w:pPr>
        <w:spacing w:after="200" w:before="0"/>
      </w:pPr>
      <w:r>
        <w:rPr>
          <w:b w:val="0"/>
          <w:i w:val="0"/>
          <w:color w:val="1C3A36"/>
          <w:sz w:val="21"/>
        </w:rPr>
        <w:t>The full input register — every input with value, source and date, grouped by research layer, with the judgement table (each judgement paired with what would overturn it), the negative-results table and the source-discrepancy notes — ships as the companion bibliography document. Highlights a reader should know: all statement figures were read from the company's own audited/reviewed filings on its investor-relations portal (four complete fiscal years, plus both 2026 interims, swept in before the build); the UAE sovereign credit-default-swap quote was UNREACHABLE at the sweep date and the market spread was proxied by the traded Abu Dhabi dollar curve, disclosed rather than silently substituted; no public peer EV/EBITDA was clean enough to use; and no announcement of concluded licence-renewal terms existed at the sweep date — a dated negative search, not an oversight.</w:t>
      </w:r>
    </w:p>
    <w:p>
      <w:pPr>
        <w:spacing w:after="120" w:before="280"/>
      </w:pPr>
      <w:r>
        <w:rPr>
          <w:b/>
          <w:i w:val="0"/>
          <w:color w:val="1C3A36"/>
          <w:sz w:val="30"/>
        </w:rPr>
        <w:t>Appendix C  The expert valuation panel</w:t>
      </w:r>
    </w:p>
    <w:p>
      <w:pPr>
        <w:spacing w:after="120" w:before="0"/>
      </w:pPr>
      <w:r>
        <w:rPr>
          <w:b w:val="0"/>
          <w:i w:val="0"/>
          <w:color w:val="1C3A36"/>
          <w:sz w:val="21"/>
        </w:rPr>
        <w:t>Three experts, three genuinely different methods, each with worked arithmetic, a named sensitivity and a falsifier stated in advance. They are labelled Expert 1/2/3; their methods, not their names, are the point. Cast by method: an earnings-power investor, a dividend-stream investor, and an economic-profit analyst.</w:t>
      </w:r>
    </w:p>
    <w:p>
      <w:pPr>
        <w:spacing w:after="80" w:before="200"/>
      </w:pPr>
      <w:r>
        <w:rPr>
          <w:b/>
          <w:i w:val="0"/>
          <w:color w:val="1C3A36"/>
          <w:sz w:val="24"/>
        </w:rPr>
        <w:t>C.1  Expert 1 — earnings power: through-cycle earnings at a conservative multiple</w:t>
      </w:r>
    </w:p>
    <w:p>
      <w:pPr>
        <w:spacing w:after="120" w:before="0"/>
      </w:pPr>
      <w:r>
        <w:rPr>
          <w:b w:val="0"/>
          <w:i w:val="0"/>
          <w:color w:val="1C3A36"/>
          <w:sz w:val="21"/>
        </w:rPr>
        <w:t>Worldview: buy durable earnings power at a multiple that does not need the story to work. Works best on stable franchises near mid-cycle; fails when the cycle is mistaken for the trend or when a regime change (here: fiscal) resets the earnings base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Mid-cycle earnings per share (FY2028E)</w:t>
            </w:r>
          </w:p>
        </w:tc>
        <w:tc>
          <w:tcPr>
            <w:tcW w:type="dxa" w:w="3312"/>
          </w:tcPr>
          <w:p>
            <w:pPr>
              <w:spacing w:after="20"/>
              <w:jc w:val="right"/>
            </w:pPr>
            <w:r>
              <w:rPr>
                <w:color w:val="1C3A36"/>
                <w:sz w:val="18"/>
              </w:rPr>
              <w:t>0.75</w:t>
            </w:r>
          </w:p>
        </w:tc>
      </w:tr>
      <w:tr>
        <w:tc>
          <w:tcPr>
            <w:tcW w:type="dxa" w:w="6192"/>
          </w:tcPr>
          <w:p>
            <w:pPr>
              <w:spacing w:after="20"/>
            </w:pPr>
            <w:r>
              <w:rPr>
                <w:color w:val="1C3A36"/>
                <w:sz w:val="18"/>
              </w:rPr>
              <w:t>Through-cycle multiple applied</w:t>
            </w:r>
          </w:p>
        </w:tc>
        <w:tc>
          <w:tcPr>
            <w:tcW w:type="dxa" w:w="3312"/>
          </w:tcPr>
          <w:p>
            <w:pPr>
              <w:spacing w:after="20"/>
              <w:jc w:val="right"/>
            </w:pPr>
            <w:r>
              <w:rPr>
                <w:color w:val="1C3A36"/>
                <w:sz w:val="18"/>
              </w:rPr>
              <w:t>15.0×</w:t>
            </w:r>
          </w:p>
        </w:tc>
      </w:tr>
      <w:tr>
        <w:tc>
          <w:tcPr>
            <w:tcW w:type="dxa" w:w="6192"/>
          </w:tcPr>
          <w:p>
            <w:pPr>
              <w:spacing w:after="20"/>
            </w:pPr>
            <w:r>
              <w:rPr>
                <w:color w:val="1C3A36"/>
                <w:sz w:val="18"/>
              </w:rPr>
              <w:t>Value at FY2028, discounted two years at the cost of equity</w:t>
            </w:r>
          </w:p>
        </w:tc>
        <w:tc>
          <w:tcPr>
            <w:tcW w:type="dxa" w:w="3312"/>
          </w:tcPr>
          <w:p>
            <w:pPr>
              <w:spacing w:after="20"/>
              <w:jc w:val="right"/>
            </w:pPr>
            <w:r>
              <w:rPr>
                <w:color w:val="1C3A36"/>
                <w:sz w:val="18"/>
              </w:rPr>
              <w:t>10.28  (before the paid-dividend adjustment)</w:t>
            </w:r>
          </w:p>
        </w:tc>
      </w:tr>
      <w:tr>
        <w:tc>
          <w:tcPr>
            <w:tcW w:type="dxa" w:w="6192"/>
          </w:tcPr>
          <w:p>
            <w:pPr>
              <w:spacing w:after="20"/>
            </w:pPr>
            <w:r>
              <w:rPr>
                <w:color w:val="1C3A36"/>
                <w:sz w:val="18"/>
              </w:rPr>
              <w:t>less the final FY2025 dividend paid before the anchor</w:t>
            </w:r>
          </w:p>
        </w:tc>
        <w:tc>
          <w:tcPr>
            <w:tcW w:type="dxa" w:w="3312"/>
          </w:tcPr>
          <w:p>
            <w:pPr>
              <w:spacing w:after="20"/>
              <w:jc w:val="right"/>
            </w:pPr>
            <w:r>
              <w:rPr>
                <w:color w:val="1C3A36"/>
                <w:sz w:val="18"/>
              </w:rPr>
              <w:t>0.40</w:t>
            </w:r>
          </w:p>
        </w:tc>
      </w:tr>
      <w:tr>
        <w:tc>
          <w:tcPr>
            <w:tcW w:type="dxa" w:w="6192"/>
            <w:shd w:val="clear" w:color="auto" w:fill="F6F1E6"/>
          </w:tcPr>
          <w:p>
            <w:pPr>
              <w:spacing w:after="20"/>
            </w:pPr>
            <w:r>
              <w:rPr>
                <w:b/>
                <w:color w:val="1C3A36"/>
                <w:sz w:val="18"/>
              </w:rPr>
              <w:t>Expert 1 fair value (anchor date)</w:t>
            </w:r>
          </w:p>
        </w:tc>
        <w:tc>
          <w:tcPr>
            <w:tcW w:type="dxa" w:w="3312"/>
            <w:shd w:val="clear" w:color="auto" w:fill="F6F1E6"/>
          </w:tcPr>
          <w:p>
            <w:pPr>
              <w:spacing w:after="20"/>
              <w:jc w:val="right"/>
            </w:pPr>
            <w:r>
              <w:rPr>
                <w:b/>
                <w:color w:val="1C3A36"/>
                <w:sz w:val="18"/>
              </w:rPr>
              <w:t>9.88</w:t>
            </w:r>
          </w:p>
        </w:tc>
      </w:tr>
      <w:tr>
        <w:tc>
          <w:tcPr>
            <w:tcW w:type="dxa" w:w="6192"/>
          </w:tcPr>
          <w:p>
            <w:pPr>
              <w:spacing w:after="20"/>
            </w:pPr>
            <w:r>
              <w:rPr>
                <w:color w:val="1C3A36"/>
                <w:sz w:val="18"/>
              </w:rPr>
              <w:t>Range: 12× to 17.5× the same earnings</w:t>
            </w:r>
          </w:p>
        </w:tc>
        <w:tc>
          <w:tcPr>
            <w:tcW w:type="dxa" w:w="3312"/>
          </w:tcPr>
          <w:p>
            <w:pPr>
              <w:spacing w:after="20"/>
              <w:jc w:val="right"/>
            </w:pPr>
            <w:r>
              <w:rPr>
                <w:color w:val="1C3A36"/>
                <w:sz w:val="18"/>
              </w:rPr>
              <w:t>7.82 – 11.59</w:t>
            </w:r>
          </w:p>
        </w:tc>
      </w:tr>
    </w:tbl>
    <w:p>
      <w:pPr>
        <w:spacing w:after="40"/>
      </w:pPr>
    </w:p>
    <w:p>
      <w:pPr>
        <w:spacing w:after="120" w:before="0"/>
      </w:pPr>
      <w:r>
        <w:rPr>
          <w:b w:val="0"/>
          <w:i w:val="0"/>
          <w:color w:val="1C3A36"/>
          <w:sz w:val="21"/>
        </w:rPr>
        <w:t>Named sensitivity: the multiple. Each turn of the multiple is worth AED 0.69 per share at mid-cycle earnings. Falsifier, stated in advance: if FY2027 earnings per share prints below the FY2026 estimate — i.e. the war recovery stalls into earnings — the mid-cycle base is wrong and this read is withdrawn.</w:t>
      </w:r>
    </w:p>
    <w:p>
      <w:pPr>
        <w:spacing w:after="80" w:before="200"/>
      </w:pPr>
      <w:r>
        <w:rPr>
          <w:b/>
          <w:i w:val="0"/>
          <w:color w:val="1C3A36"/>
          <w:sz w:val="24"/>
        </w:rPr>
        <w:t>C.2  Expert 2 — the dividend stream: the natural lens for a full-payout duopoly</w:t>
      </w:r>
    </w:p>
    <w:p>
      <w:pPr>
        <w:spacing w:after="120" w:before="0"/>
      </w:pPr>
      <w:r>
        <w:rPr>
          <w:b w:val="0"/>
          <w:i w:val="0"/>
          <w:color w:val="1C3A36"/>
          <w:sz w:val="21"/>
        </w:rPr>
        <w:t>Worldview: for a company that pays out essentially everything, the dividend IS the cash flow; value it directly as a growing perpetuity. Works best when payout is policy, not accident, and the balance sheet cannot be raided; fails when the payout is about to be cut — the model capitalises a promise.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FY2026E dividend per share</w:t>
            </w:r>
          </w:p>
        </w:tc>
        <w:tc>
          <w:tcPr>
            <w:tcW w:type="dxa" w:w="3312"/>
          </w:tcPr>
          <w:p>
            <w:pPr>
              <w:spacing w:after="20"/>
              <w:jc w:val="right"/>
            </w:pPr>
            <w:r>
              <w:rPr>
                <w:color w:val="1C3A36"/>
                <w:sz w:val="18"/>
              </w:rPr>
              <w:t>0.68</w:t>
            </w:r>
          </w:p>
        </w:tc>
      </w:tr>
      <w:tr>
        <w:tc>
          <w:tcPr>
            <w:tcW w:type="dxa" w:w="6192"/>
          </w:tcPr>
          <w:p>
            <w:pPr>
              <w:spacing w:after="20"/>
            </w:pPr>
            <w:r>
              <w:rPr>
                <w:color w:val="1C3A36"/>
                <w:sz w:val="18"/>
              </w:rPr>
              <w:t>grown at 2.5% into a perpetuity at the terminal cost of equity 6.18%</w:t>
            </w:r>
          </w:p>
        </w:tc>
        <w:tc>
          <w:tcPr>
            <w:tcW w:type="dxa" w:w="3312"/>
          </w:tcPr>
          <w:p>
            <w:pPr>
              <w:spacing w:after="20"/>
              <w:jc w:val="right"/>
            </w:pPr>
            <w:r>
              <w:rPr>
                <w:color w:val="1C3A36"/>
                <w:sz w:val="18"/>
              </w:rPr>
              <w:t>0.68 × 1.025 / (6.18% − 2.5%)</w:t>
            </w:r>
          </w:p>
        </w:tc>
      </w:tr>
      <w:tr>
        <w:tc>
          <w:tcPr>
            <w:tcW w:type="dxa" w:w="6192"/>
          </w:tcPr>
          <w:p>
            <w:pPr>
              <w:spacing w:after="20"/>
            </w:pPr>
            <w:r>
              <w:rPr>
                <w:color w:val="1C3A36"/>
                <w:sz w:val="18"/>
              </w:rPr>
              <w:t>less the final FY2025 dividend paid before the anchor</w:t>
            </w:r>
          </w:p>
        </w:tc>
        <w:tc>
          <w:tcPr>
            <w:tcW w:type="dxa" w:w="3312"/>
          </w:tcPr>
          <w:p>
            <w:pPr>
              <w:spacing w:after="20"/>
              <w:jc w:val="right"/>
            </w:pPr>
            <w:r>
              <w:rPr>
                <w:color w:val="1C3A36"/>
                <w:sz w:val="18"/>
              </w:rPr>
              <w:t>0.40</w:t>
            </w:r>
          </w:p>
        </w:tc>
      </w:tr>
      <w:tr>
        <w:tc>
          <w:tcPr>
            <w:tcW w:type="dxa" w:w="6192"/>
            <w:shd w:val="clear" w:color="auto" w:fill="F6F1E6"/>
          </w:tcPr>
          <w:p>
            <w:pPr>
              <w:spacing w:after="20"/>
            </w:pPr>
            <w:r>
              <w:rPr>
                <w:b/>
                <w:color w:val="1C3A36"/>
                <w:sz w:val="18"/>
              </w:rPr>
              <w:t>Expert 2 fair value (anchor date)</w:t>
            </w:r>
          </w:p>
        </w:tc>
        <w:tc>
          <w:tcPr>
            <w:tcW w:type="dxa" w:w="3312"/>
            <w:shd w:val="clear" w:color="auto" w:fill="F6F1E6"/>
          </w:tcPr>
          <w:p>
            <w:pPr>
              <w:spacing w:after="20"/>
              <w:jc w:val="right"/>
            </w:pPr>
            <w:r>
              <w:rPr>
                <w:b/>
                <w:color w:val="1C3A36"/>
                <w:sz w:val="18"/>
              </w:rPr>
              <w:t>19.32</w:t>
            </w:r>
          </w:p>
        </w:tc>
      </w:tr>
      <w:tr>
        <w:tc>
          <w:tcPr>
            <w:tcW w:type="dxa" w:w="6192"/>
          </w:tcPr>
          <w:p>
            <w:pPr>
              <w:spacing w:after="20"/>
            </w:pPr>
            <w:r>
              <w:rPr>
                <w:color w:val="1C3A36"/>
                <w:sz w:val="18"/>
              </w:rPr>
              <w:t>Range: cut-and-higher-rate bear to 3%-growth bull</w:t>
            </w:r>
          </w:p>
        </w:tc>
        <w:tc>
          <w:tcPr>
            <w:tcW w:type="dxa" w:w="3312"/>
          </w:tcPr>
          <w:p>
            <w:pPr>
              <w:spacing w:after="20"/>
              <w:jc w:val="right"/>
            </w:pPr>
            <w:r>
              <w:rPr>
                <w:color w:val="1C3A36"/>
                <w:sz w:val="18"/>
              </w:rPr>
              <w:t>10.19 – 22.54</w:t>
            </w:r>
          </w:p>
        </w:tc>
      </w:tr>
    </w:tbl>
    <w:p>
      <w:pPr>
        <w:spacing w:after="40"/>
      </w:pPr>
    </w:p>
    <w:p>
      <w:pPr>
        <w:spacing w:after="120" w:before="0"/>
      </w:pPr>
      <w:r>
        <w:rPr>
          <w:b w:val="0"/>
          <w:i w:val="0"/>
          <w:color w:val="1C3A36"/>
          <w:sz w:val="21"/>
        </w:rPr>
        <w:t>Named sensitivity: the growth-rate spread (Ke − g). At these levels each 50 basis points of spread is worth roughly AED 2.63 per share. Falsifier: an interim or final dividend DECLARED lower than the prior year's equivalent — the first cut in the record — withdraws this read immediately.</w:t>
      </w:r>
    </w:p>
    <w:p>
      <w:pPr>
        <w:spacing w:after="80" w:before="200"/>
      </w:pPr>
      <w:r>
        <w:rPr>
          <w:b/>
          <w:i w:val="0"/>
          <w:color w:val="1C3A36"/>
          <w:sz w:val="24"/>
        </w:rPr>
        <w:t>C.3  Expert 3 — cash returns: economic profit on invested capital</w:t>
      </w:r>
    </w:p>
    <w:p>
      <w:pPr>
        <w:spacing w:after="120" w:before="0"/>
      </w:pPr>
      <w:r>
        <w:rPr>
          <w:b w:val="0"/>
          <w:i w:val="0"/>
          <w:color w:val="1C3A36"/>
          <w:sz w:val="21"/>
        </w:rPr>
        <w:t>Worldview: value = capital + the present value of returns ABOVE the cost of capital; a franchise is only worth a premium while its return spread lasts. Works best where invested capital is measurable and returns are stable; fails when intangible capital (spectrum rights, the licence itself) does the earning but sits off the balance sheet — which flatters the measured return.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AED mn</w:t>
            </w:r>
          </w:p>
        </w:tc>
      </w:tr>
      <w:tr>
        <w:tc>
          <w:tcPr>
            <w:tcW w:type="dxa" w:w="6192"/>
          </w:tcPr>
          <w:p>
            <w:pPr>
              <w:spacing w:after="20"/>
            </w:pPr>
            <w:r>
              <w:rPr>
                <w:color w:val="1C3A36"/>
                <w:sz w:val="18"/>
              </w:rPr>
              <w:t>Invested capital, FY2025 (PP&amp;E + right-of-use + intangibles + goodwill + working capital)</w:t>
            </w:r>
          </w:p>
        </w:tc>
        <w:tc>
          <w:tcPr>
            <w:tcW w:type="dxa" w:w="3312"/>
          </w:tcPr>
          <w:p>
            <w:pPr>
              <w:spacing w:after="20"/>
              <w:jc w:val="right"/>
            </w:pPr>
            <w:r>
              <w:rPr>
                <w:color w:val="1C3A36"/>
                <w:sz w:val="18"/>
              </w:rPr>
              <w:t>12,025</w:t>
            </w:r>
          </w:p>
        </w:tc>
      </w:tr>
      <w:tr>
        <w:tc>
          <w:tcPr>
            <w:tcW w:type="dxa" w:w="6192"/>
          </w:tcPr>
          <w:p>
            <w:pPr>
              <w:spacing w:after="20"/>
            </w:pPr>
            <w:r>
              <w:rPr>
                <w:color w:val="1C3A36"/>
                <w:sz w:val="18"/>
              </w:rPr>
              <w:t>PV of five years of economic profit (NOPAT less capital charge at the forward rate)</w:t>
            </w:r>
          </w:p>
        </w:tc>
        <w:tc>
          <w:tcPr>
            <w:tcW w:type="dxa" w:w="3312"/>
          </w:tcPr>
          <w:p>
            <w:pPr>
              <w:spacing w:after="20"/>
              <w:jc w:val="right"/>
            </w:pPr>
            <w:r>
              <w:rPr>
                <w:color w:val="1C3A36"/>
                <w:sz w:val="18"/>
              </w:rPr>
              <w:t>10,878</w:t>
            </w:r>
          </w:p>
        </w:tc>
      </w:tr>
      <w:tr>
        <w:tc>
          <w:tcPr>
            <w:tcW w:type="dxa" w:w="6192"/>
          </w:tcPr>
          <w:p>
            <w:pPr>
              <w:spacing w:after="20"/>
            </w:pPr>
            <w:r>
              <w:rPr>
                <w:color w:val="1C3A36"/>
                <w:sz w:val="18"/>
              </w:rPr>
              <w:t>PV of the terminal economic-profit annuity</w:t>
            </w:r>
          </w:p>
        </w:tc>
        <w:tc>
          <w:tcPr>
            <w:tcW w:type="dxa" w:w="3312"/>
          </w:tcPr>
          <w:p>
            <w:pPr>
              <w:spacing w:after="20"/>
              <w:jc w:val="right"/>
            </w:pPr>
            <w:r>
              <w:rPr>
                <w:color w:val="1C3A36"/>
                <w:sz w:val="18"/>
              </w:rPr>
              <w:t>61,705</w:t>
            </w:r>
          </w:p>
        </w:tc>
      </w:tr>
      <w:tr>
        <w:tc>
          <w:tcPr>
            <w:tcW w:type="dxa" w:w="6192"/>
          </w:tcPr>
          <w:p>
            <w:pPr>
              <w:spacing w:after="20"/>
            </w:pPr>
            <w:r>
              <w:rPr>
                <w:color w:val="1C3A36"/>
                <w:sz w:val="18"/>
              </w:rPr>
              <w:t>Implied enterprise value</w:t>
            </w:r>
          </w:p>
        </w:tc>
        <w:tc>
          <w:tcPr>
            <w:tcW w:type="dxa" w:w="3312"/>
          </w:tcPr>
          <w:p>
            <w:pPr>
              <w:spacing w:after="20"/>
              <w:jc w:val="right"/>
            </w:pPr>
            <w:r>
              <w:rPr>
                <w:color w:val="1C3A36"/>
                <w:sz w:val="18"/>
              </w:rPr>
              <w:t>84,608</w:t>
            </w:r>
          </w:p>
        </w:tc>
      </w:tr>
      <w:tr>
        <w:tc>
          <w:tcPr>
            <w:tcW w:type="dxa" w:w="6192"/>
            <w:shd w:val="clear" w:color="auto" w:fill="F6F1E6"/>
          </w:tcPr>
          <w:p>
            <w:pPr>
              <w:spacing w:after="20"/>
            </w:pPr>
            <w:r>
              <w:rPr>
                <w:b/>
                <w:color w:val="1C3A36"/>
                <w:sz w:val="18"/>
              </w:rPr>
              <w:t>bridge to equity (leases out, cash in), per share at the anchor</w:t>
            </w:r>
          </w:p>
        </w:tc>
        <w:tc>
          <w:tcPr>
            <w:tcW w:type="dxa" w:w="3312"/>
            <w:shd w:val="clear" w:color="auto" w:fill="F6F1E6"/>
          </w:tcPr>
          <w:p>
            <w:pPr>
              <w:spacing w:after="20"/>
              <w:jc w:val="right"/>
            </w:pPr>
            <w:r>
              <w:rPr>
                <w:b/>
                <w:color w:val="1C3A36"/>
                <w:sz w:val="18"/>
              </w:rPr>
              <w:t>19.04</w:t>
            </w:r>
          </w:p>
        </w:tc>
      </w:tr>
      <w:tr>
        <w:tc>
          <w:tcPr>
            <w:tcW w:type="dxa" w:w="6192"/>
          </w:tcPr>
          <w:p>
            <w:pPr>
              <w:spacing w:after="20"/>
            </w:pPr>
            <w:r>
              <w:rPr>
                <w:color w:val="1C3A36"/>
                <w:sz w:val="18"/>
              </w:rPr>
              <w:t>Range: fading spreads bear to the rate-tenor bull</w:t>
            </w:r>
          </w:p>
        </w:tc>
        <w:tc>
          <w:tcPr>
            <w:tcW w:type="dxa" w:w="3312"/>
          </w:tcPr>
          <w:p>
            <w:pPr>
              <w:spacing w:after="20"/>
              <w:jc w:val="right"/>
            </w:pPr>
            <w:r>
              <w:rPr>
                <w:color w:val="1C3A36"/>
                <w:sz w:val="18"/>
              </w:rPr>
              <w:t>12.64 – 21.32</w:t>
            </w:r>
          </w:p>
        </w:tc>
      </w:tr>
    </w:tbl>
    <w:p>
      <w:pPr>
        <w:spacing w:after="40"/>
      </w:pPr>
    </w:p>
    <w:p>
      <w:pPr>
        <w:spacing w:after="120" w:before="0"/>
      </w:pPr>
      <w:r>
        <w:rPr>
          <w:b w:val="0"/>
          <w:i w:val="0"/>
          <w:color w:val="1C3A36"/>
          <w:sz w:val="21"/>
        </w:rPr>
        <w:t>The return spread behind it: forecast returns on capital of 26% / 25% / 25% / 26% / 26% against forward costs of capital of 6.2% / 6.2% / 6.1% / 6.1% / 6.0% — a spread of roughly twenty points, which is what a licensed duopoly with negative working capital looks like in this framework. Named sensitivity: terminal capital intensity — if the data-centre era permanently raises invested capital per dirham of profit, the terminal annuity shrinks. Falsifier: return on invested capital printing below 20% for two consecutive years.</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is a market mood; my denominator is a policy rate. CONCEDED in part by Expert 1: the multiple carries sentiment — which is exactly why it is set at the peer median rather than du's own historical average.</w:t>
      </w:r>
    </w:p>
    <w:p>
      <w:pPr>
        <w:pStyle w:val="ListBullet"/>
        <w:spacing w:after="60"/>
      </w:pPr>
      <w:r>
        <w:rPr>
          <w:b/>
          <w:color w:val="1C3A36"/>
          <w:sz w:val="21"/>
        </w:rPr>
        <w:t xml:space="preserve">Expert 1 to Expert 2: </w:t>
      </w:r>
      <w:r>
        <w:rPr>
          <w:color w:val="1C3A36"/>
          <w:sz w:val="21"/>
        </w:rPr>
        <w:t>you capitalise a promise at a 3.7-point spread; one cut and your number is fiction. REJECTED by Expert 2: the payout has risen through a war quarter and a guidance cut — the board has told you what the dividend is for.</w:t>
      </w:r>
    </w:p>
    <w:p>
      <w:pPr>
        <w:pStyle w:val="ListBullet"/>
        <w:spacing w:after="60"/>
      </w:pPr>
      <w:r>
        <w:rPr>
          <w:b/>
          <w:color w:val="1C3A36"/>
          <w:sz w:val="21"/>
        </w:rPr>
        <w:t xml:space="preserve">Expert 3 to both: </w:t>
      </w:r>
      <w:r>
        <w:rPr>
          <w:color w:val="1C3A36"/>
          <w:sz w:val="21"/>
        </w:rPr>
        <w:t>neither of you charges for capital. The spread is the asset. CONCEDED by both — with the counter, ACCEPTED by Expert 3, that his invested-capital base omits the licence value itself, so his measured spread flatters the franchise precisely when the licence is up for renewal.</w:t>
      </w:r>
    </w:p>
    <w:p>
      <w:pPr>
        <w:pStyle w:val="ListBullet"/>
        <w:spacing w:after="60"/>
      </w:pPr>
      <w:r>
        <w:rPr>
          <w:b/>
          <w:color w:val="1C3A36"/>
          <w:sz w:val="21"/>
        </w:rPr>
        <w:t xml:space="preserve">All three to the primary model: </w:t>
      </w:r>
      <w:r>
        <w:rPr>
          <w:color w:val="1C3A36"/>
          <w:sz w:val="21"/>
        </w:rPr>
        <w:t>the DCF's terminal value is 85% of enterprise value at a discount rate its own section calls the study's biggest assumption. The model's answer: the beta is measured, gated, cross-checked, and priced against its alternatives in two separate tables — the disagreement is put in front of the reader rather than resolved by fiat.</w:t>
      </w:r>
    </w:p>
    <w:p>
      <w:pPr>
        <w:spacing w:after="80" w:before="200"/>
      </w:pPr>
      <w:r>
        <w:rPr>
          <w:b/>
          <w:i w:val="0"/>
          <w:color w:val="1C3A36"/>
          <w:sz w:val="24"/>
        </w:rPr>
        <w:t>C.5  The three in one room</w:t>
      </w:r>
    </w:p>
    <w:p>
      <w:pPr>
        <w:spacing w:after="120" w:before="0"/>
      </w:pPr>
      <w:r>
        <w:rPr>
          <w:b w:val="0"/>
          <w:i w:val="0"/>
          <w:color w:val="1C3A36"/>
          <w:sz w:val="21"/>
        </w:rPr>
        <w:t>Where they land: Expert 1 at AED 9.88, Expert 2 at AED 19.32, Expert 3 at AED 19.04 — a panel median of AED 19.04. The shape of the disagreement is the study in miniature: the earnings-power read hugs the market because it borrows the market's multiple; the two cash-based reads sit together well above it because they price du's cash at du's measured risk. The room's one joint statement: at spot, the market is paying for the annuity and giving the growth legs — data centres, the war recovery, the postpaid mix — away for little.</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824"/>
        <w:gridCol w:w="1944"/>
      </w:tblGrid>
      <w:tr>
        <w:tc>
          <w:tcPr>
            <w:tcW w:type="dxa" w:w="3312"/>
            <w:shd w:val="clear" w:color="auto" w:fill="EAF0EE"/>
          </w:tcPr>
          <w:p>
            <w:pPr>
              <w:spacing w:after="20"/>
            </w:pPr>
            <w:r>
              <w:rPr>
                <w:b/>
                <w:color w:val="1C3A36"/>
                <w:sz w:val="17"/>
              </w:rPr>
              <w:t>Gap</w:t>
            </w:r>
          </w:p>
        </w:tc>
        <w:tc>
          <w:tcPr>
            <w:tcW w:type="dxa" w:w="4824"/>
            <w:shd w:val="clear" w:color="auto" w:fill="EAF0EE"/>
          </w:tcPr>
          <w:p>
            <w:pPr>
              <w:spacing w:after="20"/>
            </w:pPr>
            <w:r>
              <w:rPr>
                <w:b/>
                <w:color w:val="1C3A36"/>
                <w:sz w:val="17"/>
              </w:rPr>
              <w:t>Driver of the gap</w:t>
            </w:r>
          </w:p>
        </w:tc>
        <w:tc>
          <w:tcPr>
            <w:tcW w:type="dxa" w:w="1944"/>
            <w:shd w:val="clear" w:color="auto" w:fill="EAF0EE"/>
          </w:tcPr>
          <w:p>
            <w:pPr>
              <w:spacing w:after="20"/>
            </w:pPr>
            <w:r>
              <w:rPr>
                <w:b/>
                <w:color w:val="1C3A36"/>
                <w:sz w:val="17"/>
              </w:rPr>
              <w:t>Worth (AED/share)</w:t>
            </w:r>
          </w:p>
        </w:tc>
      </w:tr>
      <w:tr>
        <w:tc>
          <w:tcPr>
            <w:tcW w:type="dxa" w:w="3312"/>
          </w:tcPr>
          <w:p>
            <w:pPr>
              <w:spacing w:after="20"/>
            </w:pPr>
            <w:r>
              <w:rPr>
                <w:color w:val="1C3A36"/>
                <w:sz w:val="17"/>
              </w:rPr>
              <w:t>Expert 1 (9.88) vs Expert 2 (19.32)</w:t>
            </w:r>
          </w:p>
        </w:tc>
        <w:tc>
          <w:tcPr>
            <w:tcW w:type="dxa" w:w="4824"/>
          </w:tcPr>
          <w:p>
            <w:pPr>
              <w:spacing w:after="20"/>
              <w:jc w:val="right"/>
            </w:pPr>
            <w:r>
              <w:rPr>
                <w:color w:val="1C3A36"/>
                <w:sz w:val="17"/>
              </w:rPr>
              <w:t>market multiple vs measured cost of equity as the price of the same cash</w:t>
            </w:r>
          </w:p>
        </w:tc>
        <w:tc>
          <w:tcPr>
            <w:tcW w:type="dxa" w:w="1944"/>
          </w:tcPr>
          <w:p>
            <w:pPr>
              <w:spacing w:after="20"/>
              <w:jc w:val="right"/>
            </w:pPr>
            <w:r>
              <w:rPr>
                <w:color w:val="1C3A36"/>
                <w:sz w:val="17"/>
              </w:rPr>
              <w:t>9.44</w:t>
            </w:r>
          </w:p>
        </w:tc>
      </w:tr>
      <w:tr>
        <w:tc>
          <w:tcPr>
            <w:tcW w:type="dxa" w:w="3312"/>
          </w:tcPr>
          <w:p>
            <w:pPr>
              <w:spacing w:after="20"/>
            </w:pPr>
            <w:r>
              <w:rPr>
                <w:color w:val="1C3A36"/>
                <w:sz w:val="17"/>
              </w:rPr>
              <w:t>Expert 2 (19.32) vs Expert 3 (19.04)</w:t>
            </w:r>
          </w:p>
        </w:tc>
        <w:tc>
          <w:tcPr>
            <w:tcW w:type="dxa" w:w="4824"/>
          </w:tcPr>
          <w:p>
            <w:pPr>
              <w:spacing w:after="20"/>
              <w:jc w:val="right"/>
            </w:pPr>
            <w:r>
              <w:rPr>
                <w:color w:val="1C3A36"/>
                <w:sz w:val="17"/>
              </w:rPr>
              <w:t>payout-as-perpetuity vs capital-charged spread — small, because at ~100% payout the dividend nearly IS the economic profit</w:t>
            </w:r>
          </w:p>
        </w:tc>
        <w:tc>
          <w:tcPr>
            <w:tcW w:type="dxa" w:w="1944"/>
          </w:tcPr>
          <w:p>
            <w:pPr>
              <w:spacing w:after="20"/>
              <w:jc w:val="right"/>
            </w:pPr>
            <w:r>
              <w:rPr>
                <w:color w:val="1C3A36"/>
                <w:sz w:val="17"/>
              </w:rPr>
              <w:t>0.28</w:t>
            </w:r>
          </w:p>
        </w:tc>
      </w:tr>
      <w:tr>
        <w:tc>
          <w:tcPr>
            <w:tcW w:type="dxa" w:w="3312"/>
          </w:tcPr>
          <w:p>
            <w:pPr>
              <w:spacing w:after="20"/>
            </w:pPr>
            <w:r>
              <w:rPr>
                <w:color w:val="1C3A36"/>
                <w:sz w:val="17"/>
              </w:rPr>
              <w:t>Panel median vs the study's weighted central (14.98)</w:t>
            </w:r>
          </w:p>
        </w:tc>
        <w:tc>
          <w:tcPr>
            <w:tcW w:type="dxa" w:w="4824"/>
          </w:tcPr>
          <w:p>
            <w:pPr>
              <w:spacing w:after="20"/>
              <w:jc w:val="right"/>
            </w:pPr>
            <w:r>
              <w:rPr>
                <w:color w:val="1C3A36"/>
                <w:sz w:val="17"/>
              </w:rPr>
              <w:t>the synthesis deliberately weights the market-anchored lenses the panel's cash-flow majority does not</w:t>
            </w:r>
          </w:p>
        </w:tc>
        <w:tc>
          <w:tcPr>
            <w:tcW w:type="dxa" w:w="1944"/>
          </w:tcPr>
          <w:p>
            <w:pPr>
              <w:spacing w:after="20"/>
              <w:jc w:val="right"/>
            </w:pPr>
            <w:r>
              <w:rPr>
                <w:color w:val="1C3A36"/>
                <w:sz w:val="17"/>
              </w:rPr>
              <w:t>4.06</w:t>
            </w:r>
          </w:p>
        </w:tc>
      </w:tr>
    </w:tbl>
    <w:p>
      <w:pPr>
        <w:spacing w:after="40"/>
      </w:pPr>
    </w:p>
    <w:p>
      <w:pPr>
        <w:spacing w:after="200" w:before="0"/>
      </w:pPr>
      <w:r>
        <w:rPr>
          <w:b w:val="0"/>
          <w:i/>
          <w:color w:val="6E7B77"/>
          <w:sz w:val="17"/>
        </w:rPr>
        <w:t>Table C1 — the divergence table: which assumption drives which gap.</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and metals. Each study separates fundamental value (built from audited filings, bottom-up) from price probability (a calibrated simulation of where the price could trade), and publishes ranges and distributions rather than targets. Delivered studies are never retro-edited; corrections are made forward, in the open. The companion Excel model is formula-driven so every figure can be traced to its driver, and the companion bibliography lists every input with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an offer, a solicitation, or a recommendation to buy or sell any security. It expresses no rating and no price target. The authors hold no position in the securities discussed and receive no compensation from any issuer. All historical figures derive from the company's own published audited or reviewed consolidated financial statements; forecasts are the authors' own and are inherently uncertain. Probabilities describe model output, not promises. Markets can and do behave outside any model's bands. Readers should conduct their own research and consult their own advisers.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