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of 14.41, the price this valuation is measured against.   ISSUE DATE 5 September 2026 — the day this edition was issued. A recalibration issues a NEW document carrying its own issue date; the two dates are stated separately because they are not the same fact [R-DOC-03].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(6.7226) or half the rate (5.3811)</w:t>
            </w:r>
          </w:p>
        </w:tc>
        <w:tc>
          <w:tcPr>
            <w:tcW w:type="dxa" w:w="1512"/>
          </w:tcPr>
          <w:p>
            <w:pPr>
              <w:spacing w:after="20"/>
              <w:jc w:val="right"/>
            </w:pPr>
            <w:r>
              <w:rPr>
                <w:color w:val="1C3A36"/>
                <w:sz w:val="15"/>
              </w:rPr>
              <w:t>—</w:t>
            </w:r>
          </w:p>
        </w:tc>
        <w:tc>
          <w:tcPr>
            <w:tcW w:type="dxa" w:w="1008"/>
          </w:tcPr>
          <w:p>
            <w:pPr>
              <w:spacing w:after="20"/>
              <w:jc w:val="right"/>
            </w:pPr>
            <w:r>
              <w:rPr>
                <w:color w:val="1C3A36"/>
                <w:sz w:val="15"/>
              </w:rPr>
              <w:t>6.72</w:t>
            </w:r>
          </w:p>
        </w:tc>
        <w:tc>
          <w:tcPr>
            <w:tcW w:type="dxa" w:w="936"/>
          </w:tcPr>
          <w:p>
            <w:pPr>
              <w:spacing w:after="20"/>
              <w:jc w:val="right"/>
            </w:pPr>
            <w:r>
              <w:rPr>
                <w:color w:val="1C3A36"/>
                <w:sz w:val="15"/>
              </w:rPr>
              <w:t>-53%</w:t>
            </w:r>
          </w:p>
        </w:tc>
      </w:tr>
      <w:tr>
        <w:trPr>
          <w:cantSplit/>
        </w:trPr>
        <w:tc>
          <w:tcPr>
            <w:tcW w:type="dxa" w:w="2232"/>
          </w:tcPr>
          <w:p>
            <w:pPr>
              <w:spacing w:after="20"/>
            </w:pPr>
            <w:r>
              <w:rPr>
                <w:color w:val="1C3A36"/>
                <w:sz w:val="15"/>
              </w:rPr>
              <w:t>The new complex's granulated ammonium nitrate priced at a typed US$280/t, the weakest-sourced input in a 304-input register</w:t>
            </w:r>
          </w:p>
        </w:tc>
        <w:tc>
          <w:tcPr>
            <w:tcW w:type="dxa" w:w="3960"/>
          </w:tcPr>
          <w:p>
            <w:pPr>
              <w:spacing w:after="20"/>
            </w:pPr>
            <w:r>
              <w:rPr>
                <w:color w:val="1C3A36"/>
                <w:sz w:val="15"/>
              </w:rPr>
              <w:t>Priced at the SAME PRODUCT'S OWN DISCLOSED REALISED PRICE — EGP 20,000/t from note 20, which is US$408.16/t at this model's FY2024/25 rate of 49.00 (4.5269)</w:t>
            </w:r>
          </w:p>
        </w:tc>
        <w:tc>
          <w:tcPr>
            <w:tcW w:type="dxa" w:w="1512"/>
          </w:tcPr>
          <w:p>
            <w:pPr>
              <w:spacing w:after="20"/>
              <w:jc w:val="right"/>
            </w:pPr>
            <w:r>
              <w:rPr>
                <w:color w:val="1C3A36"/>
                <w:sz w:val="15"/>
              </w:rPr>
              <w:t>—</w:t>
            </w:r>
          </w:p>
        </w:tc>
        <w:tc>
          <w:tcPr>
            <w:tcW w:type="dxa" w:w="1008"/>
          </w:tcPr>
          <w:p>
            <w:pPr>
              <w:spacing w:after="20"/>
              <w:jc w:val="right"/>
            </w:pPr>
            <w:r>
              <w:rPr>
                <w:color w:val="1C3A36"/>
                <w:sz w:val="15"/>
              </w:rPr>
              <w:t>4.53</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(6.7226) or half the rate (5.3811)</w:t>
            </w:r>
          </w:p>
        </w:tc>
        <w:tc>
          <w:tcPr>
            <w:tcW w:type="dxa" w:w="950"/>
          </w:tcPr>
          <w:p>
            <w:pPr>
              <w:spacing w:after="20"/>
              <w:jc w:val="right"/>
            </w:pPr>
            <w:r>
              <w:rPr>
                <w:color w:val="1C3A36"/>
                <w:sz w:val="15"/>
              </w:rPr>
              <w:t>6.72</w:t>
            </w:r>
          </w:p>
        </w:tc>
        <w:tc>
          <w:tcPr>
            <w:tcW w:type="dxa" w:w="950"/>
          </w:tcPr>
          <w:p>
            <w:pPr>
              <w:spacing w:after="20"/>
              <w:jc w:val="right"/>
            </w:pPr>
            <w:r>
              <w:rPr>
                <w:color w:val="1C3A36"/>
                <w:sz w:val="15"/>
              </w:rPr>
              <w:t>+2.68</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[R-GAP-04].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a typed US$280/t, the weakest-sourced input in a 304-input register</w:t>
            </w:r>
          </w:p>
        </w:tc>
        <w:tc>
          <w:tcPr>
            <w:tcW w:type="dxa" w:w="2563"/>
          </w:tcPr>
          <w:p>
            <w:pPr>
              <w:spacing w:after="20"/>
            </w:pPr>
            <w:r>
              <w:rPr>
                <w:color w:val="1C3A36"/>
                <w:sz w:val="15"/>
              </w:rPr>
              <w:t>Priced at the SAME PRODUCT'S OWN DISCLOSED REALISED PRICE — EGP 20,000/t from note 20, which is US$408.16/t at this model's FY2024/25 rate of 49.00 (4.5269)</w:t>
            </w:r>
          </w:p>
        </w:tc>
        <w:tc>
          <w:tcPr>
            <w:tcW w:type="dxa" w:w="950"/>
          </w:tcPr>
          <w:p>
            <w:pPr>
              <w:spacing w:after="20"/>
              <w:jc w:val="right"/>
            </w:pPr>
            <w:r>
              <w:rPr>
                <w:color w:val="1C3A36"/>
                <w:sz w:val="15"/>
              </w:rPr>
              <w:t>4.53</w:t>
            </w:r>
          </w:p>
        </w:tc>
        <w:tc>
          <w:tcPr>
            <w:tcW w:type="dxa" w:w="950"/>
          </w:tcPr>
          <w:p>
            <w:pPr>
              <w:spacing w:after="20"/>
              <w:jc w:val="right"/>
            </w:pPr>
            <w:r>
              <w:rPr>
                <w:color w:val="1C3A36"/>
                <w:sz w:val="15"/>
              </w:rPr>
              <w:t>+0.49</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[R-GAP-04],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export duty 2026 (+2.68);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305</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