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September 2026 · share price EGP 127.30 at the close of 3 September 2026 · 168.756 million shares in issue</w:t>
      </w:r>
    </w:p>
    <w:p>
      <w:pPr>
        <w:spacing w:after="120" w:before="280"/>
      </w:pPr>
      <w:r>
        <w:rPr>
          <w:b/>
          <w:i w:val="0"/>
          <w:color w:val="1C3A36"/>
          <w:sz w:val="30"/>
        </w:rPr>
        <w:t>Read first</w:t>
      </w:r>
    </w:p>
    <w:p>
      <w:pPr>
        <w:spacing w:after="120" w:before="0"/>
      </w:pPr>
      <w:r>
        <w:rPr>
          <w:b w:val="0"/>
          <w:i w:val="0"/>
          <w:color w:val="6E7B77"/>
          <w:sz w:val="16"/>
        </w:rPr>
        <w:t>PRICE DATE 3 September 2026 — the latest known close of EGP 127.30, the price this valuation is measured against.   ISSUE DATE 9 September 2026 — the day this edition was issued. A recalibration issues a NEW document carrying its own issue date; the two dates are stated separately because they are not the same fact [R-DOC-03].</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57 and EGP 107 a share. Because the contested judgement below is carried BOTH ways and the two are never averaged, the study publishes TWO weighted centres: EGP 88.52 a share on the permanent-provision reading and EGP 106.68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88.52 and EGP 106.68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57 and EGP 107.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88.52</w:t>
            </w:r>
          </w:p>
        </w:tc>
        <w:tc>
          <w:tcPr>
            <w:tcW w:type="dxa" w:w="1224"/>
          </w:tcPr>
          <w:p>
            <w:pPr>
              <w:spacing w:after="20"/>
              <w:jc w:val="right"/>
            </w:pPr>
            <w:r>
              <w:rPr>
                <w:color w:val="1C3A36"/>
                <w:sz w:val="18"/>
              </w:rPr>
              <w:t>-30%</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106.68</w:t>
            </w:r>
          </w:p>
        </w:tc>
        <w:tc>
          <w:tcPr>
            <w:tcW w:type="dxa" w:w="1224"/>
          </w:tcPr>
          <w:p>
            <w:pPr>
              <w:spacing w:after="20"/>
              <w:jc w:val="right"/>
            </w:pPr>
            <w:r>
              <w:rPr>
                <w:color w:val="1C3A36"/>
                <w:sz w:val="18"/>
              </w:rPr>
              <w:t>-16%</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73.22</w:t>
            </w:r>
          </w:p>
        </w:tc>
        <w:tc>
          <w:tcPr>
            <w:tcW w:type="dxa" w:w="1224"/>
          </w:tcPr>
          <w:p>
            <w:pPr>
              <w:spacing w:after="20"/>
              <w:jc w:val="right"/>
            </w:pPr>
            <w:r>
              <w:rPr>
                <w:color w:val="1C3A36"/>
                <w:sz w:val="18"/>
              </w:rPr>
              <w:t>-42%</w:t>
            </w:r>
          </w:p>
        </w:tc>
        <w:tc>
          <w:tcPr>
            <w:tcW w:type="dxa" w:w="3960"/>
          </w:tcPr>
          <w:p>
            <w:pPr>
              <w:spacing w:after="20"/>
              <w:jc w:val="right"/>
            </w:pPr>
            <w:r>
              <w:rPr>
                <w:color w:val="1C3A36"/>
                <w:sz w:val="18"/>
              </w:rPr>
              <w:t>justified 1.98x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56.67</w:t>
            </w:r>
          </w:p>
        </w:tc>
        <w:tc>
          <w:tcPr>
            <w:tcW w:type="dxa" w:w="1224"/>
          </w:tcPr>
          <w:p>
            <w:pPr>
              <w:spacing w:after="20"/>
              <w:jc w:val="right"/>
            </w:pPr>
            <w:r>
              <w:rPr>
                <w:color w:val="1C3A36"/>
                <w:sz w:val="18"/>
              </w:rPr>
              <w:t>-55%</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74.70</w:t>
            </w:r>
          </w:p>
        </w:tc>
        <w:tc>
          <w:tcPr>
            <w:tcW w:type="dxa" w:w="1224"/>
          </w:tcPr>
          <w:p>
            <w:pPr>
              <w:spacing w:after="20"/>
              <w:jc w:val="right"/>
            </w:pPr>
            <w:r>
              <w:rPr>
                <w:color w:val="1C3A36"/>
                <w:sz w:val="18"/>
              </w:rPr>
              <w:t>-41%</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88.52</w:t>
            </w:r>
          </w:p>
        </w:tc>
        <w:tc>
          <w:tcPr>
            <w:tcW w:type="dxa" w:w="1224"/>
            <w:shd w:val="clear" w:color="auto" w:fill="F6F1E6"/>
          </w:tcPr>
          <w:p>
            <w:pPr>
              <w:spacing w:after="20"/>
              <w:jc w:val="right"/>
            </w:pPr>
            <w:r>
              <w:rPr>
                <w:b/>
                <w:color w:val="1C3A36"/>
                <w:sz w:val="18"/>
              </w:rPr>
              <w:t>-30%</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106.68</w:t>
            </w:r>
          </w:p>
        </w:tc>
        <w:tc>
          <w:tcPr>
            <w:tcW w:type="dxa" w:w="1224"/>
            <w:shd w:val="clear" w:color="auto" w:fill="F6F1E6"/>
          </w:tcPr>
          <w:p>
            <w:pPr>
              <w:spacing w:after="20"/>
              <w:jc w:val="right"/>
            </w:pPr>
            <w:r>
              <w:rPr>
                <w:b/>
                <w:color w:val="1C3A36"/>
                <w:sz w:val="18"/>
              </w:rPr>
              <w:t>-16%</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78.61 / 87.69</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56.67 – 106.68</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25.92%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23.04%</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15.22%</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tcPr>
          <w:p>
            <w:pPr>
              <w:spacing w:after="20"/>
            </w:pPr>
            <w:r>
              <w:rPr>
                <w:color w:val="1C3A36"/>
                <w:sz w:val="17"/>
              </w:rPr>
              <w:t>EBITDA</w:t>
            </w:r>
          </w:p>
        </w:tc>
        <w:tc>
          <w:tcPr>
            <w:tcW w:type="dxa" w:w="1325"/>
          </w:tcPr>
          <w:p>
            <w:pPr>
              <w:spacing w:after="20"/>
              <w:jc w:val="right"/>
            </w:pPr>
            <w:r>
              <w:rPr>
                <w:color w:val="1C3A36"/>
                <w:sz w:val="17"/>
              </w:rPr>
              <w:t>3,022</w:t>
            </w:r>
          </w:p>
        </w:tc>
        <w:tc>
          <w:tcPr>
            <w:tcW w:type="dxa" w:w="1325"/>
          </w:tcPr>
          <w:p>
            <w:pPr>
              <w:spacing w:after="20"/>
              <w:jc w:val="right"/>
            </w:pPr>
            <w:r>
              <w:rPr>
                <w:color w:val="1C3A36"/>
                <w:sz w:val="17"/>
              </w:rPr>
              <w:t>3,666</w:t>
            </w:r>
          </w:p>
        </w:tc>
        <w:tc>
          <w:tcPr>
            <w:tcW w:type="dxa" w:w="1325"/>
          </w:tcPr>
          <w:p>
            <w:pPr>
              <w:spacing w:after="20"/>
              <w:jc w:val="right"/>
            </w:pPr>
            <w:r>
              <w:rPr>
                <w:color w:val="1C3A36"/>
                <w:sz w:val="17"/>
              </w:rPr>
              <w:t>4,307</w:t>
            </w:r>
          </w:p>
        </w:tc>
        <w:tc>
          <w:tcPr>
            <w:tcW w:type="dxa" w:w="1325"/>
          </w:tcPr>
          <w:p>
            <w:pPr>
              <w:spacing w:after="20"/>
              <w:jc w:val="right"/>
            </w:pPr>
            <w:r>
              <w:rPr>
                <w:color w:val="1C3A36"/>
                <w:sz w:val="17"/>
              </w:rPr>
              <w:t>4,933</w:t>
            </w:r>
          </w:p>
        </w:tc>
        <w:tc>
          <w:tcPr>
            <w:tcW w:type="dxa" w:w="1325"/>
          </w:tcPr>
          <w:p>
            <w:pPr>
              <w:spacing w:after="20"/>
              <w:jc w:val="right"/>
            </w:pPr>
            <w:r>
              <w:rPr>
                <w:color w:val="1C3A36"/>
                <w:sz w:val="17"/>
              </w:rPr>
              <w:t>5,595</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26.4%</w:t>
            </w:r>
          </w:p>
        </w:tc>
        <w:tc>
          <w:tcPr>
            <w:tcW w:type="dxa" w:w="1325"/>
          </w:tcPr>
          <w:p>
            <w:pPr>
              <w:spacing w:after="20"/>
              <w:jc w:val="right"/>
            </w:pPr>
            <w:r>
              <w:rPr>
                <w:color w:val="1C3A36"/>
                <w:sz w:val="17"/>
              </w:rPr>
              <w:t>26.5%</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26.8%</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2,718</w:t>
            </w:r>
          </w:p>
        </w:tc>
        <w:tc>
          <w:tcPr>
            <w:tcW w:type="dxa" w:w="1325"/>
          </w:tcPr>
          <w:p>
            <w:pPr>
              <w:spacing w:after="20"/>
              <w:jc w:val="right"/>
            </w:pPr>
            <w:r>
              <w:rPr>
                <w:color w:val="1C3A36"/>
                <w:sz w:val="17"/>
              </w:rPr>
              <w:t>3,241</w:t>
            </w:r>
          </w:p>
        </w:tc>
        <w:tc>
          <w:tcPr>
            <w:tcW w:type="dxa" w:w="1325"/>
          </w:tcPr>
          <w:p>
            <w:pPr>
              <w:spacing w:after="20"/>
              <w:jc w:val="right"/>
            </w:pPr>
            <w:r>
              <w:rPr>
                <w:color w:val="1C3A36"/>
                <w:sz w:val="17"/>
              </w:rPr>
              <w:t>3,861</w:t>
            </w:r>
          </w:p>
        </w:tc>
        <w:tc>
          <w:tcPr>
            <w:tcW w:type="dxa" w:w="1325"/>
          </w:tcPr>
          <w:p>
            <w:pPr>
              <w:spacing w:after="20"/>
              <w:jc w:val="right"/>
            </w:pPr>
            <w:r>
              <w:rPr>
                <w:color w:val="1C3A36"/>
                <w:sz w:val="17"/>
              </w:rPr>
              <w:t>4,496</w:t>
            </w:r>
          </w:p>
        </w:tc>
        <w:tc>
          <w:tcPr>
            <w:tcW w:type="dxa" w:w="1325"/>
          </w:tcPr>
          <w:p>
            <w:pPr>
              <w:spacing w:after="20"/>
              <w:jc w:val="right"/>
            </w:pPr>
            <w:r>
              <w:rPr>
                <w:color w:val="1C3A36"/>
                <w:sz w:val="17"/>
              </w:rPr>
              <w:t>5,172</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2,079</w:t>
            </w:r>
          </w:p>
        </w:tc>
        <w:tc>
          <w:tcPr>
            <w:tcW w:type="dxa" w:w="1325"/>
          </w:tcPr>
          <w:p>
            <w:pPr>
              <w:spacing w:after="20"/>
              <w:jc w:val="right"/>
            </w:pPr>
            <w:r>
              <w:rPr>
                <w:color w:val="1C3A36"/>
                <w:sz w:val="17"/>
              </w:rPr>
              <w:t>2,479</w:t>
            </w:r>
          </w:p>
        </w:tc>
        <w:tc>
          <w:tcPr>
            <w:tcW w:type="dxa" w:w="1325"/>
          </w:tcPr>
          <w:p>
            <w:pPr>
              <w:spacing w:after="20"/>
              <w:jc w:val="right"/>
            </w:pPr>
            <w:r>
              <w:rPr>
                <w:color w:val="1C3A36"/>
                <w:sz w:val="17"/>
              </w:rPr>
              <w:t>2,953</w:t>
            </w:r>
          </w:p>
        </w:tc>
        <w:tc>
          <w:tcPr>
            <w:tcW w:type="dxa" w:w="1325"/>
          </w:tcPr>
          <w:p>
            <w:pPr>
              <w:spacing w:after="20"/>
              <w:jc w:val="right"/>
            </w:pPr>
            <w:r>
              <w:rPr>
                <w:color w:val="1C3A36"/>
                <w:sz w:val="17"/>
              </w:rPr>
              <w:t>3,439</w:t>
            </w:r>
          </w:p>
        </w:tc>
        <w:tc>
          <w:tcPr>
            <w:tcW w:type="dxa" w:w="1325"/>
          </w:tcPr>
          <w:p>
            <w:pPr>
              <w:spacing w:after="20"/>
              <w:jc w:val="right"/>
            </w:pPr>
            <w:r>
              <w:rPr>
                <w:color w:val="1C3A36"/>
                <w:sz w:val="17"/>
              </w:rPr>
              <w:t>3,957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(1,430)</w:t>
            </w:r>
          </w:p>
        </w:tc>
        <w:tc>
          <w:tcPr>
            <w:tcW w:type="dxa" w:w="1325"/>
          </w:tcPr>
          <w:p>
            <w:pPr>
              <w:spacing w:after="20"/>
              <w:jc w:val="right"/>
            </w:pPr>
            <w:r>
              <w:rPr>
                <w:color w:val="1C3A36"/>
                <w:sz w:val="17"/>
              </w:rPr>
              <w:t>(622)</w:t>
            </w:r>
          </w:p>
        </w:tc>
        <w:tc>
          <w:tcPr>
            <w:tcW w:type="dxa" w:w="1325"/>
          </w:tcPr>
          <w:p>
            <w:pPr>
              <w:spacing w:after="20"/>
              <w:jc w:val="right"/>
            </w:pPr>
            <w:r>
              <w:rPr>
                <w:color w:val="1C3A36"/>
                <w:sz w:val="17"/>
              </w:rPr>
              <w:t>(566)</w:t>
            </w:r>
          </w:p>
        </w:tc>
        <w:tc>
          <w:tcPr>
            <w:tcW w:type="dxa" w:w="1325"/>
          </w:tcPr>
          <w:p>
            <w:pPr>
              <w:spacing w:after="20"/>
              <w:jc w:val="right"/>
            </w:pPr>
            <w:r>
              <w:rPr>
                <w:color w:val="1C3A36"/>
                <w:sz w:val="17"/>
              </w:rPr>
              <w:t>(593)</w:t>
            </w:r>
          </w:p>
        </w:tc>
        <w:tc>
          <w:tcPr>
            <w:tcW w:type="dxa" w:w="1325"/>
          </w:tcPr>
          <w:p>
            <w:pPr>
              <w:spacing w:after="20"/>
              <w:jc w:val="right"/>
            </w:pPr>
            <w:r>
              <w:rPr>
                <w:color w:val="1C3A36"/>
                <w:sz w:val="17"/>
              </w:rPr>
              <w:t>(627)</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(1,114)</w:t>
            </w:r>
          </w:p>
        </w:tc>
        <w:tc>
          <w:tcPr>
            <w:tcW w:type="dxa" w:w="1325"/>
          </w:tcPr>
          <w:p>
            <w:pPr>
              <w:spacing w:after="20"/>
              <w:jc w:val="right"/>
            </w:pPr>
            <w:r>
              <w:rPr>
                <w:color w:val="1C3A36"/>
                <w:sz w:val="17"/>
              </w:rPr>
              <w:t>(1,133)</w:t>
            </w:r>
          </w:p>
        </w:tc>
        <w:tc>
          <w:tcPr>
            <w:tcW w:type="dxa" w:w="1325"/>
          </w:tcPr>
          <w:p>
            <w:pPr>
              <w:spacing w:after="20"/>
              <w:jc w:val="right"/>
            </w:pPr>
            <w:r>
              <w:rPr>
                <w:color w:val="1C3A36"/>
                <w:sz w:val="17"/>
              </w:rPr>
              <w:t>(942)</w:t>
            </w:r>
          </w:p>
        </w:tc>
        <w:tc>
          <w:tcPr>
            <w:tcW w:type="dxa" w:w="1325"/>
          </w:tcPr>
          <w:p>
            <w:pPr>
              <w:spacing w:after="20"/>
              <w:jc w:val="right"/>
            </w:pPr>
            <w:r>
              <w:rPr>
                <w:color w:val="1C3A36"/>
                <w:sz w:val="17"/>
              </w:rPr>
              <w:t>(944)</w:t>
            </w:r>
          </w:p>
        </w:tc>
        <w:tc>
          <w:tcPr>
            <w:tcW w:type="dxa" w:w="1325"/>
          </w:tcPr>
          <w:p>
            <w:pPr>
              <w:spacing w:after="20"/>
              <w:jc w:val="right"/>
            </w:pPr>
            <w:r>
              <w:rPr>
                <w:color w:val="1C3A36"/>
                <w:sz w:val="17"/>
              </w:rPr>
              <w:t>(911)</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-161</w:t>
            </w:r>
          </w:p>
        </w:tc>
        <w:tc>
          <w:tcPr>
            <w:tcW w:type="dxa" w:w="1325"/>
          </w:tcPr>
          <w:p>
            <w:pPr>
              <w:spacing w:after="20"/>
              <w:jc w:val="right"/>
            </w:pPr>
            <w:r>
              <w:rPr>
                <w:color w:val="1C3A36"/>
                <w:sz w:val="17"/>
              </w:rPr>
              <w:t>1,149</w:t>
            </w:r>
          </w:p>
        </w:tc>
        <w:tc>
          <w:tcPr>
            <w:tcW w:type="dxa" w:w="1325"/>
          </w:tcPr>
          <w:p>
            <w:pPr>
              <w:spacing w:after="20"/>
              <w:jc w:val="right"/>
            </w:pPr>
            <w:r>
              <w:rPr>
                <w:color w:val="1C3A36"/>
                <w:sz w:val="17"/>
              </w:rPr>
              <w:t>1,891</w:t>
            </w:r>
          </w:p>
        </w:tc>
        <w:tc>
          <w:tcPr>
            <w:tcW w:type="dxa" w:w="1325"/>
          </w:tcPr>
          <w:p>
            <w:pPr>
              <w:spacing w:after="20"/>
              <w:jc w:val="right"/>
            </w:pPr>
            <w:r>
              <w:rPr>
                <w:color w:val="1C3A36"/>
                <w:sz w:val="17"/>
              </w:rPr>
              <w:t>2,340</w:t>
            </w:r>
          </w:p>
        </w:tc>
        <w:tc>
          <w:tcPr>
            <w:tcW w:type="dxa" w:w="1325"/>
          </w:tcPr>
          <w:p>
            <w:pPr>
              <w:spacing w:after="20"/>
              <w:jc w:val="right"/>
            </w:pPr>
            <w:r>
              <w:rPr>
                <w:color w:val="1C3A36"/>
                <w:sz w:val="17"/>
              </w:rPr>
              <w:t>2,841</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23.04%</w:t>
            </w:r>
          </w:p>
        </w:tc>
        <w:tc>
          <w:tcPr>
            <w:tcW w:type="dxa" w:w="1325"/>
            <w:shd w:val="clear" w:color="auto" w:fill="F6F1E6"/>
          </w:tcPr>
          <w:p>
            <w:pPr>
              <w:spacing w:after="20"/>
              <w:jc w:val="right"/>
            </w:pPr>
            <w:r>
              <w:rPr>
                <w:b/>
                <w:color w:val="1C3A36"/>
                <w:sz w:val="17"/>
              </w:rPr>
              <w:t>20.94%</w:t>
            </w:r>
          </w:p>
        </w:tc>
        <w:tc>
          <w:tcPr>
            <w:tcW w:type="dxa" w:w="1325"/>
            <w:shd w:val="clear" w:color="auto" w:fill="F6F1E6"/>
          </w:tcPr>
          <w:p>
            <w:pPr>
              <w:spacing w:after="20"/>
              <w:jc w:val="right"/>
            </w:pPr>
            <w:r>
              <w:rPr>
                <w:b/>
                <w:color w:val="1C3A36"/>
                <w:sz w:val="17"/>
              </w:rPr>
              <w:t>18.65%</w:t>
            </w:r>
          </w:p>
        </w:tc>
        <w:tc>
          <w:tcPr>
            <w:tcW w:type="dxa" w:w="1325"/>
            <w:shd w:val="clear" w:color="auto" w:fill="F6F1E6"/>
          </w:tcPr>
          <w:p>
            <w:pPr>
              <w:spacing w:after="20"/>
              <w:jc w:val="right"/>
            </w:pPr>
            <w:r>
              <w:rPr>
                <w:b/>
                <w:color w:val="1C3A36"/>
                <w:sz w:val="17"/>
              </w:rPr>
              <w:t>16.75%</w:t>
            </w:r>
          </w:p>
        </w:tc>
        <w:tc>
          <w:tcPr>
            <w:tcW w:type="dxa" w:w="1325"/>
            <w:shd w:val="clear" w:color="auto" w:fill="F6F1E6"/>
          </w:tcPr>
          <w:p>
            <w:pPr>
              <w:spacing w:after="20"/>
              <w:jc w:val="right"/>
            </w:pPr>
            <w:r>
              <w:rPr>
                <w:b/>
                <w:color w:val="1C3A36"/>
                <w:sz w:val="17"/>
              </w:rPr>
              <w:t>15.22%</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0.8128</w:t>
            </w:r>
          </w:p>
        </w:tc>
        <w:tc>
          <w:tcPr>
            <w:tcW w:type="dxa" w:w="1325"/>
          </w:tcPr>
          <w:p>
            <w:pPr>
              <w:spacing w:after="20"/>
              <w:jc w:val="right"/>
            </w:pPr>
            <w:r>
              <w:rPr>
                <w:color w:val="1C3A36"/>
                <w:sz w:val="17"/>
              </w:rPr>
              <w:t>0.6720</w:t>
            </w:r>
          </w:p>
        </w:tc>
        <w:tc>
          <w:tcPr>
            <w:tcW w:type="dxa" w:w="1325"/>
          </w:tcPr>
          <w:p>
            <w:pPr>
              <w:spacing w:after="20"/>
              <w:jc w:val="right"/>
            </w:pPr>
            <w:r>
              <w:rPr>
                <w:color w:val="1C3A36"/>
                <w:sz w:val="17"/>
              </w:rPr>
              <w:t>0.5664</w:t>
            </w:r>
          </w:p>
        </w:tc>
        <w:tc>
          <w:tcPr>
            <w:tcW w:type="dxa" w:w="1325"/>
          </w:tcPr>
          <w:p>
            <w:pPr>
              <w:spacing w:after="20"/>
              <w:jc w:val="right"/>
            </w:pPr>
            <w:r>
              <w:rPr>
                <w:color w:val="1C3A36"/>
                <w:sz w:val="17"/>
              </w:rPr>
              <w:t>0.4851</w:t>
            </w:r>
          </w:p>
        </w:tc>
        <w:tc>
          <w:tcPr>
            <w:tcW w:type="dxa" w:w="1325"/>
          </w:tcPr>
          <w:p>
            <w:pPr>
              <w:spacing w:after="20"/>
              <w:jc w:val="right"/>
            </w:pPr>
            <w:r>
              <w:rPr>
                <w:color w:val="1C3A36"/>
                <w:sz w:val="17"/>
              </w:rPr>
              <w:t>0.4211</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-131</w:t>
            </w:r>
          </w:p>
        </w:tc>
        <w:tc>
          <w:tcPr>
            <w:tcW w:type="dxa" w:w="1325"/>
          </w:tcPr>
          <w:p>
            <w:pPr>
              <w:spacing w:after="20"/>
              <w:jc w:val="right"/>
            </w:pPr>
            <w:r>
              <w:rPr>
                <w:color w:val="1C3A36"/>
                <w:sz w:val="17"/>
              </w:rPr>
              <w:t>772</w:t>
            </w:r>
          </w:p>
        </w:tc>
        <w:tc>
          <w:tcPr>
            <w:tcW w:type="dxa" w:w="1325"/>
          </w:tcPr>
          <w:p>
            <w:pPr>
              <w:spacing w:after="20"/>
              <w:jc w:val="right"/>
            </w:pPr>
            <w:r>
              <w:rPr>
                <w:color w:val="1C3A36"/>
                <w:sz w:val="17"/>
              </w:rPr>
              <w:t>1,071</w:t>
            </w:r>
          </w:p>
        </w:tc>
        <w:tc>
          <w:tcPr>
            <w:tcW w:type="dxa" w:w="1325"/>
          </w:tcPr>
          <w:p>
            <w:pPr>
              <w:spacing w:after="20"/>
              <w:jc w:val="right"/>
            </w:pPr>
            <w:r>
              <w:rPr>
                <w:color w:val="1C3A36"/>
                <w:sz w:val="17"/>
              </w:rPr>
              <w:t>1,135</w:t>
            </w:r>
          </w:p>
        </w:tc>
        <w:tc>
          <w:tcPr>
            <w:tcW w:type="dxa" w:w="1325"/>
          </w:tcPr>
          <w:p>
            <w:pPr>
              <w:spacing w:after="20"/>
              <w:jc w:val="right"/>
            </w:pPr>
            <w:r>
              <w:rPr>
                <w:color w:val="1C3A36"/>
                <w:sz w:val="17"/>
              </w:rPr>
              <w:t>1,196</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4,043</w:t>
            </w:r>
          </w:p>
        </w:tc>
        <w:tc>
          <w:tcPr>
            <w:tcW w:type="dxa" w:w="2232"/>
          </w:tcPr>
          <w:p>
            <w:pPr>
              <w:spacing w:after="20"/>
              <w:jc w:val="right"/>
            </w:pPr>
            <w:r>
              <w:rPr>
                <w:color w:val="1C3A36"/>
                <w:sz w:val="18"/>
              </w:rPr>
              <w:t>23.96</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15,272</w:t>
            </w:r>
          </w:p>
        </w:tc>
        <w:tc>
          <w:tcPr>
            <w:tcW w:type="dxa" w:w="2232"/>
          </w:tcPr>
          <w:p>
            <w:pPr>
              <w:spacing w:after="20"/>
              <w:jc w:val="right"/>
            </w:pPr>
            <w:r>
              <w:rPr>
                <w:color w:val="1C3A36"/>
                <w:sz w:val="18"/>
              </w:rPr>
              <w:t>90.50</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19,316</w:t>
            </w:r>
          </w:p>
        </w:tc>
        <w:tc>
          <w:tcPr>
            <w:tcW w:type="dxa" w:w="2232"/>
          </w:tcPr>
          <w:p>
            <w:pPr>
              <w:spacing w:after="20"/>
              <w:jc w:val="right"/>
            </w:pPr>
            <w:r>
              <w:rPr>
                <w:color w:val="1C3A36"/>
                <w:sz w:val="18"/>
              </w:rPr>
              <w:t>114.46</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79%</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22,307</w:t>
            </w:r>
          </w:p>
        </w:tc>
        <w:tc>
          <w:tcPr>
            <w:tcW w:type="dxa" w:w="2232"/>
          </w:tcPr>
          <w:p>
            <w:pPr>
              <w:spacing w:after="20"/>
              <w:jc w:val="right"/>
            </w:pPr>
            <w:r>
              <w:rPr>
                <w:color w:val="1C3A36"/>
                <w:sz w:val="18"/>
              </w:rPr>
              <w:t>132.18</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68%</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14,938</w:t>
            </w:r>
          </w:p>
        </w:tc>
        <w:tc>
          <w:tcPr>
            <w:tcW w:type="dxa" w:w="2232"/>
          </w:tcPr>
          <w:p>
            <w:pPr>
              <w:spacing w:after="20"/>
              <w:jc w:val="right"/>
            </w:pPr>
            <w:r>
              <w:rPr>
                <w:color w:val="1C3A36"/>
                <w:sz w:val="18"/>
              </w:rPr>
              <w:t>88.52</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18,003</w:t>
            </w:r>
          </w:p>
        </w:tc>
        <w:tc>
          <w:tcPr>
            <w:tcW w:type="dxa" w:w="2232"/>
            <w:shd w:val="clear" w:color="auto" w:fill="F6F1E6"/>
          </w:tcPr>
          <w:p>
            <w:pPr>
              <w:spacing w:after="20"/>
              <w:jc w:val="right"/>
            </w:pPr>
            <w:r>
              <w:rPr>
                <w:b/>
                <w:color w:val="1C3A36"/>
                <w:sz w:val="18"/>
              </w:rPr>
              <w:t>106.68</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79% of the CORE operating value and 68%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20.4% / 23.5% / 26.1% / 27.4% / 27.8% — it RISES through the window rather than settling, so the sustainable return used here is the mean of its last three years, 27.11%, read off that path rather than chosen. A business earning 27.1% on equity while its perpetual cost of equity is 17.16% is worth more than its book: the multiple that relationship justifies is (return less growth) over (cost of equity less growth), or 1.98 times book — EGP 73.22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7.30x</w:t>
            </w:r>
          </w:p>
        </w:tc>
        <w:tc>
          <w:tcPr>
            <w:tcW w:type="dxa" w:w="1368"/>
          </w:tcPr>
          <w:p>
            <w:pPr>
              <w:spacing w:after="20"/>
              <w:jc w:val="right"/>
            </w:pPr>
            <w:r>
              <w:rPr>
                <w:color w:val="1C3A36"/>
                <w:sz w:val="17"/>
              </w:rPr>
              <w:t>60.03</w:t>
            </w:r>
          </w:p>
        </w:tc>
        <w:tc>
          <w:tcPr>
            <w:tcW w:type="dxa" w:w="4320"/>
          </w:tcPr>
          <w:p>
            <w:pPr>
              <w:spacing w:after="20"/>
              <w:jc w:val="right"/>
            </w:pPr>
            <w:r>
              <w:rPr>
                <w:color w:val="1C3A36"/>
                <w:sz w:val="17"/>
              </w:rPr>
              <w:t>a FORWARD multiple on FORWARD earnings of EGP 8.22. Retention must equal growth 7% over sustainable return 27.1%, so payout is 74%</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6.30x</w:t>
            </w:r>
          </w:p>
        </w:tc>
        <w:tc>
          <w:tcPr>
            <w:tcW w:type="dxa" w:w="1368"/>
          </w:tcPr>
          <w:p>
            <w:pPr>
              <w:spacing w:after="20"/>
              <w:jc w:val="right"/>
            </w:pPr>
            <w:r>
              <w:rPr>
                <w:color w:val="1C3A36"/>
                <w:sz w:val="17"/>
              </w:rPr>
              <w:t>53.85</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17.2%</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6.73x</w:t>
            </w:r>
          </w:p>
        </w:tc>
        <w:tc>
          <w:tcPr>
            <w:tcW w:type="dxa" w:w="1368"/>
            <w:shd w:val="clear" w:color="auto" w:fill="F6F1E6"/>
          </w:tcPr>
          <w:p>
            <w:pPr>
              <w:spacing w:after="20"/>
              <w:jc w:val="right"/>
            </w:pPr>
            <w:r>
              <w:rPr>
                <w:b/>
                <w:color w:val="1C3A36"/>
                <w:sz w:val="17"/>
              </w:rPr>
              <w:t>56.67</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10.23 a share of sustainable earnings. Capitalised at the PERPETUAL cost of equity of 17.16% less 7% growth, on the 74% payout that growth rate permits, that is EGP 74.70 a share. Using today's crisis-level cost of equity of 25.92%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57 to EGP 107.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88.52 a share on Frame A and EGP 106.68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24.62</w:t>
            </w:r>
          </w:p>
        </w:tc>
        <w:tc>
          <w:tcPr>
            <w:tcW w:type="dxa" w:w="1325"/>
          </w:tcPr>
          <w:p>
            <w:pPr>
              <w:spacing w:after="20"/>
              <w:jc w:val="right"/>
            </w:pPr>
            <w:r>
              <w:rPr>
                <w:color w:val="1C3A36"/>
                <w:sz w:val="17"/>
              </w:rPr>
              <w:t>27.57</w:t>
            </w:r>
          </w:p>
        </w:tc>
        <w:tc>
          <w:tcPr>
            <w:tcW w:type="dxa" w:w="1325"/>
          </w:tcPr>
          <w:p>
            <w:pPr>
              <w:spacing w:after="20"/>
              <w:jc w:val="right"/>
            </w:pPr>
            <w:r>
              <w:rPr>
                <w:color w:val="1C3A36"/>
                <w:sz w:val="17"/>
              </w:rPr>
              <w:t>30.05</w:t>
            </w:r>
          </w:p>
        </w:tc>
        <w:tc>
          <w:tcPr>
            <w:tcW w:type="dxa" w:w="1325"/>
          </w:tcPr>
          <w:p>
            <w:pPr>
              <w:spacing w:after="20"/>
              <w:jc w:val="right"/>
            </w:pPr>
            <w:r>
              <w:rPr>
                <w:color w:val="1C3A36"/>
                <w:sz w:val="17"/>
              </w:rPr>
              <w:t>32.31</w:t>
            </w:r>
          </w:p>
        </w:tc>
        <w:tc>
          <w:tcPr>
            <w:tcW w:type="dxa" w:w="1325"/>
          </w:tcPr>
          <w:p>
            <w:pPr>
              <w:spacing w:after="20"/>
              <w:jc w:val="right"/>
            </w:pPr>
            <w:r>
              <w:rPr>
                <w:color w:val="1C3A36"/>
                <w:sz w:val="17"/>
              </w:rPr>
              <w:t>34.57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10.44</w:t>
            </w:r>
          </w:p>
        </w:tc>
        <w:tc>
          <w:tcPr>
            <w:tcW w:type="dxa" w:w="1325"/>
          </w:tcPr>
          <w:p>
            <w:pPr>
              <w:spacing w:after="20"/>
              <w:jc w:val="right"/>
            </w:pPr>
            <w:r>
              <w:rPr>
                <w:color w:val="1C3A36"/>
                <w:sz w:val="17"/>
              </w:rPr>
              <w:t>11.69</w:t>
            </w:r>
          </w:p>
        </w:tc>
        <w:tc>
          <w:tcPr>
            <w:tcW w:type="dxa" w:w="1325"/>
          </w:tcPr>
          <w:p>
            <w:pPr>
              <w:spacing w:after="20"/>
              <w:jc w:val="right"/>
            </w:pPr>
            <w:r>
              <w:rPr>
                <w:color w:val="1C3A36"/>
                <w:sz w:val="17"/>
              </w:rPr>
              <w:t>12.75</w:t>
            </w:r>
          </w:p>
        </w:tc>
        <w:tc>
          <w:tcPr>
            <w:tcW w:type="dxa" w:w="1325"/>
          </w:tcPr>
          <w:p>
            <w:pPr>
              <w:spacing w:after="20"/>
              <w:jc w:val="right"/>
            </w:pPr>
            <w:r>
              <w:rPr>
                <w:color w:val="1C3A36"/>
                <w:sz w:val="17"/>
              </w:rPr>
              <w:t>13.70</w:t>
            </w:r>
          </w:p>
        </w:tc>
        <w:tc>
          <w:tcPr>
            <w:tcW w:type="dxa" w:w="1325"/>
          </w:tcPr>
          <w:p>
            <w:pPr>
              <w:spacing w:after="20"/>
              <w:jc w:val="right"/>
            </w:pPr>
            <w:r>
              <w:rPr>
                <w:color w:val="1C3A36"/>
                <w:sz w:val="17"/>
              </w:rPr>
              <w:t>14.66</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19.66</w:t>
            </w:r>
          </w:p>
        </w:tc>
        <w:tc>
          <w:tcPr>
            <w:tcW w:type="dxa" w:w="1325"/>
          </w:tcPr>
          <w:p>
            <w:pPr>
              <w:spacing w:after="20"/>
              <w:jc w:val="right"/>
            </w:pPr>
            <w:r>
              <w:rPr>
                <w:color w:val="1C3A36"/>
                <w:sz w:val="17"/>
              </w:rPr>
              <w:t>22.02</w:t>
            </w:r>
          </w:p>
        </w:tc>
        <w:tc>
          <w:tcPr>
            <w:tcW w:type="dxa" w:w="1325"/>
          </w:tcPr>
          <w:p>
            <w:pPr>
              <w:spacing w:after="20"/>
              <w:jc w:val="right"/>
            </w:pPr>
            <w:r>
              <w:rPr>
                <w:color w:val="1C3A36"/>
                <w:sz w:val="17"/>
              </w:rPr>
              <w:t>24.00</w:t>
            </w:r>
          </w:p>
        </w:tc>
        <w:tc>
          <w:tcPr>
            <w:tcW w:type="dxa" w:w="1325"/>
          </w:tcPr>
          <w:p>
            <w:pPr>
              <w:spacing w:after="20"/>
              <w:jc w:val="right"/>
            </w:pPr>
            <w:r>
              <w:rPr>
                <w:color w:val="1C3A36"/>
                <w:sz w:val="17"/>
              </w:rPr>
              <w:t>25.80</w:t>
            </w:r>
          </w:p>
        </w:tc>
        <w:tc>
          <w:tcPr>
            <w:tcW w:type="dxa" w:w="1325"/>
          </w:tcPr>
          <w:p>
            <w:pPr>
              <w:spacing w:after="20"/>
              <w:jc w:val="right"/>
            </w:pPr>
            <w:r>
              <w:rPr>
                <w:color w:val="1C3A36"/>
                <w:sz w:val="17"/>
              </w:rPr>
              <w:t>27.61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42.8%</w:t>
            </w:r>
          </w:p>
        </w:tc>
        <w:tc>
          <w:tcPr>
            <w:tcW w:type="dxa" w:w="1325"/>
            <w:shd w:val="clear" w:color="auto" w:fill="F6F1E6"/>
          </w:tcPr>
          <w:p>
            <w:pPr>
              <w:spacing w:after="20"/>
              <w:jc w:val="right"/>
            </w:pPr>
            <w:r>
              <w:rPr>
                <w:b/>
                <w:color w:val="1C3A36"/>
                <w:sz w:val="17"/>
              </w:rPr>
              <w:t>42.9%</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43.5%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3,774 million of revenue by FY2030 at a 45% contribution margin closes the gap from EGP 88.52 to EGP 127.30. That is 15% of FY2030 revenue, or about USD 54 million a year — 0.54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54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38.78 a share — EGP 6,544 million, 30% of the entire share price — for a plant this study values at nothing, against a stated build cost of USD 100 million, about EGP 7,011 million. The market is not merely paying for the plant to work; it is paying roughly 0.9 times what the plant cost to build. That is the proposition, stated as a multiple of an observable outlay rather than as a valuation.</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54 million a year of biosimilar revenue by 2030 is a figure the company will eventually disclose, and a reader can check this study against it. An asset turn of 0.54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11,442</w:t>
            </w:r>
          </w:p>
        </w:tc>
        <w:tc>
          <w:tcPr>
            <w:tcW w:type="dxa" w:w="3312"/>
          </w:tcPr>
          <w:p>
            <w:pPr>
              <w:spacing w:after="20"/>
              <w:jc w:val="right"/>
            </w:pPr>
            <w:r>
              <w:rPr>
                <w:color w:val="1C3A36"/>
                <w:sz w:val="16"/>
              </w:rPr>
              <w:t>10.0%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43.2%</w:t>
            </w:r>
          </w:p>
        </w:tc>
        <w:tc>
          <w:tcPr>
            <w:tcW w:type="dxa" w:w="3312"/>
          </w:tcPr>
          <w:p>
            <w:pPr>
              <w:spacing w:after="20"/>
              <w:jc w:val="right"/>
            </w:pPr>
            <w:r>
              <w:rPr>
                <w:color w:val="1C3A36"/>
                <w:sz w:val="16"/>
              </w:rPr>
              <w:t>within 77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1,430</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1,355</w:t>
            </w:r>
          </w:p>
        </w:tc>
        <w:tc>
          <w:tcPr>
            <w:tcW w:type="dxa" w:w="3312"/>
          </w:tcPr>
          <w:p>
            <w:pPr>
              <w:spacing w:after="20"/>
              <w:jc w:val="right"/>
            </w:pPr>
            <w:r>
              <w:rPr>
                <w:color w:val="1C3A36"/>
                <w:sz w:val="16"/>
              </w:rPr>
              <w:t>the study is 5%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8.03</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29.34%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0.666</w:t>
            </w:r>
          </w:p>
        </w:tc>
        <w:tc>
          <w:tcPr>
            <w:tcW w:type="dxa" w:w="1368"/>
          </w:tcPr>
          <w:p>
            <w:pPr>
              <w:spacing w:after="20"/>
              <w:jc w:val="right"/>
            </w:pPr>
            <w:r>
              <w:rPr>
                <w:color w:val="1C3A36"/>
                <w:sz w:val="16"/>
              </w:rPr>
              <w:t>0.666</w:t>
            </w:r>
          </w:p>
        </w:tc>
        <w:tc>
          <w:tcPr>
            <w:tcW w:type="dxa" w:w="4536"/>
          </w:tcPr>
          <w:p>
            <w:pPr>
              <w:spacing w:after="20"/>
              <w:jc w:val="right"/>
            </w:pPr>
            <w:r>
              <w:rPr>
                <w:color w:val="1C3A36"/>
                <w:sz w:val="16"/>
              </w:rPr>
              <w:t>Own-stock weekly regression against the published EGX30 index of the exchange this share is listed on, 4.94 years; R-squared 0.143, n = 256, standard error 0.135</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25.92%</w:t>
            </w:r>
          </w:p>
        </w:tc>
        <w:tc>
          <w:tcPr>
            <w:tcW w:type="dxa" w:w="1368"/>
            <w:shd w:val="clear" w:color="auto" w:fill="F6F1E6"/>
          </w:tcPr>
          <w:p>
            <w:pPr>
              <w:spacing w:after="20"/>
              <w:jc w:val="right"/>
            </w:pPr>
            <w:r>
              <w:rPr>
                <w:b/>
                <w:color w:val="1C3A36"/>
                <w:sz w:val="16"/>
              </w:rPr>
              <w:t>26.01%</w:t>
            </w:r>
          </w:p>
        </w:tc>
        <w:tc>
          <w:tcPr>
            <w:tcW w:type="dxa" w:w="4536"/>
            <w:shd w:val="clear" w:color="auto" w:fill="F6F1E6"/>
          </w:tcPr>
          <w:p>
            <w:pPr>
              <w:spacing w:after="20"/>
              <w:jc w:val="right"/>
            </w:pPr>
            <w:r>
              <w:rPr>
                <w:b/>
                <w:color w:val="1C3A36"/>
                <w:sz w:val="16"/>
              </w:rPr>
              <w:t>The two bases agree to 9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25.50%</w:t>
            </w:r>
          </w:p>
        </w:tc>
        <w:tc>
          <w:tcPr>
            <w:tcW w:type="dxa" w:w="1368"/>
          </w:tcPr>
          <w:p>
            <w:pPr>
              <w:spacing w:after="20"/>
              <w:jc w:val="right"/>
            </w:pPr>
            <w:r>
              <w:rPr>
                <w:color w:val="1C3A36"/>
                <w:sz w:val="16"/>
              </w:rPr>
              <w:t>25.50%</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14.64%</w:t>
            </w:r>
          </w:p>
        </w:tc>
        <w:tc>
          <w:tcPr>
            <w:tcW w:type="dxa" w:w="1368"/>
          </w:tcPr>
          <w:p>
            <w:pPr>
              <w:spacing w:after="20"/>
              <w:jc w:val="right"/>
            </w:pPr>
            <w:r>
              <w:rPr>
                <w:color w:val="1C3A36"/>
                <w:sz w:val="16"/>
              </w:rPr>
              <w:t>14.64%</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23.04%</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22.64%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15.22%</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17.16%, cost of debt after tax 9.56%, DERIVED debt weight 25.5% on today's market values. The forecast balance sheet, once funded, carries 36.2% on book at FY2030E, which would give 14.41%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18.9%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23.04%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88.52</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79.33</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104.67</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89.25</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80</w:t>
            </w:r>
          </w:p>
        </w:tc>
        <w:tc>
          <w:tcPr>
            <w:tcW w:type="dxa" w:w="1368"/>
          </w:tcPr>
          <w:p>
            <w:pPr>
              <w:spacing w:after="20"/>
              <w:jc w:val="right"/>
            </w:pPr>
            <w:r>
              <w:rPr>
                <w:color w:val="1C3A36"/>
                <w:sz w:val="17"/>
              </w:rPr>
              <w:t>86</w:t>
            </w:r>
          </w:p>
        </w:tc>
        <w:tc>
          <w:tcPr>
            <w:tcW w:type="dxa" w:w="1368"/>
          </w:tcPr>
          <w:p>
            <w:pPr>
              <w:spacing w:after="20"/>
              <w:jc w:val="right"/>
            </w:pPr>
            <w:r>
              <w:rPr>
                <w:color w:val="1C3A36"/>
                <w:sz w:val="17"/>
              </w:rPr>
              <w:t>94</w:t>
            </w:r>
          </w:p>
        </w:tc>
        <w:tc>
          <w:tcPr>
            <w:tcW w:type="dxa" w:w="1368"/>
          </w:tcPr>
          <w:p>
            <w:pPr>
              <w:spacing w:after="20"/>
              <w:jc w:val="right"/>
            </w:pPr>
            <w:r>
              <w:rPr>
                <w:color w:val="1C3A36"/>
                <w:sz w:val="17"/>
              </w:rPr>
              <w:t>104</w:t>
            </w:r>
          </w:p>
        </w:tc>
        <w:tc>
          <w:tcPr>
            <w:tcW w:type="dxa" w:w="1368"/>
          </w:tcPr>
          <w:p>
            <w:pPr>
              <w:spacing w:after="20"/>
              <w:jc w:val="right"/>
            </w:pPr>
            <w:r>
              <w:rPr>
                <w:color w:val="1C3A36"/>
                <w:sz w:val="17"/>
              </w:rPr>
              <w:t>117</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72</w:t>
            </w:r>
          </w:p>
        </w:tc>
        <w:tc>
          <w:tcPr>
            <w:tcW w:type="dxa" w:w="1368"/>
          </w:tcPr>
          <w:p>
            <w:pPr>
              <w:spacing w:after="20"/>
              <w:jc w:val="right"/>
            </w:pPr>
            <w:r>
              <w:rPr>
                <w:color w:val="1C3A36"/>
                <w:sz w:val="17"/>
              </w:rPr>
              <w:t>77</w:t>
            </w:r>
          </w:p>
        </w:tc>
        <w:tc>
          <w:tcPr>
            <w:tcW w:type="dxa" w:w="1368"/>
          </w:tcPr>
          <w:p>
            <w:pPr>
              <w:spacing w:after="20"/>
              <w:jc w:val="right"/>
            </w:pPr>
            <w:r>
              <w:rPr>
                <w:color w:val="1C3A36"/>
                <w:sz w:val="17"/>
              </w:rPr>
              <w:t>84</w:t>
            </w:r>
          </w:p>
        </w:tc>
        <w:tc>
          <w:tcPr>
            <w:tcW w:type="dxa" w:w="1368"/>
          </w:tcPr>
          <w:p>
            <w:pPr>
              <w:spacing w:after="20"/>
              <w:jc w:val="right"/>
            </w:pPr>
            <w:r>
              <w:rPr>
                <w:color w:val="1C3A36"/>
                <w:sz w:val="17"/>
              </w:rPr>
              <w:t>91</w:t>
            </w:r>
          </w:p>
        </w:tc>
        <w:tc>
          <w:tcPr>
            <w:tcW w:type="dxa" w:w="1368"/>
          </w:tcPr>
          <w:p>
            <w:pPr>
              <w:spacing w:after="20"/>
              <w:jc w:val="right"/>
            </w:pPr>
            <w:r>
              <w:rPr>
                <w:color w:val="1C3A36"/>
                <w:sz w:val="17"/>
              </w:rPr>
              <w:t>101</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65</w:t>
            </w:r>
          </w:p>
        </w:tc>
        <w:tc>
          <w:tcPr>
            <w:tcW w:type="dxa" w:w="1368"/>
          </w:tcPr>
          <w:p>
            <w:pPr>
              <w:spacing w:after="20"/>
              <w:jc w:val="right"/>
            </w:pPr>
            <w:r>
              <w:rPr>
                <w:color w:val="1C3A36"/>
                <w:sz w:val="17"/>
              </w:rPr>
              <w:t>69</w:t>
            </w:r>
          </w:p>
        </w:tc>
        <w:tc>
          <w:tcPr>
            <w:tcW w:type="dxa" w:w="1368"/>
          </w:tcPr>
          <w:p>
            <w:pPr>
              <w:spacing w:after="20"/>
              <w:jc w:val="right"/>
            </w:pPr>
            <w:r>
              <w:rPr>
                <w:color w:val="1C3A36"/>
                <w:sz w:val="17"/>
              </w:rPr>
              <w:t>74</w:t>
            </w:r>
          </w:p>
        </w:tc>
        <w:tc>
          <w:tcPr>
            <w:tcW w:type="dxa" w:w="1368"/>
          </w:tcPr>
          <w:p>
            <w:pPr>
              <w:spacing w:after="20"/>
              <w:jc w:val="right"/>
            </w:pPr>
            <w:r>
              <w:rPr>
                <w:color w:val="1C3A36"/>
                <w:sz w:val="17"/>
              </w:rPr>
              <w:t>81</w:t>
            </w:r>
          </w:p>
        </w:tc>
        <w:tc>
          <w:tcPr>
            <w:tcW w:type="dxa" w:w="1368"/>
          </w:tcPr>
          <w:p>
            <w:pPr>
              <w:spacing w:after="20"/>
              <w:jc w:val="right"/>
            </w:pPr>
            <w:r>
              <w:rPr>
                <w:color w:val="1C3A36"/>
                <w:sz w:val="17"/>
              </w:rPr>
              <w:t>89</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58</w:t>
            </w:r>
          </w:p>
        </w:tc>
        <w:tc>
          <w:tcPr>
            <w:tcW w:type="dxa" w:w="1368"/>
          </w:tcPr>
          <w:p>
            <w:pPr>
              <w:spacing w:after="20"/>
              <w:jc w:val="right"/>
            </w:pPr>
            <w:r>
              <w:rPr>
                <w:color w:val="1C3A36"/>
                <w:sz w:val="17"/>
              </w:rPr>
              <w:t>62</w:t>
            </w:r>
          </w:p>
        </w:tc>
        <w:tc>
          <w:tcPr>
            <w:tcW w:type="dxa" w:w="1368"/>
          </w:tcPr>
          <w:p>
            <w:pPr>
              <w:spacing w:after="20"/>
              <w:jc w:val="right"/>
            </w:pPr>
            <w:r>
              <w:rPr>
                <w:color w:val="1C3A36"/>
                <w:sz w:val="17"/>
              </w:rPr>
              <w:t>66</w:t>
            </w:r>
          </w:p>
        </w:tc>
        <w:tc>
          <w:tcPr>
            <w:tcW w:type="dxa" w:w="1368"/>
          </w:tcPr>
          <w:p>
            <w:pPr>
              <w:spacing w:after="20"/>
              <w:jc w:val="right"/>
            </w:pPr>
            <w:r>
              <w:rPr>
                <w:color w:val="1C3A36"/>
                <w:sz w:val="17"/>
              </w:rPr>
              <w:t>72</w:t>
            </w:r>
          </w:p>
        </w:tc>
        <w:tc>
          <w:tcPr>
            <w:tcW w:type="dxa" w:w="1368"/>
          </w:tcPr>
          <w:p>
            <w:pPr>
              <w:spacing w:after="20"/>
              <w:jc w:val="right"/>
            </w:pPr>
            <w:r>
              <w:rPr>
                <w:color w:val="1C3A36"/>
                <w:sz w:val="17"/>
              </w:rPr>
              <w:t>78</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53</w:t>
            </w:r>
          </w:p>
        </w:tc>
        <w:tc>
          <w:tcPr>
            <w:tcW w:type="dxa" w:w="1368"/>
          </w:tcPr>
          <w:p>
            <w:pPr>
              <w:spacing w:after="20"/>
              <w:jc w:val="right"/>
            </w:pPr>
            <w:r>
              <w:rPr>
                <w:color w:val="1C3A36"/>
                <w:sz w:val="17"/>
              </w:rPr>
              <w:t>56</w:t>
            </w:r>
          </w:p>
        </w:tc>
        <w:tc>
          <w:tcPr>
            <w:tcW w:type="dxa" w:w="1368"/>
          </w:tcPr>
          <w:p>
            <w:pPr>
              <w:spacing w:after="20"/>
              <w:jc w:val="right"/>
            </w:pPr>
            <w:r>
              <w:rPr>
                <w:color w:val="1C3A36"/>
                <w:sz w:val="17"/>
              </w:rPr>
              <w:t>60</w:t>
            </w:r>
          </w:p>
        </w:tc>
        <w:tc>
          <w:tcPr>
            <w:tcW w:type="dxa" w:w="1368"/>
          </w:tcPr>
          <w:p>
            <w:pPr>
              <w:spacing w:after="20"/>
              <w:jc w:val="right"/>
            </w:pPr>
            <w:r>
              <w:rPr>
                <w:color w:val="1C3A36"/>
                <w:sz w:val="17"/>
              </w:rPr>
              <w:t>64</w:t>
            </w:r>
          </w:p>
        </w:tc>
        <w:tc>
          <w:tcPr>
            <w:tcW w:type="dxa" w:w="1368"/>
          </w:tcPr>
          <w:p>
            <w:pPr>
              <w:spacing w:after="20"/>
              <w:jc w:val="right"/>
            </w:pPr>
            <w:r>
              <w:rPr>
                <w:color w:val="1C3A36"/>
                <w:sz w:val="17"/>
              </w:rPr>
              <w:t>69</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53 to EGP 117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943 million of FY2030 sales, or USD 13 million a year — is worth about EGP 9.69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2636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2636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checking each forecast against what actually happened. Three window sets are reported: the last five years, 19 non-overlapping three-month windows; the full 13.8-year history, 56 windows; and the period AFTER the currency break that dominates the older history — 16 windows from 2022-06-20 to 2026-03-24. The third is published because it is the set that matches the period the bands shown above are built on. All three are reported together; reporting only two of three would be a choice about which evidence a reader sees.</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88.52</w:t>
            </w:r>
          </w:p>
        </w:tc>
        <w:tc>
          <w:tcPr>
            <w:tcW w:type="dxa" w:w="2952"/>
          </w:tcPr>
          <w:p>
            <w:pPr>
              <w:spacing w:after="20"/>
              <w:jc w:val="right"/>
            </w:pPr>
            <w:r>
              <w:rPr>
                <w:color w:val="1C3A36"/>
                <w:sz w:val="16"/>
              </w:rPr>
              <w:t>the terminal discount rate and the terminal growth rate — 79%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106.68</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73.22</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56.67</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74.70</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relative lens at EGP 56.67; the highest is the cash-flow reading on the normalising frame at EGP 106.68. The cash-flow readings charge the new plant's full cost and credit it with nothing, so they sit low despite capturing five years of the volume and price growth the existing business is already delivering. The relative lens prices the company on what a 27.1% return and a 17.2% perpetual cost of equity can justify, which supports about 7.30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54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88.52 and EGP 106.68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19.17% in FY2030E. It now READS the model's own final year, so terminal reinvestment rises from 25.0% to 36.5%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3,440 million of construction is still parked at FY2030E and had never entered the depreciable base. A perpetuity cannot capitalise profit on capital it never charges, so EGP 213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36.2%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tcPr>
          <w:p>
            <w:pPr>
              <w:spacing w:after="20"/>
            </w:pPr>
            <w:r>
              <w:rPr>
                <w:color w:val="1C3A36"/>
                <w:sz w:val="16"/>
              </w:rPr>
              <w:t>The terminal is fed the LAST forecast year’s cash flow, not a year already grown</w:t>
            </w:r>
          </w:p>
        </w:tc>
        <w:tc>
          <w:tcPr>
            <w:tcW w:type="dxa" w:w="6048"/>
          </w:tcPr>
          <w:p>
            <w:pPr>
              <w:spacing w:after="20"/>
              <w:jc w:val="right"/>
            </w:pPr>
            <w:r>
              <w:rPr>
                <w:color w:val="1C3A36"/>
                <w:sz w:val="16"/>
              </w:rPr>
              <w:t>the terminal formula grows the free cash flow one year itself and values the result at the end of the last forecast year, which is where the discount factor lands it. The profit, the depreciation and the working capital handed to it had already been grown once, so the terminal capitalised a flow a year further out than the factor it was discounted at. Correcting it lowers the terminal by -6.9% on Frame A and -6.9% on Frame B, and the value per share by -7.0% and -6.7% — the larger share effect is gearing, not a second change</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88.52 on Frame A (11%) and EGP 106.68 on Frame B (34%)</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10.93% against a blended MARGINAL cost of debt of 18.89%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market index explains little of this share’s week-to-week movement</w:t>
            </w:r>
          </w:p>
        </w:tc>
        <w:tc>
          <w:tcPr>
            <w:tcW w:type="dxa" w:w="4824"/>
          </w:tcPr>
          <w:p>
            <w:pPr>
              <w:spacing w:after="20"/>
              <w:jc w:val="right"/>
            </w:pPr>
            <w:r>
              <w:rPr>
                <w:color w:val="1C3A36"/>
                <w:sz w:val="16"/>
              </w:rPr>
              <w:t>the beta is regressed against the published index of the exchange the shares are listed on, and that index explains 14.3% of the weekly variation over 256 observations. The coefficient is 0.666 with a 90% range of 0.443 to 0.889, and that range is wide enough to matter to the valuation. A previous edition regressed against an equal-weighted basket of 36 local names, which fit better — 23.5% — and gave 0.629. That basket is not a market: it changes whenever a share is added to it and it shares members with the very set it is used to price, so it tracks any one of them more closely than a real index does. A better fit against the wrong yardstick is not a reason to use the wrong yardstick. Both figures and their statistics are published in the bibliography</w:t>
            </w:r>
          </w:p>
        </w:tc>
        <w:tc>
          <w:tcPr>
            <w:tcW w:type="dxa" w:w="2376"/>
          </w:tcPr>
          <w:p>
            <w:pPr>
              <w:spacing w:after="20"/>
              <w:jc w:val="right"/>
            </w:pPr>
            <w:r>
              <w:rPr>
                <w:color w:val="1C3A36"/>
                <w:sz w:val="16"/>
              </w:rPr>
              <w:t>a longer price history, or a defensible set of listed peers whose own betas clear the same usability test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54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11,442</w:t>
            </w:r>
          </w:p>
        </w:tc>
        <w:tc>
          <w:tcPr>
            <w:tcW w:type="dxa" w:w="1037"/>
          </w:tcPr>
          <w:p>
            <w:pPr>
              <w:spacing w:after="20"/>
              <w:jc w:val="right"/>
            </w:pPr>
            <w:r>
              <w:rPr>
                <w:color w:val="1C3A36"/>
                <w:sz w:val="15"/>
              </w:rPr>
              <w:t>13,825</w:t>
            </w:r>
          </w:p>
        </w:tc>
        <w:tc>
          <w:tcPr>
            <w:tcW w:type="dxa" w:w="1037"/>
          </w:tcPr>
          <w:p>
            <w:pPr>
              <w:spacing w:after="20"/>
              <w:jc w:val="right"/>
            </w:pPr>
            <w:r>
              <w:rPr>
                <w:color w:val="1C3A36"/>
                <w:sz w:val="15"/>
              </w:rPr>
              <w:t>16,179</w:t>
            </w:r>
          </w:p>
        </w:tc>
        <w:tc>
          <w:tcPr>
            <w:tcW w:type="dxa" w:w="1037"/>
          </w:tcPr>
          <w:p>
            <w:pPr>
              <w:spacing w:after="20"/>
              <w:jc w:val="right"/>
            </w:pPr>
            <w:r>
              <w:rPr>
                <w:color w:val="1C3A36"/>
                <w:sz w:val="15"/>
              </w:rPr>
              <w:t>18,523</w:t>
            </w:r>
          </w:p>
        </w:tc>
        <w:tc>
          <w:tcPr>
            <w:tcW w:type="dxa" w:w="1037"/>
          </w:tcPr>
          <w:p>
            <w:pPr>
              <w:spacing w:after="20"/>
              <w:jc w:val="right"/>
            </w:pPr>
            <w:r>
              <w:rPr>
                <w:color w:val="1C3A36"/>
                <w:sz w:val="15"/>
              </w:rPr>
              <w:t>20,911</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4,939</w:t>
            </w:r>
          </w:p>
        </w:tc>
        <w:tc>
          <w:tcPr>
            <w:tcW w:type="dxa" w:w="1037"/>
            <w:shd w:val="clear" w:color="auto" w:fill="F6F1E6"/>
          </w:tcPr>
          <w:p>
            <w:pPr>
              <w:spacing w:after="20"/>
              <w:jc w:val="right"/>
            </w:pPr>
            <w:r>
              <w:rPr>
                <w:b/>
                <w:color w:val="1C3A36"/>
                <w:sz w:val="15"/>
              </w:rPr>
              <w:t>5,916</w:t>
            </w:r>
          </w:p>
        </w:tc>
        <w:tc>
          <w:tcPr>
            <w:tcW w:type="dxa" w:w="1037"/>
            <w:shd w:val="clear" w:color="auto" w:fill="F6F1E6"/>
          </w:tcPr>
          <w:p>
            <w:pPr>
              <w:spacing w:after="20"/>
              <w:jc w:val="right"/>
            </w:pPr>
            <w:r>
              <w:rPr>
                <w:b/>
                <w:color w:val="1C3A36"/>
                <w:sz w:val="15"/>
              </w:rPr>
              <w:t>6,948</w:t>
            </w:r>
          </w:p>
        </w:tc>
        <w:tc>
          <w:tcPr>
            <w:tcW w:type="dxa" w:w="1037"/>
            <w:shd w:val="clear" w:color="auto" w:fill="F6F1E6"/>
          </w:tcPr>
          <w:p>
            <w:pPr>
              <w:spacing w:after="20"/>
              <w:jc w:val="right"/>
            </w:pPr>
            <w:r>
              <w:rPr>
                <w:b/>
                <w:color w:val="1C3A36"/>
                <w:sz w:val="15"/>
              </w:rPr>
              <w:t>8,002</w:t>
            </w:r>
          </w:p>
        </w:tc>
        <w:tc>
          <w:tcPr>
            <w:tcW w:type="dxa" w:w="1037"/>
            <w:shd w:val="clear" w:color="auto" w:fill="F6F1E6"/>
          </w:tcPr>
          <w:p>
            <w:pPr>
              <w:spacing w:after="20"/>
              <w:jc w:val="right"/>
            </w:pPr>
            <w:r>
              <w:rPr>
                <w:b/>
                <w:color w:val="1C3A36"/>
                <w:sz w:val="15"/>
              </w:rPr>
              <w:t>9,088</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42.8%</w:t>
            </w:r>
          </w:p>
        </w:tc>
        <w:tc>
          <w:tcPr>
            <w:tcW w:type="dxa" w:w="1037"/>
          </w:tcPr>
          <w:p>
            <w:pPr>
              <w:spacing w:after="20"/>
              <w:jc w:val="right"/>
            </w:pPr>
            <w:r>
              <w:rPr>
                <w:color w:val="1C3A36"/>
                <w:sz w:val="15"/>
              </w:rPr>
              <w:t>42.9%</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43.5%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1,190</w:t>
            </w:r>
          </w:p>
        </w:tc>
        <w:tc>
          <w:tcPr>
            <w:tcW w:type="dxa" w:w="1037"/>
          </w:tcPr>
          <w:p>
            <w:pPr>
              <w:spacing w:after="20"/>
              <w:jc w:val="right"/>
            </w:pPr>
            <w:r>
              <w:rPr>
                <w:color w:val="1C3A36"/>
                <w:sz w:val="15"/>
              </w:rPr>
              <w:t>1,410</w:t>
            </w:r>
          </w:p>
        </w:tc>
        <w:tc>
          <w:tcPr>
            <w:tcW w:type="dxa" w:w="1037"/>
          </w:tcPr>
          <w:p>
            <w:pPr>
              <w:spacing w:after="20"/>
              <w:jc w:val="right"/>
            </w:pPr>
            <w:r>
              <w:rPr>
                <w:color w:val="1C3A36"/>
                <w:sz w:val="15"/>
              </w:rPr>
              <w:t>1,618</w:t>
            </w:r>
          </w:p>
        </w:tc>
        <w:tc>
          <w:tcPr>
            <w:tcW w:type="dxa" w:w="1037"/>
          </w:tcPr>
          <w:p>
            <w:pPr>
              <w:spacing w:after="20"/>
              <w:jc w:val="right"/>
            </w:pPr>
            <w:r>
              <w:rPr>
                <w:color w:val="1C3A36"/>
                <w:sz w:val="15"/>
              </w:rPr>
              <w:t>1,834</w:t>
            </w:r>
          </w:p>
        </w:tc>
        <w:tc>
          <w:tcPr>
            <w:tcW w:type="dxa" w:w="1037"/>
          </w:tcPr>
          <w:p>
            <w:pPr>
              <w:spacing w:after="20"/>
              <w:jc w:val="right"/>
            </w:pPr>
            <w:r>
              <w:rPr>
                <w:color w:val="1C3A36"/>
                <w:sz w:val="15"/>
              </w:rPr>
              <w:t>2,049</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97.3</w:t>
            </w:r>
          </w:p>
        </w:tc>
        <w:tc>
          <w:tcPr>
            <w:tcW w:type="dxa" w:w="1037"/>
          </w:tcPr>
          <w:p>
            <w:pPr>
              <w:spacing w:after="20"/>
              <w:jc w:val="right"/>
            </w:pPr>
            <w:r>
              <w:rPr>
                <w:color w:val="1C3A36"/>
                <w:sz w:val="15"/>
              </w:rPr>
              <w:t>124.4</w:t>
            </w:r>
          </w:p>
        </w:tc>
        <w:tc>
          <w:tcPr>
            <w:tcW w:type="dxa" w:w="1037"/>
          </w:tcPr>
          <w:p>
            <w:pPr>
              <w:spacing w:after="20"/>
              <w:jc w:val="right"/>
            </w:pPr>
            <w:r>
              <w:rPr>
                <w:color w:val="1C3A36"/>
                <w:sz w:val="15"/>
              </w:rPr>
              <w:t>153.7</w:t>
            </w:r>
          </w:p>
        </w:tc>
        <w:tc>
          <w:tcPr>
            <w:tcW w:type="dxa" w:w="1037"/>
          </w:tcPr>
          <w:p>
            <w:pPr>
              <w:spacing w:after="20"/>
              <w:jc w:val="right"/>
            </w:pPr>
            <w:r>
              <w:rPr>
                <w:color w:val="1C3A36"/>
                <w:sz w:val="15"/>
              </w:rPr>
              <w:t>185.2</w:t>
            </w:r>
          </w:p>
        </w:tc>
        <w:tc>
          <w:tcPr>
            <w:tcW w:type="dxa" w:w="1037"/>
          </w:tcPr>
          <w:p>
            <w:pPr>
              <w:spacing w:after="20"/>
              <w:jc w:val="right"/>
            </w:pPr>
            <w:r>
              <w:rPr>
                <w:color w:val="1C3A36"/>
                <w:sz w:val="15"/>
              </w:rPr>
              <w:t>209.1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268.9</w:t>
            </w:r>
          </w:p>
        </w:tc>
        <w:tc>
          <w:tcPr>
            <w:tcW w:type="dxa" w:w="1037"/>
          </w:tcPr>
          <w:p>
            <w:pPr>
              <w:spacing w:after="20"/>
              <w:jc w:val="right"/>
            </w:pPr>
            <w:r>
              <w:rPr>
                <w:color w:val="1C3A36"/>
                <w:sz w:val="15"/>
              </w:rPr>
              <w:t>324.9</w:t>
            </w:r>
          </w:p>
        </w:tc>
        <w:tc>
          <w:tcPr>
            <w:tcW w:type="dxa" w:w="1037"/>
          </w:tcPr>
          <w:p>
            <w:pPr>
              <w:spacing w:after="20"/>
              <w:jc w:val="right"/>
            </w:pPr>
            <w:r>
              <w:rPr>
                <w:color w:val="1C3A36"/>
                <w:sz w:val="15"/>
              </w:rPr>
              <w:t>372.1</w:t>
            </w:r>
          </w:p>
        </w:tc>
        <w:tc>
          <w:tcPr>
            <w:tcW w:type="dxa" w:w="1037"/>
          </w:tcPr>
          <w:p>
            <w:pPr>
              <w:spacing w:after="20"/>
              <w:jc w:val="right"/>
            </w:pPr>
            <w:r>
              <w:rPr>
                <w:color w:val="1C3A36"/>
                <w:sz w:val="15"/>
              </w:rPr>
              <w:t>422.3</w:t>
            </w:r>
          </w:p>
        </w:tc>
        <w:tc>
          <w:tcPr>
            <w:tcW w:type="dxa" w:w="1037"/>
          </w:tcPr>
          <w:p>
            <w:pPr>
              <w:spacing w:after="20"/>
              <w:jc w:val="right"/>
            </w:pPr>
            <w:r>
              <w:rPr>
                <w:color w:val="1C3A36"/>
                <w:sz w:val="15"/>
              </w:rPr>
              <w:t>470.5</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601</w:t>
            </w:r>
          </w:p>
        </w:tc>
        <w:tc>
          <w:tcPr>
            <w:tcW w:type="dxa" w:w="1037"/>
          </w:tcPr>
          <w:p>
            <w:pPr>
              <w:spacing w:after="20"/>
              <w:jc w:val="right"/>
            </w:pPr>
            <w:r>
              <w:rPr>
                <w:color w:val="1C3A36"/>
                <w:sz w:val="15"/>
              </w:rPr>
              <w:t>726</w:t>
            </w:r>
          </w:p>
        </w:tc>
        <w:tc>
          <w:tcPr>
            <w:tcW w:type="dxa" w:w="1037"/>
          </w:tcPr>
          <w:p>
            <w:pPr>
              <w:spacing w:after="20"/>
              <w:jc w:val="right"/>
            </w:pPr>
            <w:r>
              <w:rPr>
                <w:color w:val="1C3A36"/>
                <w:sz w:val="15"/>
              </w:rPr>
              <w:t>849</w:t>
            </w:r>
          </w:p>
        </w:tc>
        <w:tc>
          <w:tcPr>
            <w:tcW w:type="dxa" w:w="1037"/>
          </w:tcPr>
          <w:p>
            <w:pPr>
              <w:spacing w:after="20"/>
              <w:jc w:val="right"/>
            </w:pPr>
            <w:r>
              <w:rPr>
                <w:color w:val="1C3A36"/>
                <w:sz w:val="15"/>
              </w:rPr>
              <w:t>972</w:t>
            </w:r>
          </w:p>
        </w:tc>
        <w:tc>
          <w:tcPr>
            <w:tcW w:type="dxa" w:w="1037"/>
          </w:tcPr>
          <w:p>
            <w:pPr>
              <w:spacing w:after="20"/>
              <w:jc w:val="right"/>
            </w:pPr>
            <w:r>
              <w:rPr>
                <w:color w:val="1C3A36"/>
                <w:sz w:val="15"/>
              </w:rPr>
              <w:t>1,098</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2,718</w:t>
            </w:r>
          </w:p>
        </w:tc>
        <w:tc>
          <w:tcPr>
            <w:tcW w:type="dxa" w:w="1037"/>
            <w:shd w:val="clear" w:color="auto" w:fill="F6F1E6"/>
          </w:tcPr>
          <w:p>
            <w:pPr>
              <w:spacing w:after="20"/>
              <w:jc w:val="right"/>
            </w:pPr>
            <w:r>
              <w:rPr>
                <w:b/>
                <w:color w:val="1C3A36"/>
                <w:sz w:val="15"/>
              </w:rPr>
              <w:t>3,241</w:t>
            </w:r>
          </w:p>
        </w:tc>
        <w:tc>
          <w:tcPr>
            <w:tcW w:type="dxa" w:w="1037"/>
            <w:shd w:val="clear" w:color="auto" w:fill="F6F1E6"/>
          </w:tcPr>
          <w:p>
            <w:pPr>
              <w:spacing w:after="20"/>
              <w:jc w:val="right"/>
            </w:pPr>
            <w:r>
              <w:rPr>
                <w:b/>
                <w:color w:val="1C3A36"/>
                <w:sz w:val="15"/>
              </w:rPr>
              <w:t>3,861</w:t>
            </w:r>
          </w:p>
        </w:tc>
        <w:tc>
          <w:tcPr>
            <w:tcW w:type="dxa" w:w="1037"/>
            <w:shd w:val="clear" w:color="auto" w:fill="F6F1E6"/>
          </w:tcPr>
          <w:p>
            <w:pPr>
              <w:spacing w:after="20"/>
              <w:jc w:val="right"/>
            </w:pPr>
            <w:r>
              <w:rPr>
                <w:b/>
                <w:color w:val="1C3A36"/>
                <w:sz w:val="15"/>
              </w:rPr>
              <w:t>4,496</w:t>
            </w:r>
          </w:p>
        </w:tc>
        <w:tc>
          <w:tcPr>
            <w:tcW w:type="dxa" w:w="1037"/>
            <w:shd w:val="clear" w:color="auto" w:fill="F6F1E6"/>
          </w:tcPr>
          <w:p>
            <w:pPr>
              <w:spacing w:after="20"/>
              <w:jc w:val="right"/>
            </w:pPr>
            <w:r>
              <w:rPr>
                <w:b/>
                <w:color w:val="1C3A36"/>
                <w:sz w:val="15"/>
              </w:rPr>
              <w:t>5,172</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3,022</w:t>
            </w:r>
          </w:p>
        </w:tc>
        <w:tc>
          <w:tcPr>
            <w:tcW w:type="dxa" w:w="1037"/>
          </w:tcPr>
          <w:p>
            <w:pPr>
              <w:spacing w:after="20"/>
              <w:jc w:val="right"/>
            </w:pPr>
            <w:r>
              <w:rPr>
                <w:color w:val="1C3A36"/>
                <w:sz w:val="15"/>
              </w:rPr>
              <w:t>3,666</w:t>
            </w:r>
          </w:p>
        </w:tc>
        <w:tc>
          <w:tcPr>
            <w:tcW w:type="dxa" w:w="1037"/>
          </w:tcPr>
          <w:p>
            <w:pPr>
              <w:spacing w:after="20"/>
              <w:jc w:val="right"/>
            </w:pPr>
            <w:r>
              <w:rPr>
                <w:color w:val="1C3A36"/>
                <w:sz w:val="15"/>
              </w:rPr>
              <w:t>4,307</w:t>
            </w:r>
          </w:p>
        </w:tc>
        <w:tc>
          <w:tcPr>
            <w:tcW w:type="dxa" w:w="1037"/>
          </w:tcPr>
          <w:p>
            <w:pPr>
              <w:spacing w:after="20"/>
              <w:jc w:val="right"/>
            </w:pPr>
            <w:r>
              <w:rPr>
                <w:color w:val="1C3A36"/>
                <w:sz w:val="15"/>
              </w:rPr>
              <w:t>4,933</w:t>
            </w:r>
          </w:p>
        </w:tc>
        <w:tc>
          <w:tcPr>
            <w:tcW w:type="dxa" w:w="1037"/>
          </w:tcPr>
          <w:p>
            <w:pPr>
              <w:spacing w:after="20"/>
              <w:jc w:val="right"/>
            </w:pPr>
            <w:r>
              <w:rPr>
                <w:color w:val="1C3A36"/>
                <w:sz w:val="15"/>
              </w:rPr>
              <w:t>5,595</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1,355</w:t>
            </w:r>
          </w:p>
        </w:tc>
        <w:tc>
          <w:tcPr>
            <w:tcW w:type="dxa" w:w="1037"/>
            <w:shd w:val="clear" w:color="auto" w:fill="F6F1E6"/>
          </w:tcPr>
          <w:p>
            <w:pPr>
              <w:spacing w:after="20"/>
              <w:jc w:val="right"/>
            </w:pPr>
            <w:r>
              <w:rPr>
                <w:b/>
                <w:color w:val="1C3A36"/>
                <w:sz w:val="15"/>
              </w:rPr>
              <w:t>1,785</w:t>
            </w:r>
          </w:p>
        </w:tc>
        <w:tc>
          <w:tcPr>
            <w:tcW w:type="dxa" w:w="1037"/>
            <w:shd w:val="clear" w:color="auto" w:fill="F6F1E6"/>
          </w:tcPr>
          <w:p>
            <w:pPr>
              <w:spacing w:after="20"/>
              <w:jc w:val="right"/>
            </w:pPr>
            <w:r>
              <w:rPr>
                <w:b/>
                <w:color w:val="1C3A36"/>
                <w:sz w:val="15"/>
              </w:rPr>
              <w:t>2,306</w:t>
            </w:r>
          </w:p>
        </w:tc>
        <w:tc>
          <w:tcPr>
            <w:tcW w:type="dxa" w:w="1037"/>
            <w:shd w:val="clear" w:color="auto" w:fill="F6F1E6"/>
          </w:tcPr>
          <w:p>
            <w:pPr>
              <w:spacing w:after="20"/>
              <w:jc w:val="right"/>
            </w:pPr>
            <w:r>
              <w:rPr>
                <w:b/>
                <w:color w:val="1C3A36"/>
                <w:sz w:val="15"/>
              </w:rPr>
              <w:t>2,837</w:t>
            </w:r>
          </w:p>
        </w:tc>
        <w:tc>
          <w:tcPr>
            <w:tcW w:type="dxa" w:w="1037"/>
            <w:shd w:val="clear" w:color="auto" w:fill="F6F1E6"/>
          </w:tcPr>
          <w:p>
            <w:pPr>
              <w:spacing w:after="20"/>
              <w:jc w:val="right"/>
            </w:pPr>
            <w:r>
              <w:rPr>
                <w:b/>
                <w:color w:val="1C3A36"/>
                <w:sz w:val="15"/>
              </w:rPr>
              <w:t>3,401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8.03</w:t>
            </w:r>
          </w:p>
        </w:tc>
        <w:tc>
          <w:tcPr>
            <w:tcW w:type="dxa" w:w="1037"/>
          </w:tcPr>
          <w:p>
            <w:pPr>
              <w:spacing w:after="20"/>
              <w:jc w:val="right"/>
            </w:pPr>
            <w:r>
              <w:rPr>
                <w:color w:val="1C3A36"/>
                <w:sz w:val="15"/>
              </w:rPr>
              <w:t>10.58</w:t>
            </w:r>
          </w:p>
        </w:tc>
        <w:tc>
          <w:tcPr>
            <w:tcW w:type="dxa" w:w="1037"/>
          </w:tcPr>
          <w:p>
            <w:pPr>
              <w:spacing w:after="20"/>
              <w:jc w:val="right"/>
            </w:pPr>
            <w:r>
              <w:rPr>
                <w:color w:val="1C3A36"/>
                <w:sz w:val="15"/>
              </w:rPr>
              <w:t>13.66</w:t>
            </w:r>
          </w:p>
        </w:tc>
        <w:tc>
          <w:tcPr>
            <w:tcW w:type="dxa" w:w="1037"/>
          </w:tcPr>
          <w:p>
            <w:pPr>
              <w:spacing w:after="20"/>
              <w:jc w:val="right"/>
            </w:pPr>
            <w:r>
              <w:rPr>
                <w:color w:val="1C3A36"/>
                <w:sz w:val="15"/>
              </w:rPr>
              <w:t>16.81</w:t>
            </w:r>
          </w:p>
        </w:tc>
        <w:tc>
          <w:tcPr>
            <w:tcW w:type="dxa" w:w="1037"/>
          </w:tcPr>
          <w:p>
            <w:pPr>
              <w:spacing w:after="20"/>
              <w:jc w:val="right"/>
            </w:pPr>
            <w:r>
              <w:rPr>
                <w:color w:val="1C3A36"/>
                <w:sz w:val="15"/>
              </w:rPr>
              <w:t>20.15</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813</w:t>
            </w:r>
          </w:p>
        </w:tc>
        <w:tc>
          <w:tcPr>
            <w:tcW w:type="dxa" w:w="1037"/>
          </w:tcPr>
          <w:p>
            <w:pPr>
              <w:spacing w:after="20"/>
              <w:jc w:val="right"/>
            </w:pPr>
            <w:r>
              <w:rPr>
                <w:color w:val="1C3A36"/>
                <w:sz w:val="15"/>
              </w:rPr>
              <w:t>1,071</w:t>
            </w:r>
          </w:p>
        </w:tc>
        <w:tc>
          <w:tcPr>
            <w:tcW w:type="dxa" w:w="1037"/>
          </w:tcPr>
          <w:p>
            <w:pPr>
              <w:spacing w:after="20"/>
              <w:jc w:val="right"/>
            </w:pPr>
            <w:r>
              <w:rPr>
                <w:color w:val="1C3A36"/>
                <w:sz w:val="15"/>
              </w:rPr>
              <w:t>1,383</w:t>
            </w:r>
          </w:p>
        </w:tc>
        <w:tc>
          <w:tcPr>
            <w:tcW w:type="dxa" w:w="1037"/>
          </w:tcPr>
          <w:p>
            <w:pPr>
              <w:spacing w:after="20"/>
              <w:jc w:val="right"/>
            </w:pPr>
            <w:r>
              <w:rPr>
                <w:color w:val="1C3A36"/>
                <w:sz w:val="15"/>
              </w:rPr>
              <w:t>1,702</w:t>
            </w:r>
          </w:p>
        </w:tc>
        <w:tc>
          <w:tcPr>
            <w:tcW w:type="dxa" w:w="1037"/>
          </w:tcPr>
          <w:p>
            <w:pPr>
              <w:spacing w:after="20"/>
              <w:jc w:val="right"/>
            </w:pPr>
            <w:r>
              <w:rPr>
                <w:color w:val="1C3A36"/>
                <w:sz w:val="15"/>
              </w:rPr>
              <w:t>2,040</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2,931</w:t>
            </w:r>
          </w:p>
        </w:tc>
        <w:tc>
          <w:tcPr>
            <w:tcW w:type="dxa" w:w="1037"/>
          </w:tcPr>
          <w:p>
            <w:pPr>
              <w:spacing w:after="20"/>
              <w:jc w:val="right"/>
            </w:pPr>
            <w:r>
              <w:rPr>
                <w:color w:val="1C3A36"/>
                <w:sz w:val="15"/>
              </w:rPr>
              <w:t>2,454</w:t>
            </w:r>
          </w:p>
        </w:tc>
        <w:tc>
          <w:tcPr>
            <w:tcW w:type="dxa" w:w="1037"/>
          </w:tcPr>
          <w:p>
            <w:pPr>
              <w:spacing w:after="20"/>
              <w:jc w:val="right"/>
            </w:pPr>
            <w:r>
              <w:rPr>
                <w:color w:val="1C3A36"/>
                <w:sz w:val="15"/>
              </w:rPr>
              <w:t>2,620</w:t>
            </w:r>
          </w:p>
        </w:tc>
        <w:tc>
          <w:tcPr>
            <w:tcW w:type="dxa" w:w="1037"/>
          </w:tcPr>
          <w:p>
            <w:pPr>
              <w:spacing w:after="20"/>
              <w:jc w:val="right"/>
            </w:pPr>
            <w:r>
              <w:rPr>
                <w:color w:val="1C3A36"/>
                <w:sz w:val="15"/>
              </w:rPr>
              <w:t>3,013</w:t>
            </w:r>
          </w:p>
        </w:tc>
        <w:tc>
          <w:tcPr>
            <w:tcW w:type="dxa" w:w="1037"/>
          </w:tcPr>
          <w:p>
            <w:pPr>
              <w:spacing w:after="20"/>
              <w:jc w:val="right"/>
            </w:pPr>
            <w:r>
              <w:rPr>
                <w:color w:val="1C3A36"/>
                <w:sz w:val="15"/>
              </w:rPr>
              <w:t>3,440</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3,950</w:t>
            </w:r>
          </w:p>
        </w:tc>
        <w:tc>
          <w:tcPr>
            <w:tcW w:type="dxa" w:w="1037"/>
          </w:tcPr>
          <w:p>
            <w:pPr>
              <w:spacing w:after="20"/>
              <w:jc w:val="right"/>
            </w:pPr>
            <w:r>
              <w:rPr>
                <w:color w:val="1C3A36"/>
                <w:sz w:val="15"/>
              </w:rPr>
              <w:t>4,621</w:t>
            </w:r>
          </w:p>
        </w:tc>
        <w:tc>
          <w:tcPr>
            <w:tcW w:type="dxa" w:w="1037"/>
          </w:tcPr>
          <w:p>
            <w:pPr>
              <w:spacing w:after="20"/>
              <w:jc w:val="right"/>
            </w:pPr>
            <w:r>
              <w:rPr>
                <w:color w:val="1C3A36"/>
                <w:sz w:val="15"/>
              </w:rPr>
              <w:t>5,230</w:t>
            </w:r>
          </w:p>
        </w:tc>
        <w:tc>
          <w:tcPr>
            <w:tcW w:type="dxa" w:w="1037"/>
          </w:tcPr>
          <w:p>
            <w:pPr>
              <w:spacing w:after="20"/>
              <w:jc w:val="right"/>
            </w:pPr>
            <w:r>
              <w:rPr>
                <w:color w:val="1C3A36"/>
                <w:sz w:val="15"/>
              </w:rPr>
              <w:t>5,836</w:t>
            </w:r>
          </w:p>
        </w:tc>
        <w:tc>
          <w:tcPr>
            <w:tcW w:type="dxa" w:w="1037"/>
          </w:tcPr>
          <w:p>
            <w:pPr>
              <w:spacing w:after="20"/>
              <w:jc w:val="right"/>
            </w:pPr>
            <w:r>
              <w:rPr>
                <w:color w:val="1C3A36"/>
                <w:sz w:val="15"/>
              </w:rPr>
              <w:t>6,417</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10,518</w:t>
            </w:r>
          </w:p>
        </w:tc>
        <w:tc>
          <w:tcPr>
            <w:tcW w:type="dxa" w:w="1037"/>
          </w:tcPr>
          <w:p>
            <w:pPr>
              <w:spacing w:after="20"/>
              <w:jc w:val="right"/>
            </w:pPr>
            <w:r>
              <w:rPr>
                <w:color w:val="1C3A36"/>
                <w:sz w:val="15"/>
              </w:rPr>
              <w:t>10,786</w:t>
            </w:r>
          </w:p>
        </w:tc>
        <w:tc>
          <w:tcPr>
            <w:tcW w:type="dxa" w:w="1037"/>
          </w:tcPr>
          <w:p>
            <w:pPr>
              <w:spacing w:after="20"/>
              <w:jc w:val="right"/>
            </w:pPr>
            <w:r>
              <w:rPr>
                <w:color w:val="1C3A36"/>
                <w:sz w:val="15"/>
              </w:rPr>
              <w:t>10,473</w:t>
            </w:r>
          </w:p>
        </w:tc>
        <w:tc>
          <w:tcPr>
            <w:tcW w:type="dxa" w:w="1037"/>
          </w:tcPr>
          <w:p>
            <w:pPr>
              <w:spacing w:after="20"/>
              <w:jc w:val="right"/>
            </w:pPr>
            <w:r>
              <w:rPr>
                <w:color w:val="1C3A36"/>
                <w:sz w:val="15"/>
              </w:rPr>
              <w:t>9,878</w:t>
            </w:r>
          </w:p>
        </w:tc>
        <w:tc>
          <w:tcPr>
            <w:tcW w:type="dxa" w:w="1037"/>
          </w:tcPr>
          <w:p>
            <w:pPr>
              <w:spacing w:after="20"/>
              <w:jc w:val="right"/>
            </w:pPr>
            <w:r>
              <w:rPr>
                <w:color w:val="1C3A36"/>
                <w:sz w:val="15"/>
              </w:rPr>
              <w:t>8,962</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9,085</w:t>
            </w:r>
          </w:p>
        </w:tc>
        <w:tc>
          <w:tcPr>
            <w:tcW w:type="dxa" w:w="1037"/>
          </w:tcPr>
          <w:p>
            <w:pPr>
              <w:spacing w:after="20"/>
              <w:jc w:val="right"/>
            </w:pPr>
            <w:r>
              <w:rPr>
                <w:color w:val="1C3A36"/>
                <w:sz w:val="15"/>
              </w:rPr>
              <w:t>9,352</w:t>
            </w:r>
          </w:p>
        </w:tc>
        <w:tc>
          <w:tcPr>
            <w:tcW w:type="dxa" w:w="1037"/>
          </w:tcPr>
          <w:p>
            <w:pPr>
              <w:spacing w:after="20"/>
              <w:jc w:val="right"/>
            </w:pPr>
            <w:r>
              <w:rPr>
                <w:color w:val="1C3A36"/>
                <w:sz w:val="15"/>
              </w:rPr>
              <w:t>9,039</w:t>
            </w:r>
          </w:p>
        </w:tc>
        <w:tc>
          <w:tcPr>
            <w:tcW w:type="dxa" w:w="1037"/>
          </w:tcPr>
          <w:p>
            <w:pPr>
              <w:spacing w:after="20"/>
              <w:jc w:val="right"/>
            </w:pPr>
            <w:r>
              <w:rPr>
                <w:color w:val="1C3A36"/>
                <w:sz w:val="15"/>
              </w:rPr>
              <w:t>8,445</w:t>
            </w:r>
          </w:p>
        </w:tc>
        <w:tc>
          <w:tcPr>
            <w:tcW w:type="dxa" w:w="1037"/>
          </w:tcPr>
          <w:p>
            <w:pPr>
              <w:spacing w:after="20"/>
              <w:jc w:val="right"/>
            </w:pPr>
            <w:r>
              <w:rPr>
                <w:color w:val="1C3A36"/>
                <w:sz w:val="15"/>
              </w:rPr>
              <w:t>7,528</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7,056</w:t>
            </w:r>
          </w:p>
        </w:tc>
        <w:tc>
          <w:tcPr>
            <w:tcW w:type="dxa" w:w="1037"/>
          </w:tcPr>
          <w:p>
            <w:pPr>
              <w:spacing w:after="20"/>
              <w:jc w:val="right"/>
            </w:pPr>
            <w:r>
              <w:rPr>
                <w:color w:val="1C3A36"/>
                <w:sz w:val="15"/>
              </w:rPr>
              <w:t>8,127</w:t>
            </w:r>
          </w:p>
        </w:tc>
        <w:tc>
          <w:tcPr>
            <w:tcW w:type="dxa" w:w="1037"/>
          </w:tcPr>
          <w:p>
            <w:pPr>
              <w:spacing w:after="20"/>
              <w:jc w:val="right"/>
            </w:pPr>
            <w:r>
              <w:rPr>
                <w:color w:val="1C3A36"/>
                <w:sz w:val="15"/>
              </w:rPr>
              <w:t>9,511</w:t>
            </w:r>
          </w:p>
        </w:tc>
        <w:tc>
          <w:tcPr>
            <w:tcW w:type="dxa" w:w="1037"/>
          </w:tcPr>
          <w:p>
            <w:pPr>
              <w:spacing w:after="20"/>
              <w:jc w:val="right"/>
            </w:pPr>
            <w:r>
              <w:rPr>
                <w:color w:val="1C3A36"/>
                <w:sz w:val="15"/>
              </w:rPr>
              <w:t>11,213</w:t>
            </w:r>
          </w:p>
        </w:tc>
        <w:tc>
          <w:tcPr>
            <w:tcW w:type="dxa" w:w="1037"/>
          </w:tcPr>
          <w:p>
            <w:pPr>
              <w:spacing w:after="20"/>
              <w:jc w:val="right"/>
            </w:pPr>
            <w:r>
              <w:rPr>
                <w:color w:val="1C3A36"/>
                <w:sz w:val="15"/>
              </w:rPr>
              <w:t>13,254</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41.81</w:t>
            </w:r>
          </w:p>
        </w:tc>
        <w:tc>
          <w:tcPr>
            <w:tcW w:type="dxa" w:w="1037"/>
            <w:shd w:val="clear" w:color="auto" w:fill="F6F1E6"/>
          </w:tcPr>
          <w:p>
            <w:pPr>
              <w:spacing w:after="20"/>
              <w:jc w:val="right"/>
            </w:pPr>
            <w:r>
              <w:rPr>
                <w:b/>
                <w:color w:val="1C3A36"/>
                <w:sz w:val="15"/>
              </w:rPr>
              <w:t>48.16</w:t>
            </w:r>
          </w:p>
        </w:tc>
        <w:tc>
          <w:tcPr>
            <w:tcW w:type="dxa" w:w="1037"/>
            <w:shd w:val="clear" w:color="auto" w:fill="F6F1E6"/>
          </w:tcPr>
          <w:p>
            <w:pPr>
              <w:spacing w:after="20"/>
              <w:jc w:val="right"/>
            </w:pPr>
            <w:r>
              <w:rPr>
                <w:b/>
                <w:color w:val="1C3A36"/>
                <w:sz w:val="15"/>
              </w:rPr>
              <w:t>56.36</w:t>
            </w:r>
          </w:p>
        </w:tc>
        <w:tc>
          <w:tcPr>
            <w:tcW w:type="dxa" w:w="1037"/>
            <w:shd w:val="clear" w:color="auto" w:fill="F6F1E6"/>
          </w:tcPr>
          <w:p>
            <w:pPr>
              <w:spacing w:after="20"/>
              <w:jc w:val="right"/>
            </w:pPr>
            <w:r>
              <w:rPr>
                <w:b/>
                <w:color w:val="1C3A36"/>
                <w:sz w:val="15"/>
              </w:rPr>
              <w:t>66.45</w:t>
            </w:r>
          </w:p>
        </w:tc>
        <w:tc>
          <w:tcPr>
            <w:tcW w:type="dxa" w:w="1037"/>
            <w:shd w:val="clear" w:color="auto" w:fill="F6F1E6"/>
          </w:tcPr>
          <w:p>
            <w:pPr>
              <w:spacing w:after="20"/>
              <w:jc w:val="right"/>
            </w:pPr>
            <w:r>
              <w:rPr>
                <w:b/>
                <w:color w:val="1C3A36"/>
                <w:sz w:val="15"/>
              </w:rPr>
              <w:t>78.54</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1,430</w:t>
            </w:r>
          </w:p>
        </w:tc>
        <w:tc>
          <w:tcPr>
            <w:tcW w:type="dxa" w:w="1224"/>
          </w:tcPr>
          <w:p>
            <w:pPr>
              <w:spacing w:after="20"/>
              <w:jc w:val="right"/>
            </w:pPr>
            <w:r>
              <w:rPr>
                <w:color w:val="1C3A36"/>
                <w:sz w:val="16"/>
              </w:rPr>
              <w:t>622</w:t>
            </w:r>
          </w:p>
        </w:tc>
        <w:tc>
          <w:tcPr>
            <w:tcW w:type="dxa" w:w="1224"/>
          </w:tcPr>
          <w:p>
            <w:pPr>
              <w:spacing w:after="20"/>
              <w:jc w:val="right"/>
            </w:pPr>
            <w:r>
              <w:rPr>
                <w:color w:val="1C3A36"/>
                <w:sz w:val="16"/>
              </w:rPr>
              <w:t>566</w:t>
            </w:r>
          </w:p>
        </w:tc>
        <w:tc>
          <w:tcPr>
            <w:tcW w:type="dxa" w:w="1224"/>
          </w:tcPr>
          <w:p>
            <w:pPr>
              <w:spacing w:after="20"/>
              <w:jc w:val="right"/>
            </w:pPr>
            <w:r>
              <w:rPr>
                <w:color w:val="1C3A36"/>
                <w:sz w:val="16"/>
              </w:rPr>
              <w:t>593</w:t>
            </w:r>
          </w:p>
        </w:tc>
        <w:tc>
          <w:tcPr>
            <w:tcW w:type="dxa" w:w="1224"/>
          </w:tcPr>
          <w:p>
            <w:pPr>
              <w:spacing w:after="20"/>
              <w:jc w:val="right"/>
            </w:pPr>
            <w:r>
              <w:rPr>
                <w:color w:val="1C3A36"/>
                <w:sz w:val="16"/>
              </w:rPr>
              <w:t>627</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-161</w:t>
            </w:r>
          </w:p>
        </w:tc>
        <w:tc>
          <w:tcPr>
            <w:tcW w:type="dxa" w:w="1224"/>
          </w:tcPr>
          <w:p>
            <w:pPr>
              <w:spacing w:after="20"/>
              <w:jc w:val="right"/>
            </w:pPr>
            <w:r>
              <w:rPr>
                <w:color w:val="1C3A36"/>
                <w:sz w:val="16"/>
              </w:rPr>
              <w:t>1,149</w:t>
            </w:r>
          </w:p>
        </w:tc>
        <w:tc>
          <w:tcPr>
            <w:tcW w:type="dxa" w:w="1224"/>
          </w:tcPr>
          <w:p>
            <w:pPr>
              <w:spacing w:after="20"/>
              <w:jc w:val="right"/>
            </w:pPr>
            <w:r>
              <w:rPr>
                <w:color w:val="1C3A36"/>
                <w:sz w:val="16"/>
              </w:rPr>
              <w:t>1,891</w:t>
            </w:r>
          </w:p>
        </w:tc>
        <w:tc>
          <w:tcPr>
            <w:tcW w:type="dxa" w:w="1224"/>
          </w:tcPr>
          <w:p>
            <w:pPr>
              <w:spacing w:after="20"/>
              <w:jc w:val="right"/>
            </w:pPr>
            <w:r>
              <w:rPr>
                <w:color w:val="1C3A36"/>
                <w:sz w:val="16"/>
              </w:rPr>
              <w:t>2,340</w:t>
            </w:r>
          </w:p>
        </w:tc>
        <w:tc>
          <w:tcPr>
            <w:tcW w:type="dxa" w:w="1224"/>
          </w:tcPr>
          <w:p>
            <w:pPr>
              <w:spacing w:after="20"/>
              <w:jc w:val="right"/>
            </w:pPr>
            <w:r>
              <w:rPr>
                <w:color w:val="1C3A36"/>
                <w:sz w:val="16"/>
              </w:rPr>
              <w:t>2,841</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16,179</w:t>
            </w:r>
          </w:p>
        </w:tc>
        <w:tc>
          <w:tcPr>
            <w:tcW w:type="dxa" w:w="1469"/>
            <w:shd w:val="clear" w:color="auto" w:fill="F6F1E6"/>
          </w:tcPr>
          <w:p>
            <w:pPr>
              <w:spacing w:after="20"/>
              <w:jc w:val="right"/>
            </w:pPr>
            <w:r>
              <w:rPr>
                <w:b/>
                <w:color w:val="1C3A36"/>
                <w:sz w:val="15"/>
              </w:rPr>
              <w:t>18,523</w:t>
            </w:r>
          </w:p>
        </w:tc>
        <w:tc>
          <w:tcPr>
            <w:tcW w:type="dxa" w:w="1469"/>
            <w:shd w:val="clear" w:color="auto" w:fill="F6F1E6"/>
          </w:tcPr>
          <w:p>
            <w:pPr>
              <w:spacing w:after="20"/>
              <w:jc w:val="right"/>
            </w:pPr>
            <w:r>
              <w:rPr>
                <w:b/>
                <w:color w:val="1C3A36"/>
                <w:sz w:val="15"/>
              </w:rPr>
              <w:t>20,911</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28,014</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32,737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6,948</w:t>
            </w:r>
          </w:p>
        </w:tc>
        <w:tc>
          <w:tcPr>
            <w:tcW w:type="dxa" w:w="1469"/>
            <w:shd w:val="clear" w:color="auto" w:fill="F6F1E6"/>
          </w:tcPr>
          <w:p>
            <w:pPr>
              <w:spacing w:after="20"/>
              <w:jc w:val="right"/>
            </w:pPr>
            <w:r>
              <w:rPr>
                <w:b/>
                <w:color w:val="1C3A36"/>
                <w:sz w:val="15"/>
              </w:rPr>
              <w:t>8,002</w:t>
            </w:r>
          </w:p>
        </w:tc>
        <w:tc>
          <w:tcPr>
            <w:tcW w:type="dxa" w:w="1469"/>
            <w:shd w:val="clear" w:color="auto" w:fill="F6F1E6"/>
          </w:tcPr>
          <w:p>
            <w:pPr>
              <w:spacing w:after="20"/>
              <w:jc w:val="right"/>
            </w:pPr>
            <w:r>
              <w:rPr>
                <w:b/>
                <w:color w:val="1C3A36"/>
                <w:sz w:val="15"/>
              </w:rPr>
              <w:t>9,088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12,717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14,799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2,324</w:t>
            </w:r>
          </w:p>
        </w:tc>
        <w:tc>
          <w:tcPr>
            <w:tcW w:type="dxa" w:w="1469"/>
            <w:shd w:val="clear" w:color="auto" w:fill="F6F1E6"/>
          </w:tcPr>
          <w:p>
            <w:pPr>
              <w:spacing w:after="20"/>
              <w:jc w:val="right"/>
            </w:pPr>
            <w:r>
              <w:rPr>
                <w:b/>
                <w:color w:val="1C3A36"/>
                <w:sz w:val="15"/>
              </w:rPr>
              <w:t>2,855</w:t>
            </w:r>
          </w:p>
        </w:tc>
        <w:tc>
          <w:tcPr>
            <w:tcW w:type="dxa" w:w="1469"/>
            <w:shd w:val="clear" w:color="auto" w:fill="F6F1E6"/>
          </w:tcPr>
          <w:p>
            <w:pPr>
              <w:spacing w:after="20"/>
              <w:jc w:val="right"/>
            </w:pPr>
            <w:r>
              <w:rPr>
                <w:b/>
                <w:color w:val="1C3A36"/>
                <w:sz w:val="15"/>
              </w:rPr>
              <w:t>3,419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3,995</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7,912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566</w:t>
            </w:r>
          </w:p>
        </w:tc>
        <w:tc>
          <w:tcPr>
            <w:tcW w:type="dxa" w:w="1469"/>
            <w:shd w:val="clear" w:color="auto" w:fill="F6F1E6"/>
          </w:tcPr>
          <w:p>
            <w:pPr>
              <w:spacing w:after="20"/>
              <w:jc w:val="right"/>
            </w:pPr>
            <w:r>
              <w:rPr>
                <w:b/>
                <w:color w:val="1C3A36"/>
                <w:sz w:val="15"/>
              </w:rPr>
              <w:t>593</w:t>
            </w:r>
          </w:p>
        </w:tc>
        <w:tc>
          <w:tcPr>
            <w:tcW w:type="dxa" w:w="1469"/>
            <w:shd w:val="clear" w:color="auto" w:fill="F6F1E6"/>
          </w:tcPr>
          <w:p>
            <w:pPr>
              <w:spacing w:after="20"/>
              <w:jc w:val="right"/>
            </w:pPr>
            <w:r>
              <w:rPr>
                <w:b/>
                <w:color w:val="1C3A36"/>
                <w:sz w:val="15"/>
              </w:rPr>
              <w:t>627</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1,220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3,012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23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24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79.33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79%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4,043</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2,787</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15.22% − 7% = 8.22%</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36,271</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15,272</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19,316</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14,938</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88.52</w:t>
            </w:r>
          </w:p>
        </w:tc>
      </w:tr>
    </w:tbl>
    <w:p>
      <w:pPr>
        <w:spacing w:after="40"/>
      </w:pPr>
    </w:p>
    <w:p>
      <w:pPr>
        <w:spacing w:after="120" w:before="0"/>
      </w:pPr>
      <w:r>
        <w:rPr>
          <w:b w:val="0"/>
          <w:i w:val="0"/>
          <w:color w:val="1C3A36"/>
          <w:sz w:val="21"/>
        </w:rPr>
        <w:t>Named sensitivity: the terminal discount rate. Every 100 basis points on it is worth roughly EGP 11 a share. At 79% terminal weight, this expert is mostly forecasting one number.</w:t>
      </w:r>
    </w:p>
    <w:p>
      <w:pPr>
        <w:spacing w:after="120" w:before="0"/>
      </w:pPr>
      <w:r>
        <w:rPr>
          <w:b w:val="0"/>
          <w:i w:val="0"/>
          <w:color w:val="1C3A36"/>
          <w:sz w:val="21"/>
        </w:rPr>
        <w:t>Falsifier, stated in advance: "If free cash flow to the firm in FY2027 comes in below EGP 804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27.1%</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17.16%</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1.98x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73.22</w:t>
            </w:r>
          </w:p>
        </w:tc>
      </w:tr>
    </w:tbl>
    <w:p>
      <w:pPr>
        <w:spacing w:after="40"/>
      </w:pPr>
    </w:p>
    <w:p>
      <w:pPr>
        <w:spacing w:after="120" w:before="0"/>
      </w:pPr>
      <w:r>
        <w:rPr>
          <w:b w:val="0"/>
          <w:i w:val="0"/>
          <w:color w:val="1C3A36"/>
          <w:sz w:val="21"/>
        </w:rPr>
        <w:t>Named sensitivity: the sustainable return. If it settles at 20% rather than 27.1%, the justified multiple falls to 1.28 times and the value to EGP 47.33 a share.</w:t>
      </w:r>
    </w:p>
    <w:p>
      <w:pPr>
        <w:spacing w:after="120" w:before="0"/>
      </w:pPr>
      <w:r>
        <w:rPr>
          <w:b w:val="0"/>
          <w:i w:val="0"/>
          <w:color w:val="1C3A36"/>
          <w:sz w:val="21"/>
        </w:rPr>
        <w:t>Falsifier: "If return on average equity falls below 18% in either FY2026 or FY2027, the 27.1%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27.1%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88.52</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38.78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6,544m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3,774m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15%</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54m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0.54x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4,852 million, or USD 69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53 to EGP 117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73.22 to EGP 88.52 a share, and the study's own two centres, EGP 88.52 and EGP 106.68,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88.52. Expert 2 says: nothing until it produces a return, so EGP 73.22. Expert 3 says: the market says EGP 38.78 a share, which requires USD 54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396691"/>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396691"/>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15.30</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38.78</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-18.16</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-38.78</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-20.62</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-18.16</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25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What that testing establishes about this individual share — how often the outcome fell inside the band, whether it fell uniformly within it, and how wide the band is — is reported in section 3, with the window counts behind each figure.</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