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0.705.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5.61 a share; on the composite, AED 7.90.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5.61 against a market price of 6.16 — 9% below the market price. The cash-flow lens on its own lands at AED 5.61, 9% below the market price, and the three notional experts in Appendix C, who price mid-cycle earnings rather than a terminal value, centre at AED 6.06, 2%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0.705 and lifts the cash-flow lens to AED 7.90. That construction is published beside the adopted one throughout, because a gap of AED 2.30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3.04 to AED 10.18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8.5% on the share's own beta of 1.103 against the published index of its own exchange and on all three kinds of capital the company uses — ordinary equity 80.0%, debt 7.2%, perpetual capital securities 12.8% at their own coupon; terminal growth 2%; 73% of enterprise value comes from the terminal value</w:t>
            </w:r>
          </w:p>
        </w:tc>
        <w:tc>
          <w:tcPr>
            <w:tcW w:type="dxa" w:w="1526"/>
          </w:tcPr>
          <w:p>
            <w:pPr>
              <w:spacing w:after="20"/>
              <w:jc w:val="right"/>
            </w:pPr>
            <w:r>
              <w:rPr>
                <w:color w:val="1C3A36"/>
                <w:sz w:val="16"/>
              </w:rPr>
              <w:t>3.04 – 10.18</w:t>
            </w:r>
          </w:p>
        </w:tc>
        <w:tc>
          <w:tcPr>
            <w:tcW w:type="dxa" w:w="1181"/>
          </w:tcPr>
          <w:p>
            <w:pPr>
              <w:spacing w:after="20"/>
              <w:jc w:val="right"/>
            </w:pPr>
            <w:r>
              <w:rPr>
                <w:color w:val="1C3A36"/>
                <w:sz w:val="16"/>
              </w:rPr>
              <w:t>5.61</w:t>
            </w:r>
          </w:p>
        </w:tc>
        <w:tc>
          <w:tcPr>
            <w:tcW w:type="dxa" w:w="1210"/>
          </w:tcPr>
          <w:p>
            <w:pPr>
              <w:spacing w:after="20"/>
              <w:jc w:val="right"/>
            </w:pPr>
            <w:r>
              <w:rPr>
                <w:color w:val="1C3A36"/>
                <w:sz w:val="16"/>
              </w:rPr>
              <w:t>-9%</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7.81 – 12.03</w:t>
            </w:r>
          </w:p>
        </w:tc>
        <w:tc>
          <w:tcPr>
            <w:tcW w:type="dxa" w:w="1181"/>
          </w:tcPr>
          <w:p>
            <w:pPr>
              <w:spacing w:after="20"/>
              <w:jc w:val="right"/>
            </w:pPr>
            <w:r>
              <w:rPr>
                <w:color w:val="1C3A36"/>
                <w:sz w:val="16"/>
              </w:rPr>
              <w:t>8.92</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2.41 – 5.41</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3.04 – 10.18</w:t>
            </w:r>
          </w:p>
        </w:tc>
        <w:tc>
          <w:tcPr>
            <w:tcW w:type="dxa" w:w="1181"/>
            <w:shd w:val="clear" w:color="auto" w:fill="F6F1E6"/>
          </w:tcPr>
          <w:p>
            <w:pPr>
              <w:spacing w:after="20"/>
              <w:jc w:val="right"/>
            </w:pPr>
            <w:r>
              <w:rPr>
                <w:b/>
                <w:color w:val="1C3A36"/>
                <w:sz w:val="16"/>
              </w:rPr>
              <w:t>5.61</w:t>
            </w:r>
          </w:p>
        </w:tc>
        <w:tc>
          <w:tcPr>
            <w:tcW w:type="dxa" w:w="1210"/>
            <w:shd w:val="clear" w:color="auto" w:fill="F6F1E6"/>
          </w:tcPr>
          <w:p>
            <w:pPr>
              <w:spacing w:after="20"/>
              <w:jc w:val="right"/>
            </w:pPr>
            <w:r>
              <w:rPr>
                <w:b/>
                <w:color w:val="1C3A36"/>
                <w:sz w:val="16"/>
              </w:rPr>
              <w:t>-9%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0.705 instead of 1.103, cost of capital gliding 7.0% to 7.0%, and 78% of enterprise value from the terminal value. The published index is the yardstick this study adopts; the composite is shown because the gap turns on index weighting rather than on the company (section 1.8). The central on this construction is AED 7.90</w:t>
            </w:r>
          </w:p>
        </w:tc>
        <w:tc>
          <w:tcPr>
            <w:tcW w:type="dxa" w:w="1526"/>
          </w:tcPr>
          <w:p>
            <w:pPr>
              <w:spacing w:after="20"/>
              <w:jc w:val="right"/>
            </w:pPr>
            <w:r>
              <w:rPr>
                <w:color w:val="1C3A36"/>
                <w:sz w:val="16"/>
              </w:rPr>
              <w:t>—</w:t>
            </w:r>
          </w:p>
        </w:tc>
        <w:tc>
          <w:tcPr>
            <w:tcW w:type="dxa" w:w="1181"/>
          </w:tcPr>
          <w:p>
            <w:pPr>
              <w:spacing w:after="20"/>
              <w:jc w:val="right"/>
            </w:pPr>
            <w:r>
              <w:rPr>
                <w:color w:val="1C3A36"/>
                <w:sz w:val="16"/>
              </w:rPr>
              <w:t>7.90</w:t>
            </w:r>
          </w:p>
        </w:tc>
        <w:tc>
          <w:tcPr>
            <w:tcW w:type="dxa" w:w="1210"/>
          </w:tcPr>
          <w:p>
            <w:pPr>
              <w:spacing w:after="20"/>
              <w:jc w:val="right"/>
            </w:pPr>
            <w:r>
              <w:rPr>
                <w:color w:val="1C3A36"/>
                <w:sz w:val="16"/>
              </w:rPr>
              <w:t>+28%</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1,138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6.02</w:t>
            </w:r>
          </w:p>
        </w:tc>
        <w:tc>
          <w:tcPr>
            <w:tcW w:type="dxa" w:w="1210"/>
          </w:tcPr>
          <w:p>
            <w:pPr>
              <w:spacing w:after="20"/>
              <w:jc w:val="right"/>
            </w:pPr>
            <w:r>
              <w:rPr>
                <w:color w:val="1C3A36"/>
                <w:sz w:val="16"/>
              </w:rPr>
              <w:t>-2%</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3.04, so roughly AED 0.82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2.30 a share separates the two constructions on the cash-flow lens and AED 2.30 on the central, and both are carried at full size through section 1.1, section 1.8, the comparison in section 4 and the expert panel. Terminal value is 73%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5,004</w:t>
            </w:r>
          </w:p>
        </w:tc>
        <w:tc>
          <w:tcPr>
            <w:tcW w:type="dxa" w:w="1382"/>
          </w:tcPr>
          <w:p>
            <w:pPr>
              <w:spacing w:after="20"/>
              <w:jc w:val="right"/>
            </w:pPr>
            <w:r>
              <w:rPr>
                <w:color w:val="1C3A36"/>
                <w:sz w:val="16"/>
              </w:rPr>
              <w:t>5,721</w:t>
            </w:r>
          </w:p>
        </w:tc>
        <w:tc>
          <w:tcPr>
            <w:tcW w:type="dxa" w:w="1382"/>
          </w:tcPr>
          <w:p>
            <w:pPr>
              <w:spacing w:after="20"/>
              <w:jc w:val="right"/>
            </w:pPr>
            <w:r>
              <w:rPr>
                <w:color w:val="1C3A36"/>
                <w:sz w:val="16"/>
              </w:rPr>
              <w:t>5,745</w:t>
            </w:r>
          </w:p>
        </w:tc>
        <w:tc>
          <w:tcPr>
            <w:tcW w:type="dxa" w:w="1382"/>
          </w:tcPr>
          <w:p>
            <w:pPr>
              <w:spacing w:after="20"/>
              <w:jc w:val="right"/>
            </w:pPr>
            <w:r>
              <w:rPr>
                <w:color w:val="1C3A36"/>
                <w:sz w:val="16"/>
              </w:rPr>
              <w:t>5,500</w:t>
            </w:r>
          </w:p>
        </w:tc>
        <w:tc>
          <w:tcPr>
            <w:tcW w:type="dxa" w:w="1382"/>
          </w:tcPr>
          <w:p>
            <w:pPr>
              <w:spacing w:after="20"/>
              <w:jc w:val="right"/>
            </w:pPr>
            <w:r>
              <w:rPr>
                <w:color w:val="1C3A36"/>
                <w:sz w:val="16"/>
              </w:rPr>
              <w:t>5,175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(2,918)</w:t>
            </w:r>
          </w:p>
        </w:tc>
        <w:tc>
          <w:tcPr>
            <w:tcW w:type="dxa" w:w="1382"/>
          </w:tcPr>
          <w:p>
            <w:pPr>
              <w:spacing w:after="20"/>
              <w:jc w:val="right"/>
            </w:pPr>
            <w:r>
              <w:rPr>
                <w:color w:val="1C3A36"/>
                <w:sz w:val="16"/>
              </w:rPr>
              <w:t>(3,203)</w:t>
            </w:r>
          </w:p>
        </w:tc>
        <w:tc>
          <w:tcPr>
            <w:tcW w:type="dxa" w:w="1382"/>
          </w:tcPr>
          <w:p>
            <w:pPr>
              <w:spacing w:after="20"/>
              <w:jc w:val="right"/>
            </w:pPr>
            <w:r>
              <w:rPr>
                <w:color w:val="1C3A36"/>
                <w:sz w:val="16"/>
              </w:rPr>
              <w:t>(3,238)</w:t>
            </w:r>
          </w:p>
        </w:tc>
        <w:tc>
          <w:tcPr>
            <w:tcW w:type="dxa" w:w="1382"/>
          </w:tcPr>
          <w:p>
            <w:pPr>
              <w:spacing w:after="20"/>
              <w:jc w:val="right"/>
            </w:pPr>
            <w:r>
              <w:rPr>
                <w:color w:val="1C3A36"/>
                <w:sz w:val="16"/>
              </w:rPr>
              <w:t>(3,188)</w:t>
            </w:r>
          </w:p>
        </w:tc>
        <w:tc>
          <w:tcPr>
            <w:tcW w:type="dxa" w:w="1382"/>
          </w:tcPr>
          <w:p>
            <w:pPr>
              <w:spacing w:after="20"/>
              <w:jc w:val="right"/>
            </w:pPr>
            <w:r>
              <w:rPr>
                <w:color w:val="1C3A36"/>
                <w:sz w:val="16"/>
              </w:rPr>
              <w:t>(3,116)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2,507</w:t>
            </w:r>
          </w:p>
        </w:tc>
        <w:tc>
          <w:tcPr>
            <w:tcW w:type="dxa" w:w="1382"/>
          </w:tcPr>
          <w:p>
            <w:pPr>
              <w:spacing w:after="20"/>
              <w:jc w:val="right"/>
            </w:pPr>
            <w:r>
              <w:rPr>
                <w:color w:val="1C3A36"/>
                <w:sz w:val="16"/>
              </w:rPr>
              <w:t>2,312</w:t>
            </w:r>
          </w:p>
        </w:tc>
        <w:tc>
          <w:tcPr>
            <w:tcW w:type="dxa" w:w="1382"/>
          </w:tcPr>
          <w:p>
            <w:pPr>
              <w:spacing w:after="20"/>
              <w:jc w:val="right"/>
            </w:pPr>
            <w:r>
              <w:rPr>
                <w:color w:val="1C3A36"/>
                <w:sz w:val="16"/>
              </w:rPr>
              <w:t>2,059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1,510</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1,803</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1,325</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1,799</w:t>
            </w:r>
          </w:p>
        </w:tc>
        <w:tc>
          <w:tcPr>
            <w:tcW w:type="dxa" w:w="1382"/>
          </w:tcPr>
          <w:p>
            <w:pPr>
              <w:spacing w:after="20"/>
              <w:jc w:val="right"/>
            </w:pPr>
            <w:r>
              <w:rPr>
                <w:color w:val="1C3A36"/>
                <w:sz w:val="16"/>
              </w:rPr>
              <w:t>1,744</w:t>
            </w:r>
          </w:p>
        </w:tc>
        <w:tc>
          <w:tcPr>
            <w:tcW w:type="dxa" w:w="1382"/>
          </w:tcPr>
          <w:p>
            <w:pPr>
              <w:spacing w:after="20"/>
              <w:jc w:val="right"/>
            </w:pPr>
            <w:r>
              <w:rPr>
                <w:color w:val="1C3A36"/>
                <w:sz w:val="16"/>
              </w:rPr>
              <w:t>1,525</w:t>
            </w:r>
          </w:p>
        </w:tc>
        <w:tc>
          <w:tcPr>
            <w:tcW w:type="dxa" w:w="1382"/>
          </w:tcPr>
          <w:p>
            <w:pPr>
              <w:spacing w:after="20"/>
              <w:jc w:val="right"/>
            </w:pPr>
            <w:r>
              <w:rPr>
                <w:color w:val="1C3A36"/>
                <w:sz w:val="16"/>
              </w:rPr>
              <w:t>1,265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1,206</w:t>
            </w:r>
          </w:p>
        </w:tc>
        <w:tc>
          <w:tcPr>
            <w:tcW w:type="dxa" w:w="1382"/>
          </w:tcPr>
          <w:p>
            <w:pPr>
              <w:spacing w:after="20"/>
              <w:jc w:val="right"/>
            </w:pPr>
            <w:r>
              <w:rPr>
                <w:color w:val="1C3A36"/>
                <w:sz w:val="16"/>
              </w:rPr>
              <w:t>1,622</w:t>
            </w:r>
          </w:p>
        </w:tc>
        <w:tc>
          <w:tcPr>
            <w:tcW w:type="dxa" w:w="1382"/>
          </w:tcPr>
          <w:p>
            <w:pPr>
              <w:spacing w:after="20"/>
              <w:jc w:val="right"/>
            </w:pPr>
            <w:r>
              <w:rPr>
                <w:color w:val="1C3A36"/>
                <w:sz w:val="16"/>
              </w:rPr>
              <w:t>1,439</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0.9404</w:t>
            </w:r>
          </w:p>
        </w:tc>
        <w:tc>
          <w:tcPr>
            <w:tcW w:type="dxa" w:w="1382"/>
          </w:tcPr>
          <w:p>
            <w:pPr>
              <w:spacing w:after="20"/>
              <w:jc w:val="right"/>
            </w:pPr>
            <w:r>
              <w:rPr>
                <w:color w:val="1C3A36"/>
                <w:sz w:val="16"/>
              </w:rPr>
              <w:t>0.8664</w:t>
            </w:r>
          </w:p>
        </w:tc>
        <w:tc>
          <w:tcPr>
            <w:tcW w:type="dxa" w:w="1382"/>
          </w:tcPr>
          <w:p>
            <w:pPr>
              <w:spacing w:after="20"/>
              <w:jc w:val="right"/>
            </w:pPr>
            <w:r>
              <w:rPr>
                <w:color w:val="1C3A36"/>
                <w:sz w:val="16"/>
              </w:rPr>
              <w:t>0.7983</w:t>
            </w:r>
          </w:p>
        </w:tc>
        <w:tc>
          <w:tcPr>
            <w:tcW w:type="dxa" w:w="1382"/>
          </w:tcPr>
          <w:p>
            <w:pPr>
              <w:spacing w:after="20"/>
              <w:jc w:val="right"/>
            </w:pPr>
            <w:r>
              <w:rPr>
                <w:color w:val="1C3A36"/>
                <w:sz w:val="16"/>
              </w:rPr>
              <w:t>0.7356</w:t>
            </w:r>
          </w:p>
        </w:tc>
        <w:tc>
          <w:tcPr>
            <w:tcW w:type="dxa" w:w="1382"/>
          </w:tcPr>
          <w:p>
            <w:pPr>
              <w:spacing w:after="20"/>
              <w:jc w:val="right"/>
            </w:pPr>
            <w:r>
              <w:rPr>
                <w:color w:val="1C3A36"/>
                <w:sz w:val="16"/>
              </w:rPr>
              <w:t>0.6779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918</w:t>
            </w:r>
          </w:p>
        </w:tc>
        <w:tc>
          <w:tcPr>
            <w:tcW w:type="dxa" w:w="1382"/>
            <w:shd w:val="clear" w:color="auto" w:fill="F6F1E6"/>
          </w:tcPr>
          <w:p>
            <w:pPr>
              <w:spacing w:after="20"/>
              <w:jc w:val="right"/>
            </w:pPr>
            <w:r>
              <w:rPr>
                <w:b/>
                <w:color w:val="1C3A36"/>
                <w:sz w:val="16"/>
              </w:rPr>
              <w:t>962</w:t>
            </w:r>
          </w:p>
        </w:tc>
        <w:tc>
          <w:tcPr>
            <w:tcW w:type="dxa" w:w="1382"/>
            <w:shd w:val="clear" w:color="auto" w:fill="F6F1E6"/>
          </w:tcPr>
          <w:p>
            <w:pPr>
              <w:spacing w:after="20"/>
              <w:jc w:val="right"/>
            </w:pPr>
            <w:r>
              <w:rPr>
                <w:b/>
                <w:color w:val="1C3A36"/>
                <w:sz w:val="16"/>
              </w:rPr>
              <w:t>1,193</w:t>
            </w:r>
          </w:p>
        </w:tc>
        <w:tc>
          <w:tcPr>
            <w:tcW w:type="dxa" w:w="1382"/>
            <w:shd w:val="clear" w:color="auto" w:fill="F6F1E6"/>
          </w:tcPr>
          <w:p>
            <w:pPr>
              <w:spacing w:after="20"/>
              <w:jc w:val="right"/>
            </w:pPr>
            <w:r>
              <w:rPr>
                <w:b/>
                <w:color w:val="1C3A36"/>
                <w:sz w:val="16"/>
              </w:rPr>
              <w:t>975</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4,129</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1,057</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10,998</w:t>
            </w:r>
          </w:p>
        </w:tc>
        <w:tc>
          <w:tcPr>
            <w:tcW w:type="dxa" w:w="5040"/>
          </w:tcPr>
          <w:p>
            <w:pPr>
              <w:spacing w:after="20"/>
              <w:jc w:val="left"/>
            </w:pPr>
            <w:r>
              <w:rPr>
                <w:color w:val="1C3A36"/>
                <w:sz w:val="16"/>
              </w:rPr>
              <w:t>the terminal cash flow capitalised at 8.5% less 2% = USD 16,223 million, discounted at the same year-five factor of 0.6779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15,127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72.7%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15,620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(328)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0.37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11,292</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1.53</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5.61</w:t>
            </w:r>
          </w:p>
        </w:tc>
        <w:tc>
          <w:tcPr>
            <w:tcW w:type="dxa" w:w="5040"/>
            <w:shd w:val="clear" w:color="auto" w:fill="F6F1E6"/>
          </w:tcPr>
          <w:p>
            <w:pPr>
              <w:spacing w:after="20"/>
              <w:jc w:val="left"/>
            </w:pPr>
            <w:r>
              <w:rPr>
                <w:b/>
                <w:color w:val="1C3A36"/>
                <w:sz w:val="16"/>
              </w:rPr>
              <w:t>against a market price of AED 6.16 (-9%)</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6.02</w:t>
            </w:r>
          </w:p>
        </w:tc>
        <w:tc>
          <w:tcPr>
            <w:tcW w:type="dxa" w:w="5040"/>
            <w:shd w:val="clear" w:color="auto" w:fill="F6F1E6"/>
          </w:tcPr>
          <w:p>
            <w:pPr>
              <w:spacing w:after="20"/>
              <w:jc w:val="left"/>
            </w:pPr>
            <w:r>
              <w:rPr>
                <w:b/>
                <w:color w:val="1C3A36"/>
                <w:sz w:val="16"/>
              </w:rPr>
              <w:t>deducting USD 1,138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362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0.705 instead. Two qualifications before the explanation. The first is that the runs are not quite the identical regression: the published-index run pairs 159 weekly observations and the composite run pairs 163, because the index series obtained stops earlier than the exchange's own price history does and because the two series are screened and aligned to the exchange's trading week before they are paired. The samples differ by 4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0.705</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7.49%</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8.55%</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8.52%</w:t>
            </w:r>
          </w:p>
        </w:tc>
        <w:tc>
          <w:tcPr>
            <w:tcW w:type="dxa" w:w="2808"/>
          </w:tcPr>
          <w:p>
            <w:pPr>
              <w:spacing w:after="20"/>
              <w:jc w:val="right"/>
            </w:pPr>
            <w:r>
              <w:rPr>
                <w:color w:val="1C3A36"/>
                <w:sz w:val="17"/>
              </w:rPr>
              <w:t>6.96%</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4,129</w:t>
            </w:r>
          </w:p>
        </w:tc>
        <w:tc>
          <w:tcPr>
            <w:tcW w:type="dxa" w:w="2808"/>
          </w:tcPr>
          <w:p>
            <w:pPr>
              <w:spacing w:after="20"/>
              <w:jc w:val="right"/>
            </w:pPr>
            <w:r>
              <w:rPr>
                <w:color w:val="1C3A36"/>
                <w:sz w:val="17"/>
              </w:rPr>
              <w:t>4,328</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10,998</w:t>
            </w:r>
          </w:p>
        </w:tc>
        <w:tc>
          <w:tcPr>
            <w:tcW w:type="dxa" w:w="2808"/>
          </w:tcPr>
          <w:p>
            <w:pPr>
              <w:spacing w:after="20"/>
              <w:jc w:val="right"/>
            </w:pPr>
            <w:r>
              <w:rPr>
                <w:color w:val="1C3A36"/>
                <w:sz w:val="17"/>
              </w:rPr>
              <w:t>15,459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72.7%</w:t>
            </w:r>
          </w:p>
        </w:tc>
        <w:tc>
          <w:tcPr>
            <w:tcW w:type="dxa" w:w="2808"/>
          </w:tcPr>
          <w:p>
            <w:pPr>
              <w:spacing w:after="20"/>
              <w:jc w:val="right"/>
            </w:pPr>
            <w:r>
              <w:rPr>
                <w:color w:val="1C3A36"/>
                <w:sz w:val="17"/>
              </w:rPr>
              <w:t>78.1%</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15,620</w:t>
            </w:r>
          </w:p>
        </w:tc>
        <w:tc>
          <w:tcPr>
            <w:tcW w:type="dxa" w:w="2808"/>
          </w:tcPr>
          <w:p>
            <w:pPr>
              <w:spacing w:after="20"/>
              <w:jc w:val="right"/>
            </w:pPr>
            <w:r>
              <w:rPr>
                <w:color w:val="1C3A36"/>
                <w:sz w:val="17"/>
              </w:rPr>
              <w:t>20,280</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11,292</w:t>
            </w:r>
          </w:p>
        </w:tc>
        <w:tc>
          <w:tcPr>
            <w:tcW w:type="dxa" w:w="2808"/>
          </w:tcPr>
          <w:p>
            <w:pPr>
              <w:spacing w:after="20"/>
              <w:jc w:val="right"/>
            </w:pPr>
            <w:r>
              <w:rPr>
                <w:color w:val="1C3A36"/>
                <w:sz w:val="17"/>
              </w:rPr>
              <w:t>15,922</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5.61</w:t>
            </w:r>
          </w:p>
        </w:tc>
        <w:tc>
          <w:tcPr>
            <w:tcW w:type="dxa" w:w="2808"/>
            <w:shd w:val="clear" w:color="auto" w:fill="F6F1E6"/>
          </w:tcPr>
          <w:p>
            <w:pPr>
              <w:spacing w:after="20"/>
              <w:jc w:val="right"/>
            </w:pPr>
            <w:r>
              <w:rPr>
                <w:b/>
                <w:color w:val="1C3A36"/>
                <w:sz w:val="17"/>
              </w:rPr>
              <w:t>7.90</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-9%</w:t>
            </w:r>
          </w:p>
        </w:tc>
        <w:tc>
          <w:tcPr>
            <w:tcW w:type="dxa" w:w="2808"/>
            <w:shd w:val="clear" w:color="auto" w:fill="F6F1E6"/>
          </w:tcPr>
          <w:p>
            <w:pPr>
              <w:spacing w:after="20"/>
              <w:jc w:val="right"/>
            </w:pPr>
            <w:r>
              <w:rPr>
                <w:b/>
                <w:color w:val="1C3A36"/>
                <w:sz w:val="17"/>
              </w:rPr>
              <w:t>+28%</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2.30 between the two columns is the beta, and most of it lands in the terminal value: a 155 basis point difference in the terminal cost of capital changes the capitalisation factor on a perpetuity by roughly a quarter, which is also why the terminal value falls from 78% of enterprise value to 73%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28% above the market price to 9%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19.2%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21.9%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23.7%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551 million of the USD 7,377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19.2%</w:t>
            </w:r>
          </w:p>
        </w:tc>
        <w:tc>
          <w:tcPr>
            <w:tcW w:type="dxa" w:w="1354"/>
          </w:tcPr>
          <w:p>
            <w:pPr>
              <w:spacing w:after="20"/>
              <w:jc w:val="right"/>
            </w:pPr>
            <w:r>
              <w:rPr>
                <w:color w:val="1C3A36"/>
                <w:sz w:val="16"/>
              </w:rPr>
              <w:t>+9.72pp</w:t>
            </w:r>
          </w:p>
        </w:tc>
        <w:tc>
          <w:tcPr>
            <w:tcW w:type="dxa" w:w="1584"/>
          </w:tcPr>
          <w:p>
            <w:pPr>
              <w:spacing w:after="20"/>
              <w:jc w:val="right"/>
            </w:pPr>
            <w:r>
              <w:rPr>
                <w:color w:val="1C3A36"/>
                <w:sz w:val="16"/>
              </w:rPr>
              <w:t>493</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451</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5,854</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+11.02pp</w:t>
            </w:r>
          </w:p>
        </w:tc>
        <w:tc>
          <w:tcPr>
            <w:tcW w:type="dxa" w:w="1584"/>
          </w:tcPr>
          <w:p>
            <w:pPr>
              <w:spacing w:after="20"/>
              <w:jc w:val="right"/>
            </w:pPr>
            <w:r>
              <w:rPr>
                <w:color w:val="1C3A36"/>
                <w:sz w:val="16"/>
              </w:rPr>
              <w:t>645</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6,909</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+8.07pp</w:t>
            </w:r>
          </w:p>
        </w:tc>
        <w:tc>
          <w:tcPr>
            <w:tcW w:type="dxa" w:w="1584"/>
          </w:tcPr>
          <w:p>
            <w:pPr>
              <w:spacing w:after="20"/>
              <w:jc w:val="right"/>
            </w:pPr>
            <w:r>
              <w:rPr>
                <w:color w:val="1C3A36"/>
                <w:sz w:val="16"/>
              </w:rPr>
              <w:t>557</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425</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7,918</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+4.50pp</w:t>
            </w:r>
          </w:p>
        </w:tc>
        <w:tc>
          <w:tcPr>
            <w:tcW w:type="dxa" w:w="1584"/>
          </w:tcPr>
          <w:p>
            <w:pPr>
              <w:spacing w:after="20"/>
              <w:jc w:val="right"/>
            </w:pPr>
            <w:r>
              <w:rPr>
                <w:color w:val="1C3A36"/>
                <w:sz w:val="16"/>
              </w:rPr>
              <w:t>356</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248</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8,742</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+1.61pp</w:t>
            </w:r>
          </w:p>
        </w:tc>
        <w:tc>
          <w:tcPr>
            <w:tcW w:type="dxa" w:w="1584"/>
          </w:tcPr>
          <w:p>
            <w:pPr>
              <w:spacing w:after="20"/>
              <w:jc w:val="right"/>
            </w:pPr>
            <w:r>
              <w:rPr>
                <w:color w:val="1C3A36"/>
                <w:sz w:val="16"/>
              </w:rPr>
              <w:t>141</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90</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1,753</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1,753</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551</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7,377</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2.41 – 5.41</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2.41 takes a cost of equity of 11.95%, built on the upper end 1.621 of the beta's own 90% confidence interval, together with a proportionally lower return on that book; the bull bound of AED 5.41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11.07×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1,121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11.07×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6.48</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669</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23,998</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20,219</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23,162</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1,234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1,234</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8.92</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7.81 – 12.03</w:t>
            </w:r>
          </w:p>
        </w:tc>
      </w:tr>
    </w:tbl>
    <w:p>
      <w:pPr>
        <w:spacing w:after="40"/>
      </w:pPr>
    </w:p>
    <w:p>
      <w:pPr>
        <w:spacing w:after="200" w:before="0"/>
      </w:pPr>
      <w:r>
        <w:rPr>
          <w:b w:val="0"/>
          <w:i/>
          <w:color w:val="6E7B77"/>
          <w:sz w:val="17"/>
        </w:rPr>
        <w:t>The two constructions disagree by a wide margin — AED 10.72 against AED 7.13 — and the gap is depreciation and the perpetual coupon. This is a young fleet: depreciation runs from 26.3% of earnings before interest, tax, depreciation and amortisation in the lightest forecast year to 35.7%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weighted centrals, against the market price of AED 6.16.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3.04</w:t>
            </w:r>
          </w:p>
        </w:tc>
        <w:tc>
          <w:tcPr>
            <w:tcW w:type="dxa" w:w="1238"/>
          </w:tcPr>
          <w:p>
            <w:pPr>
              <w:spacing w:after="20"/>
              <w:jc w:val="right"/>
            </w:pPr>
            <w:r>
              <w:rPr>
                <w:color w:val="1C3A36"/>
                <w:sz w:val="17"/>
              </w:rPr>
              <w:t>5.61</w:t>
            </w:r>
          </w:p>
        </w:tc>
        <w:tc>
          <w:tcPr>
            <w:tcW w:type="dxa" w:w="1238"/>
          </w:tcPr>
          <w:p>
            <w:pPr>
              <w:spacing w:after="20"/>
              <w:jc w:val="right"/>
            </w:pPr>
            <w:r>
              <w:rPr>
                <w:color w:val="1C3A36"/>
                <w:sz w:val="17"/>
              </w:rPr>
              <w:t>10.18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7.81</w:t>
            </w:r>
          </w:p>
        </w:tc>
        <w:tc>
          <w:tcPr>
            <w:tcW w:type="dxa" w:w="1238"/>
          </w:tcPr>
          <w:p>
            <w:pPr>
              <w:spacing w:after="20"/>
              <w:jc w:val="right"/>
            </w:pPr>
            <w:r>
              <w:rPr>
                <w:color w:val="1C3A36"/>
                <w:sz w:val="17"/>
              </w:rPr>
              <w:t>8.92</w:t>
            </w:r>
          </w:p>
        </w:tc>
        <w:tc>
          <w:tcPr>
            <w:tcW w:type="dxa" w:w="1238"/>
          </w:tcPr>
          <w:p>
            <w:pPr>
              <w:spacing w:after="20"/>
              <w:jc w:val="right"/>
            </w:pPr>
            <w:r>
              <w:rPr>
                <w:color w:val="1C3A36"/>
                <w:sz w:val="17"/>
              </w:rPr>
              <w:t>12.03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2.41</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5.41</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3.04</w:t>
            </w:r>
          </w:p>
        </w:tc>
        <w:tc>
          <w:tcPr>
            <w:tcW w:type="dxa" w:w="1238"/>
            <w:shd w:val="clear" w:color="auto" w:fill="F6F1E6"/>
          </w:tcPr>
          <w:p>
            <w:pPr>
              <w:spacing w:after="20"/>
              <w:jc w:val="right"/>
            </w:pPr>
            <w:r>
              <w:rPr>
                <w:b/>
                <w:color w:val="1C3A36"/>
                <w:sz w:val="17"/>
              </w:rPr>
              <w:t>5.61</w:t>
            </w:r>
          </w:p>
        </w:tc>
        <w:tc>
          <w:tcPr>
            <w:tcW w:type="dxa" w:w="1238"/>
            <w:shd w:val="clear" w:color="auto" w:fill="F6F1E6"/>
          </w:tcPr>
          <w:p>
            <w:pPr>
              <w:spacing w:after="20"/>
              <w:jc w:val="right"/>
            </w:pPr>
            <w:r>
              <w:rPr>
                <w:b/>
                <w:color w:val="1C3A36"/>
                <w:sz w:val="17"/>
              </w:rPr>
              <w:t>10.18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7.90</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7.90</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6.74</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Contributions are shown to three decimals so that the four of them add to the central exactly; rounded to the nearest fil they would come up one fil short of it, which is a display artefact rather than an arithmetic one.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0.705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8.92, the furthest above the market of the four. The two that state a cost of equity rather than importing one land lower: the cash-flow model at AED 5.61,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5.61, 9% below the market price. Measuring the market as an equal-weight composite instead lifts that to AED 7.90, 28% above the market price. Neither figure supports a claim that this share is materially mispriced: on the adopted construction the centre of the evidence sits about 9%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2,613</w:t>
            </w:r>
          </w:p>
        </w:tc>
        <w:tc>
          <w:tcPr>
            <w:tcW w:type="dxa" w:w="1382"/>
          </w:tcPr>
          <w:p>
            <w:pPr>
              <w:spacing w:after="20"/>
              <w:jc w:val="right"/>
            </w:pPr>
            <w:r>
              <w:rPr>
                <w:color w:val="1C3A36"/>
                <w:sz w:val="16"/>
              </w:rPr>
              <w:t>3,157</w:t>
            </w:r>
          </w:p>
        </w:tc>
        <w:tc>
          <w:tcPr>
            <w:tcW w:type="dxa" w:w="1382"/>
          </w:tcPr>
          <w:p>
            <w:pPr>
              <w:spacing w:after="20"/>
              <w:jc w:val="right"/>
            </w:pPr>
            <w:r>
              <w:rPr>
                <w:color w:val="1C3A36"/>
                <w:sz w:val="16"/>
              </w:rPr>
              <w:t>3,029</w:t>
            </w:r>
          </w:p>
        </w:tc>
        <w:tc>
          <w:tcPr>
            <w:tcW w:type="dxa" w:w="1382"/>
          </w:tcPr>
          <w:p>
            <w:pPr>
              <w:spacing w:after="20"/>
              <w:jc w:val="right"/>
            </w:pPr>
            <w:r>
              <w:rPr>
                <w:color w:val="1C3A36"/>
                <w:sz w:val="16"/>
              </w:rPr>
              <w:t>2,654</w:t>
            </w:r>
          </w:p>
        </w:tc>
        <w:tc>
          <w:tcPr>
            <w:tcW w:type="dxa" w:w="1382"/>
          </w:tcPr>
          <w:p>
            <w:pPr>
              <w:spacing w:after="20"/>
              <w:jc w:val="right"/>
            </w:pPr>
            <w:r>
              <w:rPr>
                <w:color w:val="1C3A36"/>
                <w:sz w:val="16"/>
              </w:rPr>
              <w:t>2,193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5,004</w:t>
            </w:r>
          </w:p>
        </w:tc>
        <w:tc>
          <w:tcPr>
            <w:tcW w:type="dxa" w:w="1382"/>
            <w:shd w:val="clear" w:color="auto" w:fill="F6F1E6"/>
          </w:tcPr>
          <w:p>
            <w:pPr>
              <w:spacing w:after="20"/>
              <w:jc w:val="right"/>
            </w:pPr>
            <w:r>
              <w:rPr>
                <w:b/>
                <w:color w:val="1C3A36"/>
                <w:sz w:val="16"/>
              </w:rPr>
              <w:t>5,721</w:t>
            </w:r>
          </w:p>
        </w:tc>
        <w:tc>
          <w:tcPr>
            <w:tcW w:type="dxa" w:w="1382"/>
            <w:shd w:val="clear" w:color="auto" w:fill="F6F1E6"/>
          </w:tcPr>
          <w:p>
            <w:pPr>
              <w:spacing w:after="20"/>
              <w:jc w:val="right"/>
            </w:pPr>
            <w:r>
              <w:rPr>
                <w:b/>
                <w:color w:val="1C3A36"/>
                <w:sz w:val="16"/>
              </w:rPr>
              <w:t>5,745</w:t>
            </w:r>
          </w:p>
        </w:tc>
        <w:tc>
          <w:tcPr>
            <w:tcW w:type="dxa" w:w="1382"/>
            <w:shd w:val="clear" w:color="auto" w:fill="F6F1E6"/>
          </w:tcPr>
          <w:p>
            <w:pPr>
              <w:spacing w:after="20"/>
              <w:jc w:val="right"/>
            </w:pPr>
            <w:r>
              <w:rPr>
                <w:b/>
                <w:color w:val="1C3A36"/>
                <w:sz w:val="16"/>
              </w:rPr>
              <w:t>5,500</w:t>
            </w:r>
          </w:p>
        </w:tc>
        <w:tc>
          <w:tcPr>
            <w:tcW w:type="dxa" w:w="1382"/>
            <w:shd w:val="clear" w:color="auto" w:fill="F6F1E6"/>
          </w:tcPr>
          <w:p>
            <w:pPr>
              <w:spacing w:after="20"/>
              <w:jc w:val="right"/>
            </w:pPr>
            <w:r>
              <w:rPr>
                <w:b/>
                <w:color w:val="1C3A36"/>
                <w:sz w:val="16"/>
              </w:rPr>
              <w:t>5,175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2,507</w:t>
            </w:r>
          </w:p>
        </w:tc>
        <w:tc>
          <w:tcPr>
            <w:tcW w:type="dxa" w:w="1382"/>
            <w:shd w:val="clear" w:color="auto" w:fill="F6F1E6"/>
          </w:tcPr>
          <w:p>
            <w:pPr>
              <w:spacing w:after="20"/>
              <w:jc w:val="right"/>
            </w:pPr>
            <w:r>
              <w:rPr>
                <w:b/>
                <w:color w:val="1C3A36"/>
                <w:sz w:val="16"/>
              </w:rPr>
              <w:t>2,312</w:t>
            </w:r>
          </w:p>
        </w:tc>
        <w:tc>
          <w:tcPr>
            <w:tcW w:type="dxa" w:w="1382"/>
            <w:shd w:val="clear" w:color="auto" w:fill="F6F1E6"/>
          </w:tcPr>
          <w:p>
            <w:pPr>
              <w:spacing w:after="20"/>
              <w:jc w:val="right"/>
            </w:pPr>
            <w:r>
              <w:rPr>
                <w:b/>
                <w:color w:val="1C3A36"/>
                <w:sz w:val="16"/>
              </w:rPr>
              <w:t>2,059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1.82 a share — and that range is wide enough to carry fair value across the market price, which it reaches between the 110% and 120% anchors. Widening the beta across the 0.705-to-1.621 range tested in section 1.9 moves it by AED 4.05, which is 2.2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0.705</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0.705 it would be 7.49%;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5.69%</w:t>
            </w:r>
          </w:p>
        </w:tc>
        <w:tc>
          <w:tcPr>
            <w:tcW w:type="dxa" w:w="1037"/>
          </w:tcPr>
          <w:p>
            <w:pPr>
              <w:spacing w:after="20"/>
              <w:jc w:val="right"/>
            </w:pPr>
            <w:r>
              <w:rPr>
                <w:color w:val="1C3A36"/>
                <w:sz w:val="16"/>
              </w:rPr>
              <w:t>5.61%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5.18%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9.08% to 8.55% and the terminal rate from 9.00% to 8.52%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8.55%</w:t>
            </w:r>
          </w:p>
        </w:tc>
        <w:tc>
          <w:tcPr>
            <w:tcW w:type="dxa" w:w="1037"/>
          </w:tcPr>
          <w:p>
            <w:pPr>
              <w:spacing w:after="20"/>
              <w:jc w:val="right"/>
            </w:pPr>
            <w:r>
              <w:rPr>
                <w:color w:val="1C3A36"/>
                <w:sz w:val="16"/>
              </w:rPr>
              <w:t>8.52%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8.54% · 8.54% · 8.53% · 8.52% · 8.52%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0.705</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0.172 on 163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0.771</w:t>
            </w:r>
          </w:p>
        </w:tc>
        <w:tc>
          <w:tcPr>
            <w:tcW w:type="dxa" w:w="6019"/>
          </w:tcPr>
          <w:p>
            <w:pPr>
              <w:spacing w:after="20"/>
              <w:jc w:val="left"/>
            </w:pPr>
            <w:r>
              <w:rPr>
                <w:color w:val="1C3A36"/>
                <w:sz w:val="16"/>
              </w:rPr>
              <w:t>ADX + DFM equal-weight composite; disclosed, not adopted. R-squared 0.183 across 26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0.398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0.203,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5.69%</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0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0.705 — cost of equity 7.49% instead of 9.43%</w:t>
            </w:r>
          </w:p>
        </w:tc>
        <w:tc>
          <w:tcPr>
            <w:tcW w:type="dxa" w:w="1843"/>
          </w:tcPr>
          <w:p>
            <w:pPr>
              <w:spacing w:after="20"/>
            </w:pPr>
            <w:r>
              <w:rPr>
                <w:color w:val="1C3A36"/>
                <w:sz w:val="15"/>
              </w:rPr>
              <w:t>AED 7.90 against 5.61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6.02, +0.42 against 5.61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0.195 in the beta moves the cost of equity by about the same amount and is worth AED 1.28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4.51 against 5.61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1.103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0.705</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7.26</w:t>
            </w:r>
          </w:p>
        </w:tc>
        <w:tc>
          <w:tcPr>
            <w:tcW w:type="dxa" w:w="1555"/>
          </w:tcPr>
          <w:p>
            <w:pPr>
              <w:spacing w:after="20"/>
              <w:jc w:val="right"/>
            </w:pPr>
            <w:r>
              <w:rPr>
                <w:color w:val="1C3A36"/>
                <w:sz w:val="16"/>
              </w:rPr>
              <w:t>6.21</w:t>
            </w:r>
          </w:p>
        </w:tc>
        <w:tc>
          <w:tcPr>
            <w:tcW w:type="dxa" w:w="1555"/>
          </w:tcPr>
          <w:p>
            <w:pPr>
              <w:spacing w:after="20"/>
              <w:jc w:val="right"/>
            </w:pPr>
            <w:r>
              <w:rPr>
                <w:color w:val="1C3A36"/>
                <w:sz w:val="16"/>
              </w:rPr>
              <w:t>5.35</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7.55</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4.58</w:t>
            </w:r>
          </w:p>
        </w:tc>
        <w:tc>
          <w:tcPr>
            <w:tcW w:type="dxa" w:w="1555"/>
          </w:tcPr>
          <w:p>
            <w:pPr>
              <w:spacing w:after="20"/>
              <w:jc w:val="right"/>
            </w:pPr>
            <w:r>
              <w:rPr>
                <w:color w:val="1C3A36"/>
                <w:sz w:val="16"/>
              </w:rPr>
              <w:t>3.83</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7.90</w:t>
            </w:r>
          </w:p>
        </w:tc>
        <w:tc>
          <w:tcPr>
            <w:tcW w:type="dxa" w:w="1555"/>
          </w:tcPr>
          <w:p>
            <w:pPr>
              <w:spacing w:after="20"/>
              <w:jc w:val="right"/>
            </w:pPr>
            <w:r>
              <w:rPr>
                <w:color w:val="1C3A36"/>
                <w:sz w:val="16"/>
              </w:rPr>
              <w:t>6.62</w:t>
            </w:r>
          </w:p>
        </w:tc>
        <w:tc>
          <w:tcPr>
            <w:tcW w:type="dxa" w:w="1555"/>
          </w:tcPr>
          <w:p>
            <w:pPr>
              <w:spacing w:after="20"/>
              <w:jc w:val="right"/>
            </w:pPr>
            <w:r>
              <w:rPr>
                <w:color w:val="1C3A36"/>
                <w:sz w:val="16"/>
              </w:rPr>
              <w:t>5.61</w:t>
            </w:r>
          </w:p>
        </w:tc>
        <w:tc>
          <w:tcPr>
            <w:tcW w:type="dxa" w:w="1555"/>
          </w:tcPr>
          <w:p>
            <w:pPr>
              <w:spacing w:after="20"/>
              <w:jc w:val="right"/>
            </w:pPr>
            <w:r>
              <w:rPr>
                <w:color w:val="1C3A36"/>
                <w:sz w:val="16"/>
              </w:rPr>
              <w:t>4.66</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8.33</w:t>
            </w:r>
          </w:p>
        </w:tc>
        <w:tc>
          <w:tcPr>
            <w:tcW w:type="dxa" w:w="1555"/>
          </w:tcPr>
          <w:p>
            <w:pPr>
              <w:spacing w:after="20"/>
              <w:jc w:val="right"/>
            </w:pPr>
            <w:r>
              <w:rPr>
                <w:color w:val="1C3A36"/>
                <w:sz w:val="16"/>
              </w:rPr>
              <w:t>6.88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4.74</w:t>
            </w:r>
          </w:p>
        </w:tc>
        <w:tc>
          <w:tcPr>
            <w:tcW w:type="dxa" w:w="1555"/>
          </w:tcPr>
          <w:p>
            <w:pPr>
              <w:spacing w:after="20"/>
              <w:jc w:val="right"/>
            </w:pPr>
            <w:r>
              <w:rPr>
                <w:color w:val="1C3A36"/>
                <w:sz w:val="16"/>
              </w:rPr>
              <w:t>3.89</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5.61 exactly. The bear case is struck at 1.621, the top of the regression's own 90% confidence interval and the right-hand column here; the bull case is struck at the bottom of that interval, 0.586, which falls outside the grid, below its left-hand 0.705 column. The equal-weight composite alternative is the 0.705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3.04 and 10.18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0.705 – 1.621</w:t>
            </w:r>
          </w:p>
        </w:tc>
        <w:tc>
          <w:tcPr>
            <w:tcW w:type="dxa" w:w="2304"/>
          </w:tcPr>
          <w:p>
            <w:pPr>
              <w:spacing w:after="20"/>
              <w:jc w:val="left"/>
            </w:pPr>
            <w:r>
              <w:rPr>
                <w:color w:val="1C3A36"/>
                <w:sz w:val="16"/>
              </w:rPr>
              <w:t>3.86 – 7.90</w:t>
            </w:r>
          </w:p>
        </w:tc>
        <w:tc>
          <w:tcPr>
            <w:tcW w:type="dxa" w:w="1944"/>
          </w:tcPr>
          <w:p>
            <w:pPr>
              <w:spacing w:after="20"/>
              <w:jc w:val="right"/>
            </w:pPr>
            <w:r>
              <w:rPr>
                <w:color w:val="1C3A36"/>
                <w:sz w:val="16"/>
              </w:rPr>
              <w:t>4.05</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4.70 – 6.51</w:t>
            </w:r>
          </w:p>
        </w:tc>
        <w:tc>
          <w:tcPr>
            <w:tcW w:type="dxa" w:w="1944"/>
          </w:tcPr>
          <w:p>
            <w:pPr>
              <w:spacing w:after="20"/>
              <w:jc w:val="right"/>
            </w:pPr>
            <w:r>
              <w:rPr>
                <w:color w:val="1C3A36"/>
                <w:sz w:val="16"/>
              </w:rPr>
              <w:t>1.82</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4.84 – 5.99</w:t>
            </w:r>
          </w:p>
        </w:tc>
        <w:tc>
          <w:tcPr>
            <w:tcW w:type="dxa" w:w="1944"/>
          </w:tcPr>
          <w:p>
            <w:pPr>
              <w:spacing w:after="20"/>
              <w:jc w:val="right"/>
            </w:pPr>
            <w:r>
              <w:rPr>
                <w:color w:val="1C3A36"/>
                <w:sz w:val="16"/>
              </w:rPr>
              <w:t>1.14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4.51 – 5.52</w:t>
            </w:r>
          </w:p>
        </w:tc>
        <w:tc>
          <w:tcPr>
            <w:tcW w:type="dxa" w:w="1944"/>
          </w:tcPr>
          <w:p>
            <w:pPr>
              <w:spacing w:after="20"/>
              <w:jc w:val="right"/>
            </w:pPr>
            <w:r>
              <w:rPr>
                <w:color w:val="1C3A36"/>
                <w:sz w:val="16"/>
              </w:rPr>
              <w:t>1.02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5.35 – 5.76</w:t>
            </w:r>
          </w:p>
        </w:tc>
        <w:tc>
          <w:tcPr>
            <w:tcW w:type="dxa" w:w="1944"/>
          </w:tcPr>
          <w:p>
            <w:pPr>
              <w:spacing w:after="20"/>
              <w:jc w:val="right"/>
            </w:pPr>
            <w:r>
              <w:rPr>
                <w:color w:val="1C3A36"/>
                <w:sz w:val="16"/>
              </w:rPr>
              <w:t>0.41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3.04 – 10.18</w:t>
            </w:r>
          </w:p>
        </w:tc>
        <w:tc>
          <w:tcPr>
            <w:tcW w:type="dxa" w:w="1944"/>
          </w:tcPr>
          <w:p>
            <w:pPr>
              <w:spacing w:after="20"/>
              <w:jc w:val="right"/>
            </w:pPr>
            <w:r>
              <w:rPr>
                <w:color w:val="1C3A36"/>
                <w:sz w:val="16"/>
              </w:rPr>
              <w:t>7.14</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3.04</w:t>
            </w:r>
          </w:p>
        </w:tc>
        <w:tc>
          <w:tcPr>
            <w:tcW w:type="dxa" w:w="1944"/>
          </w:tcPr>
          <w:p>
            <w:pPr>
              <w:spacing w:after="20"/>
              <w:jc w:val="right"/>
            </w:pPr>
            <w:r>
              <w:rPr>
                <w:color w:val="1C3A36"/>
                <w:sz w:val="16"/>
              </w:rPr>
              <w:t>0.82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0.705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4.51,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5.61 sits between the computed levels of 5.56 and 5.93, the cash-flow lens on its own, at AED 5.61, sits between the computed levels of 5.56 and 5.93, the equal-weight composite reading of AED 7.90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the share's listed history the three-month distributions scored +2.95% better than a random-walk benchmark anchored on the same cost of carry, across 8 independent non-overlapping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and a score +0.03% against the benchmark — level with it rather than ahead of it. Pooling 91 three-month windows that start on staggered dates and therefore overlap one another gives +0.66% and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5.61 on the beta measured against the published index, and AED 7.90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5.61, -9%</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7.90, +28%</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5.61, -9%</w:t>
            </w:r>
          </w:p>
        </w:tc>
        <w:tc>
          <w:tcPr>
            <w:tcW w:type="dxa" w:w="4464"/>
          </w:tcPr>
          <w:p>
            <w:pPr>
              <w:spacing w:after="20"/>
            </w:pPr>
            <w:r>
              <w:rPr>
                <w:color w:val="1C3A36"/>
                <w:sz w:val="16"/>
              </w:rPr>
              <w:t>a cost of capital gliding 8.55% to 8.5%</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7.90, +28%</w:t>
            </w:r>
          </w:p>
        </w:tc>
        <w:tc>
          <w:tcPr>
            <w:tcW w:type="dxa" w:w="4464"/>
          </w:tcPr>
          <w:p>
            <w:pPr>
              <w:spacing w:after="20"/>
            </w:pPr>
            <w:r>
              <w:rPr>
                <w:color w:val="1C3A36"/>
                <w:sz w:val="16"/>
              </w:rPr>
              <w:t>the same, gliding 7.00% to 7.0%</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5.61, 9% below the market price; the expert panel in Appendix C, which prices mid-cycle earnings and capitalises no terminal value at all, centres at AED 6.06, 2% below the market price. Two constructions that share no machinery land within AED 0.45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0.705 and the central rises to AED 7.90 — a difference of AED 2.30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0.705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1.82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6.06</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7.90</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0.705, worth AED 2.30 a share on the cash-flow lens. Across the beta range tested in section 1.9 the swing is AED 4.05,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73% of the cash-flow model's enterprise value is the terminal value on the adopted construction, 78%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684 million by 2030E, against a stated medium-term target of 2.0× to 2.5×. At the low end of that target the 2030E balance sheet would carry about USD 4,117 million of net debt, so the modelled path leaves roughly USD 4,801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551 million of the USD 7,377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4.51.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5.61</w:t>
            </w:r>
          </w:p>
        </w:tc>
        <w:tc>
          <w:tcPr>
            <w:tcW w:type="dxa" w:w="2304"/>
            <w:shd w:val="clear" w:color="auto" w:fill="F6F1E6"/>
          </w:tcPr>
          <w:p>
            <w:pPr>
              <w:spacing w:after="20"/>
              <w:jc w:val="right"/>
            </w:pPr>
            <w:r>
              <w:rPr>
                <w:b/>
                <w:color w:val="1C3A36"/>
                <w:sz w:val="17"/>
              </w:rPr>
              <w:t>5.61</w:t>
            </w:r>
          </w:p>
        </w:tc>
        <w:tc>
          <w:tcPr>
            <w:tcW w:type="dxa" w:w="2232"/>
            <w:shd w:val="clear" w:color="auto" w:fill="F6F1E6"/>
          </w:tcPr>
          <w:p>
            <w:pPr>
              <w:spacing w:after="20"/>
              <w:jc w:val="right"/>
            </w:pPr>
            <w:r>
              <w:rPr>
                <w:b/>
                <w:color w:val="1C3A36"/>
                <w:sz w:val="17"/>
              </w:rPr>
              <w:t>-9%</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-0.97,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9.08% to 8.55% and the terminal rate from 9.00% to 8.52%.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2.27× book, or AED 5.71 a share; residual income gives AED 3.66. The difference no longer reaches the answer at all — at the 15% weight an earlier edition gave this read it was worth about AED 0.31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328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0.37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5.69%,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0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11.07×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5.61 and the weighted central to AED 5.61, because a higher beta discounts harder. And the bear and bull cases widen, because they are taken from that interval directly rather than chosen: the published range on the cash-flow lens is now AED 3.04 to AED 10.18. An interval that widens on re-measurement is information about how much a three-year price history can settle, and the answer is: less than the previous edition implied. The equal-weight composite reading of 0.705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5,004</w:t>
            </w:r>
          </w:p>
        </w:tc>
        <w:tc>
          <w:tcPr>
            <w:tcW w:type="dxa" w:w="950"/>
          </w:tcPr>
          <w:p>
            <w:pPr>
              <w:spacing w:after="20"/>
              <w:jc w:val="right"/>
            </w:pPr>
            <w:r>
              <w:rPr>
                <w:color w:val="1C3A36"/>
                <w:sz w:val="15"/>
              </w:rPr>
              <w:t>5,721</w:t>
            </w:r>
          </w:p>
        </w:tc>
        <w:tc>
          <w:tcPr>
            <w:tcW w:type="dxa" w:w="950"/>
          </w:tcPr>
          <w:p>
            <w:pPr>
              <w:spacing w:after="20"/>
              <w:jc w:val="right"/>
            </w:pPr>
            <w:r>
              <w:rPr>
                <w:color w:val="1C3A36"/>
                <w:sz w:val="15"/>
              </w:rPr>
              <w:t>5,745</w:t>
            </w:r>
          </w:p>
        </w:tc>
        <w:tc>
          <w:tcPr>
            <w:tcW w:type="dxa" w:w="950"/>
          </w:tcPr>
          <w:p>
            <w:pPr>
              <w:spacing w:after="20"/>
              <w:jc w:val="right"/>
            </w:pPr>
            <w:r>
              <w:rPr>
                <w:color w:val="1C3A36"/>
                <w:sz w:val="15"/>
              </w:rPr>
              <w:t>5,500</w:t>
            </w:r>
          </w:p>
        </w:tc>
        <w:tc>
          <w:tcPr>
            <w:tcW w:type="dxa" w:w="950"/>
          </w:tcPr>
          <w:p>
            <w:pPr>
              <w:spacing w:after="20"/>
              <w:jc w:val="right"/>
            </w:pPr>
            <w:r>
              <w:rPr>
                <w:color w:val="1C3A36"/>
                <w:sz w:val="15"/>
              </w:rPr>
              <w:t>5,175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(2,918)</w:t>
            </w:r>
          </w:p>
        </w:tc>
        <w:tc>
          <w:tcPr>
            <w:tcW w:type="dxa" w:w="950"/>
          </w:tcPr>
          <w:p>
            <w:pPr>
              <w:spacing w:after="20"/>
              <w:jc w:val="right"/>
            </w:pPr>
            <w:r>
              <w:rPr>
                <w:color w:val="1C3A36"/>
                <w:sz w:val="15"/>
              </w:rPr>
              <w:t>(3,203)</w:t>
            </w:r>
          </w:p>
        </w:tc>
        <w:tc>
          <w:tcPr>
            <w:tcW w:type="dxa" w:w="950"/>
          </w:tcPr>
          <w:p>
            <w:pPr>
              <w:spacing w:after="20"/>
              <w:jc w:val="right"/>
            </w:pPr>
            <w:r>
              <w:rPr>
                <w:color w:val="1C3A36"/>
                <w:sz w:val="15"/>
              </w:rPr>
              <w:t>(3,238)</w:t>
            </w:r>
          </w:p>
        </w:tc>
        <w:tc>
          <w:tcPr>
            <w:tcW w:type="dxa" w:w="950"/>
          </w:tcPr>
          <w:p>
            <w:pPr>
              <w:spacing w:after="20"/>
              <w:jc w:val="right"/>
            </w:pPr>
            <w:r>
              <w:rPr>
                <w:color w:val="1C3A36"/>
                <w:sz w:val="15"/>
              </w:rPr>
              <w:t>(3,188)</w:t>
            </w:r>
          </w:p>
        </w:tc>
        <w:tc>
          <w:tcPr>
            <w:tcW w:type="dxa" w:w="950"/>
          </w:tcPr>
          <w:p>
            <w:pPr>
              <w:spacing w:after="20"/>
              <w:jc w:val="right"/>
            </w:pPr>
            <w:r>
              <w:rPr>
                <w:color w:val="1C3A36"/>
                <w:sz w:val="15"/>
              </w:rPr>
              <w:t>(3,116)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2,507</w:t>
            </w:r>
          </w:p>
        </w:tc>
        <w:tc>
          <w:tcPr>
            <w:tcW w:type="dxa" w:w="950"/>
            <w:shd w:val="clear" w:color="auto" w:fill="F6F1E6"/>
          </w:tcPr>
          <w:p>
            <w:pPr>
              <w:spacing w:after="20"/>
              <w:jc w:val="right"/>
            </w:pPr>
            <w:r>
              <w:rPr>
                <w:b/>
                <w:color w:val="1C3A36"/>
                <w:sz w:val="15"/>
              </w:rPr>
              <w:t>2,312</w:t>
            </w:r>
          </w:p>
        </w:tc>
        <w:tc>
          <w:tcPr>
            <w:tcW w:type="dxa" w:w="950"/>
            <w:shd w:val="clear" w:color="auto" w:fill="F6F1E6"/>
          </w:tcPr>
          <w:p>
            <w:pPr>
              <w:spacing w:after="20"/>
              <w:jc w:val="right"/>
            </w:pPr>
            <w:r>
              <w:rPr>
                <w:b/>
                <w:color w:val="1C3A36"/>
                <w:sz w:val="15"/>
              </w:rPr>
              <w:t>2,059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(576)</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(704)</w:t>
            </w:r>
          </w:p>
        </w:tc>
        <w:tc>
          <w:tcPr>
            <w:tcW w:type="dxa" w:w="950"/>
          </w:tcPr>
          <w:p>
            <w:pPr>
              <w:spacing w:after="20"/>
              <w:jc w:val="right"/>
            </w:pPr>
            <w:r>
              <w:rPr>
                <w:color w:val="1C3A36"/>
                <w:sz w:val="15"/>
              </w:rPr>
              <w:t>(728)</w:t>
            </w:r>
          </w:p>
        </w:tc>
        <w:tc>
          <w:tcPr>
            <w:tcW w:type="dxa" w:w="950"/>
          </w:tcPr>
          <w:p>
            <w:pPr>
              <w:spacing w:after="20"/>
              <w:jc w:val="right"/>
            </w:pPr>
            <w:r>
              <w:rPr>
                <w:color w:val="1C3A36"/>
                <w:sz w:val="15"/>
              </w:rPr>
              <w:t>(734)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1,510</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1,803</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1,325</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(129)</w:t>
            </w:r>
          </w:p>
        </w:tc>
        <w:tc>
          <w:tcPr>
            <w:tcW w:type="dxa" w:w="950"/>
          </w:tcPr>
          <w:p>
            <w:pPr>
              <w:spacing w:after="20"/>
              <w:jc w:val="right"/>
            </w:pPr>
            <w:r>
              <w:rPr>
                <w:color w:val="1C3A36"/>
                <w:sz w:val="15"/>
              </w:rPr>
              <w:t>(149)</w:t>
            </w:r>
          </w:p>
        </w:tc>
        <w:tc>
          <w:tcPr>
            <w:tcW w:type="dxa" w:w="950"/>
          </w:tcPr>
          <w:p>
            <w:pPr>
              <w:spacing w:after="20"/>
              <w:jc w:val="right"/>
            </w:pPr>
            <w:r>
              <w:rPr>
                <w:color w:val="1C3A36"/>
                <w:sz w:val="15"/>
              </w:rPr>
              <w:t>(122)</w:t>
            </w:r>
          </w:p>
        </w:tc>
        <w:tc>
          <w:tcPr>
            <w:tcW w:type="dxa" w:w="950"/>
          </w:tcPr>
          <w:p>
            <w:pPr>
              <w:spacing w:after="20"/>
              <w:jc w:val="right"/>
            </w:pPr>
            <w:r>
              <w:rPr>
                <w:color w:val="1C3A36"/>
                <w:sz w:val="15"/>
              </w:rPr>
              <w:t>(87)</w:t>
            </w:r>
          </w:p>
        </w:tc>
        <w:tc>
          <w:tcPr>
            <w:tcW w:type="dxa" w:w="950"/>
          </w:tcPr>
          <w:p>
            <w:pPr>
              <w:spacing w:after="20"/>
              <w:jc w:val="right"/>
            </w:pPr>
            <w:r>
              <w:rPr>
                <w:color w:val="1C3A36"/>
                <w:sz w:val="15"/>
              </w:rPr>
              <w:t>(27)</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1,381</w:t>
            </w:r>
          </w:p>
        </w:tc>
        <w:tc>
          <w:tcPr>
            <w:tcW w:type="dxa" w:w="950"/>
          </w:tcPr>
          <w:p>
            <w:pPr>
              <w:spacing w:after="20"/>
              <w:jc w:val="right"/>
            </w:pPr>
            <w:r>
              <w:rPr>
                <w:color w:val="1C3A36"/>
                <w:sz w:val="15"/>
              </w:rPr>
              <w:t>1,708</w:t>
            </w:r>
          </w:p>
        </w:tc>
        <w:tc>
          <w:tcPr>
            <w:tcW w:type="dxa" w:w="950"/>
          </w:tcPr>
          <w:p>
            <w:pPr>
              <w:spacing w:after="20"/>
              <w:jc w:val="right"/>
            </w:pPr>
            <w:r>
              <w:rPr>
                <w:color w:val="1C3A36"/>
                <w:sz w:val="15"/>
              </w:rPr>
              <w:t>1,681</w:t>
            </w:r>
          </w:p>
        </w:tc>
        <w:tc>
          <w:tcPr>
            <w:tcW w:type="dxa" w:w="950"/>
          </w:tcPr>
          <w:p>
            <w:pPr>
              <w:spacing w:after="20"/>
              <w:jc w:val="right"/>
            </w:pPr>
            <w:r>
              <w:rPr>
                <w:color w:val="1C3A36"/>
                <w:sz w:val="15"/>
              </w:rPr>
              <w:t>1,498</w:t>
            </w:r>
          </w:p>
        </w:tc>
        <w:tc>
          <w:tcPr>
            <w:tcW w:type="dxa" w:w="950"/>
          </w:tcPr>
          <w:p>
            <w:pPr>
              <w:spacing w:after="20"/>
              <w:jc w:val="right"/>
            </w:pPr>
            <w:r>
              <w:rPr>
                <w:color w:val="1C3A36"/>
                <w:sz w:val="15"/>
              </w:rPr>
              <w:t>1,298</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1,336</w:t>
            </w:r>
          </w:p>
        </w:tc>
        <w:tc>
          <w:tcPr>
            <w:tcW w:type="dxa" w:w="950"/>
          </w:tcPr>
          <w:p>
            <w:pPr>
              <w:spacing w:after="20"/>
              <w:jc w:val="right"/>
            </w:pPr>
            <w:r>
              <w:rPr>
                <w:color w:val="1C3A36"/>
                <w:sz w:val="15"/>
              </w:rPr>
              <w:t>1,655</w:t>
            </w:r>
          </w:p>
        </w:tc>
        <w:tc>
          <w:tcPr>
            <w:tcW w:type="dxa" w:w="950"/>
          </w:tcPr>
          <w:p>
            <w:pPr>
              <w:spacing w:after="20"/>
              <w:jc w:val="right"/>
            </w:pPr>
            <w:r>
              <w:rPr>
                <w:color w:val="1C3A36"/>
                <w:sz w:val="15"/>
              </w:rPr>
              <w:t>1,626</w:t>
            </w:r>
          </w:p>
        </w:tc>
        <w:tc>
          <w:tcPr>
            <w:tcW w:type="dxa" w:w="950"/>
          </w:tcPr>
          <w:p>
            <w:pPr>
              <w:spacing w:after="20"/>
              <w:jc w:val="right"/>
            </w:pPr>
            <w:r>
              <w:rPr>
                <w:color w:val="1C3A36"/>
                <w:sz w:val="15"/>
              </w:rPr>
              <w:t>1,442</w:t>
            </w:r>
          </w:p>
        </w:tc>
        <w:tc>
          <w:tcPr>
            <w:tcW w:type="dxa" w:w="950"/>
          </w:tcPr>
          <w:p>
            <w:pPr>
              <w:spacing w:after="20"/>
              <w:jc w:val="right"/>
            </w:pPr>
            <w:r>
              <w:rPr>
                <w:color w:val="1C3A36"/>
                <w:sz w:val="15"/>
              </w:rPr>
              <w:t>1,240</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1,218</w:t>
            </w:r>
          </w:p>
        </w:tc>
        <w:tc>
          <w:tcPr>
            <w:tcW w:type="dxa" w:w="950"/>
            <w:shd w:val="clear" w:color="auto" w:fill="F6F1E6"/>
          </w:tcPr>
          <w:p>
            <w:pPr>
              <w:spacing w:after="20"/>
              <w:jc w:val="right"/>
            </w:pPr>
            <w:r>
              <w:rPr>
                <w:b/>
                <w:color w:val="1C3A36"/>
                <w:sz w:val="15"/>
              </w:rPr>
              <w:t>1,510</w:t>
            </w:r>
          </w:p>
        </w:tc>
        <w:tc>
          <w:tcPr>
            <w:tcW w:type="dxa" w:w="950"/>
            <w:shd w:val="clear" w:color="auto" w:fill="F6F1E6"/>
          </w:tcPr>
          <w:p>
            <w:pPr>
              <w:spacing w:after="20"/>
              <w:jc w:val="right"/>
            </w:pPr>
            <w:r>
              <w:rPr>
                <w:b/>
                <w:color w:val="1C3A36"/>
                <w:sz w:val="15"/>
              </w:rPr>
              <w:t>1,483</w:t>
            </w:r>
          </w:p>
        </w:tc>
        <w:tc>
          <w:tcPr>
            <w:tcW w:type="dxa" w:w="950"/>
            <w:shd w:val="clear" w:color="auto" w:fill="F6F1E6"/>
          </w:tcPr>
          <w:p>
            <w:pPr>
              <w:spacing w:after="20"/>
              <w:jc w:val="right"/>
            </w:pPr>
            <w:r>
              <w:rPr>
                <w:b/>
                <w:color w:val="1C3A36"/>
                <w:sz w:val="15"/>
              </w:rPr>
              <w:t>1,315</w:t>
            </w:r>
          </w:p>
        </w:tc>
        <w:tc>
          <w:tcPr>
            <w:tcW w:type="dxa" w:w="950"/>
            <w:shd w:val="clear" w:color="auto" w:fill="F6F1E6"/>
          </w:tcPr>
          <w:p>
            <w:pPr>
              <w:spacing w:after="20"/>
              <w:jc w:val="right"/>
            </w:pPr>
            <w:r>
              <w:rPr>
                <w:b/>
                <w:color w:val="1C3A36"/>
                <w:sz w:val="15"/>
              </w:rPr>
              <w:t>1,131</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1,121</w:t>
            </w:r>
          </w:p>
        </w:tc>
        <w:tc>
          <w:tcPr>
            <w:tcW w:type="dxa" w:w="950"/>
          </w:tcPr>
          <w:p>
            <w:pPr>
              <w:spacing w:after="20"/>
              <w:jc w:val="right"/>
            </w:pPr>
            <w:r>
              <w:rPr>
                <w:color w:val="1C3A36"/>
                <w:sz w:val="15"/>
              </w:rPr>
              <w:t>1,413</w:t>
            </w:r>
          </w:p>
        </w:tc>
        <w:tc>
          <w:tcPr>
            <w:tcW w:type="dxa" w:w="950"/>
          </w:tcPr>
          <w:p>
            <w:pPr>
              <w:spacing w:after="20"/>
              <w:jc w:val="right"/>
            </w:pPr>
            <w:r>
              <w:rPr>
                <w:color w:val="1C3A36"/>
                <w:sz w:val="15"/>
              </w:rPr>
              <w:t>1,386</w:t>
            </w:r>
          </w:p>
        </w:tc>
        <w:tc>
          <w:tcPr>
            <w:tcW w:type="dxa" w:w="950"/>
          </w:tcPr>
          <w:p>
            <w:pPr>
              <w:spacing w:after="20"/>
              <w:jc w:val="right"/>
            </w:pPr>
            <w:r>
              <w:rPr>
                <w:color w:val="1C3A36"/>
                <w:sz w:val="15"/>
              </w:rPr>
              <w:t>1,218</w:t>
            </w:r>
          </w:p>
        </w:tc>
        <w:tc>
          <w:tcPr>
            <w:tcW w:type="dxa" w:w="950"/>
          </w:tcPr>
          <w:p>
            <w:pPr>
              <w:spacing w:after="20"/>
              <w:jc w:val="right"/>
            </w:pPr>
            <w:r>
              <w:rPr>
                <w:color w:val="1C3A36"/>
                <w:sz w:val="15"/>
              </w:rPr>
              <w:t>1,034</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0.191</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0.165</w:t>
            </w:r>
          </w:p>
        </w:tc>
        <w:tc>
          <w:tcPr>
            <w:tcW w:type="dxa" w:w="950"/>
            <w:shd w:val="clear" w:color="auto" w:fill="F6F1E6"/>
          </w:tcPr>
          <w:p>
            <w:pPr>
              <w:spacing w:after="20"/>
              <w:jc w:val="right"/>
            </w:pPr>
            <w:r>
              <w:rPr>
                <w:b/>
                <w:color w:val="1C3A36"/>
                <w:sz w:val="15"/>
              </w:rPr>
              <w:t>0.140</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0.165</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0.178</w:t>
            </w:r>
          </w:p>
        </w:tc>
        <w:tc>
          <w:tcPr>
            <w:tcW w:type="dxa" w:w="950"/>
          </w:tcPr>
          <w:p>
            <w:pPr>
              <w:spacing w:after="20"/>
              <w:jc w:val="right"/>
            </w:pPr>
            <w:r>
              <w:rPr>
                <w:color w:val="1C3A36"/>
                <w:sz w:val="15"/>
              </w:rPr>
              <w:t>0.153</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8.6%;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946</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3,057</w:t>
            </w:r>
          </w:p>
        </w:tc>
        <w:tc>
          <w:tcPr>
            <w:tcW w:type="dxa" w:w="950"/>
          </w:tcPr>
          <w:p>
            <w:pPr>
              <w:spacing w:after="20"/>
              <w:jc w:val="right"/>
            </w:pPr>
            <w:r>
              <w:rPr>
                <w:color w:val="1C3A36"/>
                <w:sz w:val="15"/>
              </w:rPr>
              <w:t>2,587</w:t>
            </w:r>
          </w:p>
        </w:tc>
        <w:tc>
          <w:tcPr>
            <w:tcW w:type="dxa" w:w="950"/>
          </w:tcPr>
          <w:p>
            <w:pPr>
              <w:spacing w:after="20"/>
              <w:jc w:val="right"/>
            </w:pPr>
            <w:r>
              <w:rPr>
                <w:color w:val="1C3A36"/>
                <w:sz w:val="15"/>
              </w:rPr>
              <w:t>1,966</w:t>
            </w:r>
          </w:p>
        </w:tc>
        <w:tc>
          <w:tcPr>
            <w:tcW w:type="dxa" w:w="950"/>
          </w:tcPr>
          <w:p>
            <w:pPr>
              <w:spacing w:after="20"/>
              <w:jc w:val="right"/>
            </w:pPr>
            <w:r>
              <w:rPr>
                <w:color w:val="1C3A36"/>
                <w:sz w:val="15"/>
              </w:rPr>
              <w:t>914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2,362</w:t>
            </w:r>
          </w:p>
        </w:tc>
        <w:tc>
          <w:tcPr>
            <w:tcW w:type="dxa" w:w="950"/>
          </w:tcPr>
          <w:p>
            <w:pPr>
              <w:spacing w:after="20"/>
              <w:jc w:val="right"/>
            </w:pPr>
            <w:r>
              <w:rPr>
                <w:color w:val="1C3A36"/>
                <w:sz w:val="15"/>
              </w:rPr>
              <w:t>1,892</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219</w:t>
            </w:r>
          </w:p>
        </w:tc>
        <w:tc>
          <w:tcPr>
            <w:tcW w:type="dxa" w:w="950"/>
          </w:tcPr>
          <w:p>
            <w:pPr>
              <w:spacing w:after="20"/>
              <w:jc w:val="right"/>
            </w:pPr>
            <w:r>
              <w:rPr>
                <w:color w:val="1C3A36"/>
                <w:sz w:val="15"/>
              </w:rPr>
              <w:t>(684)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5,854</w:t>
            </w:r>
          </w:p>
        </w:tc>
        <w:tc>
          <w:tcPr>
            <w:tcW w:type="dxa" w:w="950"/>
            <w:shd w:val="clear" w:color="auto" w:fill="F6F1E6"/>
          </w:tcPr>
          <w:p>
            <w:pPr>
              <w:spacing w:after="20"/>
              <w:jc w:val="right"/>
            </w:pPr>
            <w:r>
              <w:rPr>
                <w:b/>
                <w:color w:val="1C3A36"/>
                <w:sz w:val="15"/>
              </w:rPr>
              <w:t>6,909</w:t>
            </w:r>
          </w:p>
        </w:tc>
        <w:tc>
          <w:tcPr>
            <w:tcW w:type="dxa" w:w="950"/>
            <w:shd w:val="clear" w:color="auto" w:fill="F6F1E6"/>
          </w:tcPr>
          <w:p>
            <w:pPr>
              <w:spacing w:after="20"/>
              <w:jc w:val="right"/>
            </w:pPr>
            <w:r>
              <w:rPr>
                <w:b/>
                <w:color w:val="1C3A36"/>
                <w:sz w:val="15"/>
              </w:rPr>
              <w:t>7,918</w:t>
            </w:r>
          </w:p>
        </w:tc>
        <w:tc>
          <w:tcPr>
            <w:tcW w:type="dxa" w:w="950"/>
            <w:shd w:val="clear" w:color="auto" w:fill="F6F1E6"/>
          </w:tcPr>
          <w:p>
            <w:pPr>
              <w:spacing w:after="20"/>
              <w:jc w:val="right"/>
            </w:pPr>
            <w:r>
              <w:rPr>
                <w:b/>
                <w:color w:val="1C3A36"/>
                <w:sz w:val="15"/>
              </w:rPr>
              <w:t>8,742</w:t>
            </w:r>
          </w:p>
        </w:tc>
        <w:tc>
          <w:tcPr>
            <w:tcW w:type="dxa" w:w="950"/>
            <w:shd w:val="clear" w:color="auto" w:fill="F6F1E6"/>
          </w:tcPr>
          <w:p>
            <w:pPr>
              <w:spacing w:after="20"/>
              <w:jc w:val="right"/>
            </w:pPr>
            <w:r>
              <w:rPr>
                <w:b/>
                <w:color w:val="1C3A36"/>
                <w:sz w:val="15"/>
              </w:rPr>
              <w:t>9,361</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0.7912</w:t>
            </w:r>
          </w:p>
        </w:tc>
        <w:tc>
          <w:tcPr>
            <w:tcW w:type="dxa" w:w="950"/>
          </w:tcPr>
          <w:p>
            <w:pPr>
              <w:spacing w:after="20"/>
              <w:jc w:val="right"/>
            </w:pPr>
            <w:r>
              <w:rPr>
                <w:color w:val="1C3A36"/>
                <w:sz w:val="15"/>
              </w:rPr>
              <w:t>0.9338</w:t>
            </w:r>
          </w:p>
        </w:tc>
        <w:tc>
          <w:tcPr>
            <w:tcW w:type="dxa" w:w="950"/>
          </w:tcPr>
          <w:p>
            <w:pPr>
              <w:spacing w:after="20"/>
              <w:jc w:val="right"/>
            </w:pPr>
            <w:r>
              <w:rPr>
                <w:color w:val="1C3A36"/>
                <w:sz w:val="15"/>
              </w:rPr>
              <w:t>1.0703</w:t>
            </w:r>
          </w:p>
        </w:tc>
        <w:tc>
          <w:tcPr>
            <w:tcW w:type="dxa" w:w="950"/>
          </w:tcPr>
          <w:p>
            <w:pPr>
              <w:spacing w:after="20"/>
              <w:jc w:val="right"/>
            </w:pPr>
            <w:r>
              <w:rPr>
                <w:color w:val="1C3A36"/>
                <w:sz w:val="15"/>
              </w:rPr>
              <w:t>1.1815</w:t>
            </w:r>
          </w:p>
        </w:tc>
        <w:tc>
          <w:tcPr>
            <w:tcW w:type="dxa" w:w="950"/>
          </w:tcPr>
          <w:p>
            <w:pPr>
              <w:spacing w:after="20"/>
              <w:jc w:val="right"/>
            </w:pPr>
            <w:r>
              <w:rPr>
                <w:color w:val="1C3A36"/>
                <w:sz w:val="15"/>
              </w:rPr>
              <w:t>1.2652</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-0.33×</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21.9%</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23.7%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(155)</w:t>
            </w:r>
          </w:p>
        </w:tc>
        <w:tc>
          <w:tcPr>
            <w:tcW w:type="dxa" w:w="1382"/>
          </w:tcPr>
          <w:p>
            <w:pPr>
              <w:spacing w:after="20"/>
              <w:jc w:val="right"/>
            </w:pPr>
            <w:r>
              <w:rPr>
                <w:color w:val="1C3A36"/>
                <w:sz w:val="16"/>
              </w:rPr>
              <w:t>(174)</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(112)</w:t>
            </w:r>
          </w:p>
        </w:tc>
        <w:tc>
          <w:tcPr>
            <w:tcW w:type="dxa" w:w="1382"/>
          </w:tcPr>
          <w:p>
            <w:pPr>
              <w:spacing w:after="20"/>
              <w:jc w:val="right"/>
            </w:pPr>
            <w:r>
              <w:rPr>
                <w:color w:val="1C3A36"/>
                <w:sz w:val="16"/>
              </w:rPr>
              <w:t>(52)</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3,057</w:t>
            </w:r>
          </w:p>
        </w:tc>
        <w:tc>
          <w:tcPr>
            <w:tcW w:type="dxa" w:w="1382"/>
          </w:tcPr>
          <w:p>
            <w:pPr>
              <w:spacing w:after="20"/>
              <w:jc w:val="right"/>
            </w:pPr>
            <w:r>
              <w:rPr>
                <w:color w:val="1C3A36"/>
                <w:sz w:val="16"/>
              </w:rPr>
              <w:t>2,587</w:t>
            </w:r>
          </w:p>
        </w:tc>
        <w:tc>
          <w:tcPr>
            <w:tcW w:type="dxa" w:w="1382"/>
          </w:tcPr>
          <w:p>
            <w:pPr>
              <w:spacing w:after="20"/>
              <w:jc w:val="right"/>
            </w:pPr>
            <w:r>
              <w:rPr>
                <w:color w:val="1C3A36"/>
                <w:sz w:val="16"/>
              </w:rPr>
              <w:t>1,966</w:t>
            </w:r>
          </w:p>
        </w:tc>
        <w:tc>
          <w:tcPr>
            <w:tcW w:type="dxa" w:w="1382"/>
          </w:tcPr>
          <w:p>
            <w:pPr>
              <w:spacing w:after="20"/>
              <w:jc w:val="right"/>
            </w:pPr>
            <w:r>
              <w:rPr>
                <w:color w:val="1C3A36"/>
                <w:sz w:val="16"/>
              </w:rPr>
              <w:t>914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2,362</w:t>
            </w:r>
          </w:p>
        </w:tc>
        <w:tc>
          <w:tcPr>
            <w:tcW w:type="dxa" w:w="1382"/>
          </w:tcPr>
          <w:p>
            <w:pPr>
              <w:spacing w:after="20"/>
              <w:jc w:val="right"/>
            </w:pPr>
            <w:r>
              <w:rPr>
                <w:color w:val="1C3A36"/>
                <w:sz w:val="16"/>
              </w:rPr>
              <w:t>1,892</w:t>
            </w:r>
          </w:p>
        </w:tc>
        <w:tc>
          <w:tcPr>
            <w:tcW w:type="dxa" w:w="1382"/>
          </w:tcPr>
          <w:p>
            <w:pPr>
              <w:spacing w:after="20"/>
              <w:jc w:val="right"/>
            </w:pPr>
            <w:r>
              <w:rPr>
                <w:color w:val="1C3A36"/>
                <w:sz w:val="16"/>
              </w:rPr>
              <w:t>1,270</w:t>
            </w:r>
          </w:p>
        </w:tc>
        <w:tc>
          <w:tcPr>
            <w:tcW w:type="dxa" w:w="1382"/>
          </w:tcPr>
          <w:p>
            <w:pPr>
              <w:spacing w:after="20"/>
              <w:jc w:val="right"/>
            </w:pPr>
            <w:r>
              <w:rPr>
                <w:color w:val="1C3A36"/>
                <w:sz w:val="16"/>
              </w:rPr>
              <w:t>219</w:t>
            </w:r>
          </w:p>
        </w:tc>
        <w:tc>
          <w:tcPr>
            <w:tcW w:type="dxa" w:w="1382"/>
          </w:tcPr>
          <w:p>
            <w:pPr>
              <w:spacing w:after="20"/>
              <w:jc w:val="right"/>
            </w:pPr>
            <w:r>
              <w:rPr>
                <w:color w:val="1C3A36"/>
                <w:sz w:val="16"/>
              </w:rPr>
              <w:t>(684)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0.09×</w:t>
            </w:r>
          </w:p>
        </w:tc>
        <w:tc>
          <w:tcPr>
            <w:tcW w:type="dxa" w:w="1382"/>
            <w:shd w:val="clear" w:color="auto" w:fill="F6F1E6"/>
          </w:tcPr>
          <w:p>
            <w:pPr>
              <w:spacing w:after="20"/>
              <w:jc w:val="right"/>
            </w:pPr>
            <w:r>
              <w:rPr>
                <w:b/>
                <w:color w:val="1C3A36"/>
                <w:sz w:val="16"/>
              </w:rPr>
              <w:t>-0.33×</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10,814</w:t>
            </w:r>
          </w:p>
        </w:tc>
        <w:tc>
          <w:tcPr>
            <w:tcW w:type="dxa" w:w="1382"/>
          </w:tcPr>
          <w:p>
            <w:pPr>
              <w:spacing w:after="20"/>
              <w:jc w:val="right"/>
            </w:pPr>
            <w:r>
              <w:rPr>
                <w:color w:val="1C3A36"/>
                <w:sz w:val="16"/>
              </w:rPr>
              <w:t>11,469</w:t>
            </w:r>
          </w:p>
        </w:tc>
        <w:tc>
          <w:tcPr>
            <w:tcW w:type="dxa" w:w="1382"/>
          </w:tcPr>
          <w:p>
            <w:pPr>
              <w:spacing w:after="20"/>
              <w:jc w:val="right"/>
            </w:pPr>
            <w:r>
              <w:rPr>
                <w:color w:val="1C3A36"/>
                <w:sz w:val="16"/>
              </w:rPr>
              <w:t>11,492</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+6.1 percentage points to +2.5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1.82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2.30 a share between the two published constructions, and AED 4.05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7,111 million</w:t>
            </w:r>
          </w:p>
        </w:tc>
        <w:tc>
          <w:tcPr>
            <w:tcW w:type="dxa" w:w="3528"/>
          </w:tcPr>
          <w:p>
            <w:pPr>
              <w:spacing w:after="20"/>
            </w:pPr>
            <w:r>
              <w:rPr>
                <w:color w:val="1C3A36"/>
                <w:sz w:val="16"/>
              </w:rPr>
              <w:t>the capital-expenditure row spans AED 1.14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(681)</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1,616</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1,455</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1,230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0.1663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7.33</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5.50 – 9.16</w:t>
            </w:r>
          </w:p>
        </w:tc>
      </w:tr>
    </w:tbl>
    <w:p>
      <w:pPr>
        <w:spacing w:after="40"/>
      </w:pPr>
    </w:p>
    <w:p>
      <w:pPr>
        <w:spacing w:after="120" w:before="0"/>
      </w:pPr>
      <w:r>
        <w:rPr>
          <w:b w:val="0"/>
          <w:i w:val="0"/>
          <w:color w:val="1C3A36"/>
          <w:sz w:val="21"/>
        </w:rPr>
        <w:t>Named sensitivity: each single turn of the multiple is worth AED 0.61 a share, so the 9×-to-15× range above spans AED 3.66.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(116)</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918</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4.20 – 10.59</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5.95 rather than AED 6.25,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6.25, below the study's own central of AED 5.61, and the reason is specific: the five-year average free cash flow of USD 1,108 million is dragged down by the investment years. Free cash flow to the firm is USD 215 million in 2026E and USD 1,622 million in 2029E; averaging a business across a period when it is building the assets that produce the later number is a real charge against it. That is the method doing what it says it does, and it is why the range extends as high as AED 10.59.</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7.49% instead of 9.43% — and the answer is roughly AED 8.46 a share, a rise of about 35%.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6.39.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2,535</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3,048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13,015</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9,236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4.58</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3.32 – 5.57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875</w:t>
            </w:r>
          </w:p>
        </w:tc>
        <w:tc>
          <w:tcPr>
            <w:tcW w:type="dxa" w:w="1382"/>
          </w:tcPr>
          <w:p>
            <w:pPr>
              <w:spacing w:after="20"/>
              <w:jc w:val="right"/>
            </w:pPr>
            <w:r>
              <w:rPr>
                <w:color w:val="1C3A36"/>
                <w:sz w:val="16"/>
              </w:rPr>
              <w:t>763</w:t>
            </w:r>
          </w:p>
        </w:tc>
        <w:tc>
          <w:tcPr>
            <w:tcW w:type="dxa" w:w="1382"/>
          </w:tcPr>
          <w:p>
            <w:pPr>
              <w:spacing w:after="20"/>
              <w:jc w:val="right"/>
            </w:pPr>
            <w:r>
              <w:rPr>
                <w:color w:val="1C3A36"/>
                <w:sz w:val="16"/>
              </w:rPr>
              <w:t>543</w:t>
            </w:r>
          </w:p>
        </w:tc>
        <w:tc>
          <w:tcPr>
            <w:tcW w:type="dxa" w:w="1382"/>
          </w:tcPr>
          <w:p>
            <w:pPr>
              <w:spacing w:after="20"/>
              <w:jc w:val="right"/>
            </w:pPr>
            <w:r>
              <w:rPr>
                <w:color w:val="1C3A36"/>
                <w:sz w:val="16"/>
              </w:rPr>
              <w:t>287</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8.55% held flat across all five years rather than the declining schedule the cash-flow model discounts at, so the spread row is exactly the return row less 8.55% and the economic-profit row is exactly that spread on the same closing capital. Appendix A.3 shows the spread on the declining schedule instead, which is why the two tables give different spreads from the same returns. Note also that this leg's enterprise value of USD 13,015 million differs from the cash-flow model's USD 15,620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4.58 that already sits 26%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6.39,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6.06, the vertical line the market price of AED 6.16.</w:t>
      </w:r>
    </w:p>
    <w:p>
      <w:pPr>
        <w:spacing w:after="120" w:before="0"/>
      </w:pPr>
      <w:r>
        <w:rPr>
          <w:b w:val="0"/>
          <w:i w:val="0"/>
          <w:color w:val="1C3A36"/>
          <w:sz w:val="21"/>
        </w:rPr>
        <w:t>The panel spans AED 4.58 to 7.33 — a factor of 1.60 between the most and least generous base case, which is a narrow disagreement by the standards of this series. That narrowness is itself informative: three methods that share almost nothing methodologically land within AED 2.74 of one another. The market price of AED 6.16 falls inside that span, and so does this study's own cash-flow lens; the central of AED 5.61 sits inside it as well.</w:t>
      </w:r>
    </w:p>
    <w:p>
      <w:pPr>
        <w:spacing w:after="120" w:before="0"/>
      </w:pPr>
      <w:r>
        <w:rPr>
          <w:b w:val="0"/>
          <w:i w:val="0"/>
          <w:color w:val="1C3A36"/>
          <w:sz w:val="21"/>
        </w:rPr>
        <w:t>The panel centre of AED 6.06 sits 2% below the market price and +8% against this study's central. That gap is real and it has a single explanation: every one of the three experts works from mid-cycle or five-year-average earnings, and none of them capitalises a terminal value the way the cash-flow model does. The cash-flow model puts 73%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7.90 appears throughout this document beside the adopted AED 5.61.</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