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07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252</w:t>
            </w:r>
          </w:p>
        </w:tc>
      </w:tr>
      <w:tr>
        <w:tc>
          <w:tcPr>
            <w:tcW w:type="dxa" w:w="6236"/>
          </w:tcPr>
          <w:p>
            <w:r/>
            <w:r>
              <w:rPr>
                <w:color w:val="1A1D21"/>
                <w:sz w:val="18"/>
              </w:rPr>
              <w:t>Bind on a class of company (CLASS)</w:t>
            </w:r>
          </w:p>
        </w:tc>
        <w:tc>
          <w:tcPr>
            <w:tcW w:type="dxa" w:w="2721"/>
          </w:tcPr>
          <w:p>
            <w:r/>
            <w:r>
              <w:rPr>
                <w:color w:val="1A1D21"/>
                <w:sz w:val="18"/>
              </w:rPr>
              <w:t>26</w:t>
            </w:r>
          </w:p>
        </w:tc>
      </w:tr>
      <w:tr>
        <w:tc>
          <w:tcPr>
            <w:tcW w:type="dxa" w:w="6236"/>
          </w:tcPr>
          <w:p>
            <w:r/>
            <w:r>
              <w:rPr>
                <w:color w:val="1A1D21"/>
                <w:sz w:val="18"/>
              </w:rPr>
              <w:t>Bind on a single company (STOCK)</w:t>
            </w:r>
          </w:p>
        </w:tc>
        <w:tc>
          <w:tcPr>
            <w:tcW w:type="dxa" w:w="2721"/>
          </w:tcPr>
          <w:p>
            <w:r/>
            <w:r>
              <w:rPr>
                <w:color w:val="1A1D21"/>
                <w:sz w:val="18"/>
              </w:rPr>
              <w:t>9</w:t>
            </w:r>
          </w:p>
        </w:tc>
      </w:tr>
      <w:tr>
        <w:tc>
          <w:tcPr>
            <w:tcW w:type="dxa" w:w="6236"/>
          </w:tcPr>
          <w:p>
            <w:r/>
            <w:r>
              <w:rPr>
                <w:color w:val="1A1D21"/>
                <w:sz w:val="18"/>
              </w:rPr>
              <w:t>Total</w:t>
            </w:r>
          </w:p>
        </w:tc>
        <w:tc>
          <w:tcPr>
            <w:tcW w:type="dxa" w:w="2721"/>
          </w:tcPr>
          <w:p>
            <w:r/>
            <w:r>
              <w:rPr>
                <w:color w:val="1A1D21"/>
                <w:sz w:val="18"/>
              </w:rPr>
              <w:t>287</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53</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26</w:t>
            </w:r>
          </w:p>
        </w:tc>
      </w:tr>
      <w:tr>
        <w:tc>
          <w:tcPr>
            <w:tcW w:type="dxa" w:w="6236"/>
          </w:tcPr>
          <w:p>
            <w:r/>
            <w:r>
              <w:rPr>
                <w:color w:val="1A1D21"/>
                <w:sz w:val="18"/>
              </w:rPr>
              <w:t>Found while building</w:t>
            </w:r>
          </w:p>
        </w:tc>
        <w:tc>
          <w:tcPr>
            <w:tcW w:type="dxa" w:w="2721"/>
          </w:tcPr>
          <w:p>
            <w:r/>
            <w:r>
              <w:rPr>
                <w:color w:val="1A1D21"/>
                <w:sz w:val="18"/>
              </w:rPr>
              <w:t>192</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10 (AMOC, ARCC, EGCH, ELEC, GBCO, PHAR, PHDC, SCEM, SWDY,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20</w:t>
            </w:r>
          </w:p>
        </w:tc>
        <w:tc>
          <w:tcPr>
            <w:tcW w:type="dxa" w:w="1587"/>
          </w:tcPr>
          <w:p>
            <w:r/>
            <w:r>
              <w:rPr>
                <w:color w:val="1A1D21"/>
                <w:sz w:val="18"/>
              </w:rPr>
              <w:t>414</w:t>
            </w:r>
          </w:p>
        </w:tc>
      </w:tr>
    </w:tbl>
    <w:p/>
    <w:p>
      <w:pPr>
        <w:spacing w:after="120"/>
      </w:pPr>
      <w:r>
        <w:rPr>
          <w:b/>
          <w:i w:val="0"/>
          <w:color w:val="1A1D21"/>
          <w:sz w:val="21"/>
        </w:rPr>
        <w:t>The price engine is well tested; the fundamental method is not. 20 names carry price-engine evidence, DU (18 forecasts) and GBCO (56) among them. The fundamental method has been through a full training run on AMOC and ARCC and EGCH and ELEC and GBCO and PHAR and PHDC and SCEM and SWDY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414 forecasts across 20 names.</w:t>
      </w:r>
    </w:p>
    <w:p>
      <w:pPr>
        <w:spacing w:after="120"/>
      </w:pPr>
      <w:r>
        <w:rPr>
          <w:b w:val="0"/>
          <w:i w:val="0"/>
          <w:color w:val="1A1D21"/>
          <w:sz w:val="21"/>
        </w:rPr>
        <w:t>Not yet acted on (55):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L-352 — The gap between a company's prices and its costs barely moves; the rate they both rise at moves enormously; L-353 — Holding a price or a cost still is the worst thing a forecast can do with it; L-354 — A range built from a handful of past errors is not the interval it looks like; L-356 — The forecasting method could not be tested on ELEC at all; L-357 — An index of filings is not an archive of filings; L-358 — A study's historicals can be unverifiable and still pass every gate; L-359 — Check that a "filed record" was filed before reasoning from it; L-360 — The accounting-policies note usually gives a range, not a life; L-361 — A borrowing rate below the sovereign is the arithmetic failing, not the company borrowing cheaply; L-362 — Operating profit forecasts run about 46% too low for GBCO; L-363 — The finance cost forecast loses to assuming no change; L-364 — The revenue bias changes direction between regimes; L-365 — Dna forecasts run about 1.6 times too high for PHAR; L-366 — Price per pack forecasts run about 42% too low for PHAR.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AND the accumulated column to be this group's own depreciation history. THREE DISCLOSED CONDITIONS BREAK THAT. Where assets are depreciated to a RESIDUAL VALUE the charge is (cost less residual) over life, so the same accumulated balance buys more years and the ratio OVERSTATES the age. Where a useful life has been REASSESSED mid-life the charge is not level and the identity is broken outright rather than merely biased. And where the base was ASSEMBLED BY BUSINESS COMBINATION the accumulated column carries an acquiree's history against a charge that only ever reflects the period since acquisition, and the ratio is not a number about anything. All three are disclosed, so all three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 AND THE ARITHMETIC IS NOT THE TEST, WHICH TOOK TWO MORE NAMES TO LEARN: SAVOLA's cross-check passes at 0.0% — it derived its life by the same identity — while its policy note says outright that the depreciable amount is cost LESS ITS RESIDUAL VALUE, and EMPOWER's age was APPLIED for part of a day before its own note was read and said the same thing. SIX OF THE EIGHT NAMES TRIED FAIL THIS CONDITION and two pass, so a measured age is the exception rather than the rule — and residual-value depreciation is the ORDINARY IFRS presentation, which is why. The two added 5 September 2026 could hardly be less alike and fail identically: ADNOCLS, an ocean fleet whose scrap steel is a real residual and whose salvage value is reassessed every year; and ADNOCDIST, a fuel-retail network whose residual is a piece of accounting policy and which QUANTIFIED its own break — a life revision on assets carrying AED 5.35bn that cut the year's charge by AED 90.9mn, 15.3% of it, applied prospectively, so the charge is not the one that produced the accumulated balance above it and the same column gives 10.47 years on the old basis against 12.07 on the new. BOROUGE IS SHARPER STILL because it quantified BOTH ends: a life extension of up to ten years applied prospectively FROM 1 JULY 2025, worth USD 90.3mn that year and an expected USD 179.2mn the next — almost exactly twice, which is what a half-year of it should be — so the same accumulated balance supports 14.98, 17.99 and about 22.42 years depending only on which charge is in the denominator. AMR fails on the residual clause alone with no reassessment, which is worth recording because it is the one case where the residual might genuinely be immaterial. AND THERE IS A JURISDICTIONAL PATTERN, offered as a hypothesis rather than a finding: the name the route has UNLOCKED discloses depreciation as RATES applied to cost with no residual mentioned, the Egyptian presentation, while all four that stopped on 5 September are UAE filers using the IFRS residual-value form. ONE name remains untested, AMOC, and it is Egyptian — so the hypothesis rests on four UAE failures against ONE Egyptian success with ONE test left, which is a thin basis and is stated as one. THAT NAME IS ALSO THE WARNING AGAINST TRUSTING THE ARITHMETIC: its naive age sits within three per cent of half its implied life in both years, the textbook signature of a base in steady state, and the agreement is worth nothing because both figures rest on the same broken charge. Read the note first; the arithmetic corroborates and only sometimes. And a safe error direction is not a reason to keep a number the accounts say is not measuring what it claims — EMPOWER's overstated age overstated maintenance and understated the value, and it was withdrawn anyway.</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 MODON is the third condition and it is not close: AED 6,643,801 thousand of accumulated depreciation arrived through a 2024 business combination against that year's entire charge of 193,207 — THIRTY-FOUR TIMES IT — and the two acquisitions are 97% of the closing column. Its naive age reads 15.45 years against 0.46 net of the acquired history. The arithmetic cross-check DOES catch that one, at about -34%, as it catches AIRARABIA at +48%: it works where the adopted and implied lives came from different routes and fails where they did not.</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though the POLICY NOTE and not the cross-check is what would say so.</w:t>
      </w:r>
    </w:p>
    <w:p>
      <w:pPr>
        <w:keepNext/>
        <w:spacing w:before="240" w:after="60"/>
      </w:pPr>
      <w:r>
        <w:rPr>
          <w:b/>
          <w:color w:val="1A1D21"/>
          <w:sz w:val="22"/>
        </w:rPr>
        <w:t>L-329  A SHARED MODULE'S CONVENTION ABOUT WHICH YEAR ITS INPUTS BELONG TO IS INVISIBLE AT THE CALL SITE, AND SIX OF EIGHT CALLERS GOT IT WRONG</w:t>
      </w:r>
    </w:p>
    <w:p>
      <w:pPr>
        <w:keepNext/>
        <w:spacing w:after="100"/>
      </w:pPr>
      <w:r>
        <w:rPr>
          <w:b/>
          <w:color w:val="1D6FA3"/>
          <w:sz w:val="16"/>
        </w:rPr>
        <w:t>EVERY STUDY</w:t>
      </w:r>
      <w:r>
        <w:rPr>
          <w:color w:val="5B6570"/>
          <w:sz w:val="16"/>
        </w:rPr>
        <w:t xml:space="preserve">   applies to every study   ·   learned from a found while building, The whole terminal rebuild programme, 4-5 September 2026</w:t>
      </w:r>
    </w:p>
    <w:p>
      <w:pPr>
        <w:spacing w:after="100"/>
      </w:pPr>
      <w:r>
        <w:rPr>
          <w:b w:val="0"/>
          <w:i w:val="0"/>
          <w:color w:val="1A1D21"/>
          <w:sz w:val="21"/>
        </w:rPr>
        <w:t>terminal_value.build() computes tv = fcff x (1+g) / (w - g), so the first perpetuity year sits in the NUMERATOR and the terminal is valued at the END of the last explicit year — which is where every caller discounts it. Its inputs must therefore be the LAST EXPLICIT YEAR's profit, book depreciation and working capital. Six of the eight studies using it handed over the year AFTER, already grown, and the module grew them again: every one of those terminals was overstated by exactly (1+g), from 2.0% in the pegged markets to 7.0% in Egypt. NOTHING COULD SEE IT. The module cannot — a number is a number and no signature distinguishes this year's profit from next year's. The recalculation gates cannot — the workbook reproduced the model to the cell, because the workbook was built from the same wrong inputs. The prose-figure gate cannot — every figure was computed. The terminal floor gate cannot — a terminal that is 7% too big still clears a floor that is 7% too big. WHAT FOUND IT WAS A COMMENT: one study's own code recorded that three independent critiques had found the identical defect in its hand-rolled terminal, and reading that comment is what prompted asking the same question of the shared module. THE RULE: where a function takes a QUANTITY THAT CARRIES A DATE, the date is part of the contract and belongs in the field name, the docstring and the field comment — not in the author's head. And a module whose arithmetic already applies the growth must SAY SO where the caller looks, because the caller is reading its own model, not the module's.</w:t>
      </w:r>
    </w:p>
    <w:p>
      <w:pPr>
        <w:spacing w:after="60"/>
        <w:ind w:left="283"/>
      </w:pPr>
      <w:r>
        <w:rPr>
          <w:b w:val="0"/>
          <w:i w:val="0"/>
          <w:color w:val="5B6570"/>
          <w:sz w:val="19"/>
        </w:rPr>
        <w:t>How we know.  Six of eight callers — RIYADHCABLE, SAVOLA, AIRARABIA, EMPOWER, DU, MODON — plus the unspent EGCH pricing. Every correction was DOWNWARD and every one was the same size: exactly (1+g) off the terminal, which on MODON took the central from 3.9119 to 3.8583 and on EGCH's unshipped pricing took the terminal from 25,524 to 23,854. Two of the eight were right, and both were right because their authors had been forced to think about the year explicitly for another reason. On MODON the defect survived a first pass: the base call site was corrected and the SENSITIVITY engine was not, so the grid was centred on a point the study does not publish, and the only thing that caught it was that study's own assertion that the grid must reproduce the base at the unshifted point.</w:t>
      </w:r>
    </w:p>
    <w:p>
      <w:pPr>
        <w:spacing w:after="160"/>
        <w:ind w:left="283"/>
      </w:pPr>
      <w:r>
        <w:rPr>
          <w:b w:val="0"/>
          <w:i w:val="0"/>
          <w:color w:val="5B6570"/>
          <w:sz w:val="19"/>
        </w:rPr>
        <w:t>What would overturn it.  A caller that legitimately strikes its terminal one year later and discounts it at that later factor — the convention is a pair, and only mixing the halves is wrong.</w:t>
      </w:r>
    </w:p>
    <w:p>
      <w:pPr>
        <w:keepNext/>
        <w:spacing w:before="240" w:after="60"/>
      </w:pPr>
      <w:r>
        <w:rPr>
          <w:b/>
          <w:color w:val="1A1D21"/>
          <w:sz w:val="22"/>
        </w:rPr>
        <w:t>L-330  A DEFECT CAN MANUFACTURE AGREEMENT AS EASILY AS DISAGREEMENT, AND AGREEMENT IS THE ONE NOBODY RE-CHECKS</w:t>
      </w:r>
    </w:p>
    <w:p>
      <w:pPr>
        <w:keepNext/>
        <w:spacing w:after="100"/>
      </w:pPr>
      <w:r>
        <w:rPr>
          <w:b/>
          <w:color w:val="1D6FA3"/>
          <w:sz w:val="16"/>
        </w:rPr>
        <w:t>EVERY STUDY</w:t>
      </w:r>
      <w:r>
        <w:rPr>
          <w:color w:val="5B6570"/>
          <w:sz w:val="16"/>
        </w:rPr>
        <w:t xml:space="preserve">   applies to every study   ·   learned from a found while building, EGCH's terminal evidence, restated 5 September 2026</w:t>
      </w:r>
    </w:p>
    <w:p>
      <w:pPr>
        <w:spacing w:after="100"/>
      </w:pPr>
      <w:r>
        <w:rPr>
          <w:b w:val="0"/>
          <w:i w:val="0"/>
          <w:color w:val="1A1D21"/>
          <w:sz w:val="21"/>
        </w:rPr>
        <w:t>Two independent routes landing on the same answer is the strongest corroboration this method has, and it is treated as such — which is exactly why it needs auditing at least as hard as a surprise does. A disagreement provokes investigation by itself; an agreement closes the question. So an error that happens to move one of the two numbers ONTO the other is not merely undetected, it is actively protected, and it gets written up as evidence. THE PRACTICAL FORM: when two routes agree closely, ask what would have to be true for them to agree, and check that it is — a shared input, a shared convention, or a coincidence in the size of the errors. Where they agree BECAUSE they share the thing under test, the agreement is a tautology wearing a corroboration's clothes.</w:t>
      </w:r>
    </w:p>
    <w:p>
      <w:pPr>
        <w:spacing w:after="60"/>
        <w:ind w:left="283"/>
      </w:pPr>
      <w:r>
        <w:rPr>
          <w:b w:val="0"/>
          <w:i w:val="0"/>
          <w:color w:val="5B6570"/>
          <w:sz w:val="19"/>
        </w:rPr>
        <w:t>How we know.  The evidence file reported the sanctioned terminal construction landing at 3.2905 against the study's own separately-priced alternative of 3.2396 — 1.6% apart, built months apart by different routes — and called it 'the strongest corroboration available and it was not looked for'. It was an artefact: the sanctioned figure carried the (1+g) growth-basis defect of L-329, and correcting it moved that number to 2.9877 while the study's own alternative, built inside the study's own correct convention, did not move at all. The two now differ by 8.4%. The corroboration survives in direction and not in force, and the reason it looked remarkable was an error running one way by 7%.</w:t>
      </w:r>
    </w:p>
    <w:p>
      <w:pPr>
        <w:spacing w:after="160"/>
        <w:ind w:left="283"/>
      </w:pPr>
      <w:r>
        <w:rPr>
          <w:b w:val="0"/>
          <w:i w:val="0"/>
          <w:color w:val="5B6570"/>
          <w:sz w:val="19"/>
        </w:rPr>
        <w:t>What would overturn it.  An agreement that holds after every shared input and shared convention between the two routes has been named and varied — which is the test that should have been run in the first place.</w:t>
      </w:r>
    </w:p>
    <w:p>
      <w:pPr>
        <w:keepNext/>
        <w:spacing w:before="240" w:after="60"/>
      </w:pPr>
      <w:r>
        <w:rPr>
          <w:b/>
          <w:color w:val="1A1D21"/>
          <w:sz w:val="22"/>
        </w:rPr>
        <w:t>L-331  A CORRECTION THAT MAKES A QUANTITY LOAD-BEARING MAKES EVERY ERROR IN THAT QUANTITY VISIBLE</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Under the retired terminal, book depreciation entered only through profit: overstate it and the value falls a little. Under the sanctioned one it is added back AND is the base of the replacement charge, so an overstated figure takes value out twice and the second bite is larger than the first. A defect that had sat in a delivered study through four editions and several rounds of outside critique became findable within an hour of the construction changing — not because anyone looked harder, but because the quantity started carrying weight. THE PRACTICAL FORM: when a rebuild promotes a number from a bit-part to a driver, re-derive that number from its own definition before trusting the rebuild. The question that finds it is the one the old construction never had to ask — here, 'what exactly should the depreciation add-back be?', which a model that never adds depreciation back has no occasion to pose.</w:t>
      </w:r>
    </w:p>
    <w:p>
      <w:pPr>
        <w:spacing w:after="60"/>
        <w:ind w:left="283"/>
      </w:pPr>
      <w:r>
        <w:rPr>
          <w:b w:val="0"/>
          <w:i w:val="0"/>
          <w:color w:val="5B6570"/>
          <w:sz w:val="19"/>
        </w:rPr>
        <w:t>How we know.  The explicit window depreciated a plant under construction as it was spent, so the last explicit year carried EGP 482mn of charge on the part in service; the terminal then charged the whole plant on top. Worth 30.4% of the equity — larger than the sanctioned terminal correction itself, which was 29.3% — and it survived the editions in which depreciation only depressed profit.</w:t>
      </w:r>
    </w:p>
    <w:p>
      <w:pPr>
        <w:spacing w:after="160"/>
        <w:ind w:left="283"/>
      </w:pPr>
      <w:r>
        <w:rPr>
          <w:b w:val="0"/>
          <w:i w:val="0"/>
          <w:color w:val="5B6570"/>
          <w:sz w:val="19"/>
        </w:rPr>
        <w:t>What would overturn it.  A rebuild that promotes a quantity and finds no error in it. That is the ordinary case and it is worth recording when it happens, because this lesson otherwise only ever gets confirming evidence.</w:t>
      </w:r>
    </w:p>
    <w:p>
      <w:pPr>
        <w:keepNext/>
        <w:spacing w:before="240" w:after="60"/>
      </w:pPr>
      <w:r>
        <w:rPr>
          <w:b/>
          <w:color w:val="1A1D21"/>
          <w:sz w:val="22"/>
        </w:rPr>
        <w:t>L-332  WHERE TWO BRANCHES OF ONE MODEL DO THE SAME STEP DIFFERENTLY, THE DISCREPANCY IS THE FINDING</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A study publishing two scenarios should differ between them in exactly the thing the scenarios are about, and in nothing else. So a step that one branch performs and the other does not is either a real economic difference — which must be stated — or a defect in one of them, and the branch that does MORE work is usually the right one, because somebody had to think about that branch to write it. THE CHEAP TEST: put the two branches' formulas for the shared steps side by side and require them to be IDENTICAL. Anything that is not identical is either named as the scenario's own difference or is a bug, and there is no third case.</w:t>
      </w:r>
    </w:p>
    <w:p>
      <w:pPr>
        <w:spacing w:after="60"/>
        <w:ind w:left="283"/>
      </w:pPr>
      <w:r>
        <w:rPr>
          <w:b w:val="0"/>
          <w:i w:val="0"/>
          <w:color w:val="5B6570"/>
          <w:sz w:val="19"/>
        </w:rPr>
        <w:t>How we know.  The programme-stopped branch stripped the project's in-service depreciation before grossing the last explicit year; the carried-through branch did not, and charged that depreciation twice. The stopped branch had been written later and more carefully, and it was right. Corrected, both branches carry the IDENTICAL year-five formula and differ only in the project's own revenue, profit and depreciation — which is what the difference between them is supposed to be, and the identity of the two formulas is now itself the check.</w:t>
      </w:r>
    </w:p>
    <w:p>
      <w:pPr>
        <w:spacing w:after="160"/>
        <w:ind w:left="283"/>
      </w:pPr>
      <w:r>
        <w:rPr>
          <w:b w:val="0"/>
          <w:i w:val="0"/>
          <w:color w:val="5B6570"/>
          <w:sz w:val="19"/>
        </w:rPr>
        <w:t>What would overturn it.  A pair of branches whose shared steps legitimately differ — which happens where a scenario changes the accounting rather than the economics — in which case the difference is stated in the record and this test is run against the statement instead of against identity.</w:t>
      </w:r>
    </w:p>
    <w:p>
      <w:pPr>
        <w:keepNext/>
        <w:spacing w:before="240" w:after="60"/>
      </w:pPr>
      <w:r>
        <w:rPr>
          <w:b/>
          <w:color w:val="1A1D21"/>
          <w:sz w:val="22"/>
        </w:rPr>
        <w:t>L-333  A FIGURE REMEMBERED THROUGH A RATIO IN PROSE IS NOT A FIGURE YOU HOLD, AND WRITING IT DOWN AGAIN IS FABRICATION</w:t>
      </w:r>
    </w:p>
    <w:p>
      <w:pPr>
        <w:keepNext/>
        <w:spacing w:after="100"/>
      </w:pPr>
      <w:r>
        <w:rPr>
          <w:b/>
          <w:color w:val="1D6FA3"/>
          <w:sz w:val="16"/>
        </w:rPr>
        <w:t>EVERY STUDY</w:t>
      </w:r>
      <w:r>
        <w:rPr>
          <w:color w:val="5B6570"/>
          <w:sz w:val="16"/>
        </w:rPr>
        <w:t xml:space="preserve">   applies to every study   ·   learned from a self-audit, the EGCH terminal rebuild, caught in its own commit, 5 September 2026</w:t>
      </w:r>
    </w:p>
    <w:p>
      <w:pPr>
        <w:spacing w:after="100"/>
      </w:pPr>
      <w:r>
        <w:rPr>
          <w:b w:val="0"/>
          <w:i w:val="0"/>
          <w:color w:val="1A1D21"/>
          <w:sz w:val="21"/>
        </w:rPr>
        <w:t>An internal evidence note recorded a corroboration as a computed ratio — 'the prior year's column says the same thing, life 26.14 and age 4.14'. Registering that corroboration in the study's own input register needs the two FIGURES behind the ratio, and they were not in the note; only the ratio was. Reconstructing them from the ratio would produce numbers that look exactly like read figures, foot against each other perfectly, and carry a source field naming a filing nobody re-opened. SIGCM clause 1 forbids it and the reason is not pedantry: the fabricated cell is invisible afterwards precisely BECAUSE it was derived from something true. The rule: a prose record proves that a reading happened, never what was read. To register a figure, re-read it or leave it out and shorten the claim.</w:t>
      </w:r>
    </w:p>
    <w:p>
      <w:pPr>
        <w:spacing w:after="60"/>
        <w:ind w:left="283"/>
      </w:pPr>
      <w:r>
        <w:rPr>
          <w:b w:val="0"/>
          <w:i w:val="0"/>
          <w:color w:val="5B6570"/>
          <w:sz w:val="19"/>
        </w:rPr>
        <w:t>How we know.  A prior-year accumulated-depreciation figure was typed into the input register to carry a cross-check the evidence file had recorded as a ratio. It was removed in the same session before it was committed, and the cross-check now lives only in the internal evidence file where it was actually measured. The study's claim is one year shorter and true.</w:t>
      </w:r>
    </w:p>
    <w:p>
      <w:pPr>
        <w:spacing w:after="160"/>
        <w:ind w:left="283"/>
      </w:pPr>
      <w:r>
        <w:rPr>
          <w:b w:val="0"/>
          <w:i w:val="0"/>
          <w:color w:val="5B6570"/>
          <w:sz w:val="19"/>
        </w:rPr>
        <w:t>What would overturn it.  Nothing overturns it; what LIMITS it is that a prose record written with the figures in it is a perfectly good source for them — which is the argument for writing evidence notes with the numbers rather than with the conclusions.</w:t>
      </w:r>
    </w:p>
    <w:p>
      <w:pPr>
        <w:keepNext/>
        <w:spacing w:before="240" w:after="60"/>
      </w:pPr>
      <w:r>
        <w:rPr>
          <w:b/>
          <w:color w:val="1A1D21"/>
          <w:sz w:val="22"/>
        </w:rPr>
        <w:t>L-334  A CLAIM ABOUT A POPULATION MADE FROM THE SHAPE OF THE PROBLEM IS A GUESS, AND IT READS EXACTLY LIKE A MEASUREMENT</w:t>
      </w:r>
    </w:p>
    <w:p>
      <w:pPr>
        <w:keepNext/>
        <w:spacing w:after="100"/>
      </w:pPr>
      <w:r>
        <w:rPr>
          <w:b/>
          <w:color w:val="1D6FA3"/>
          <w:sz w:val="16"/>
        </w:rPr>
        <w:t>EVERY STUDY</w:t>
      </w:r>
      <w:r>
        <w:rPr>
          <w:color w:val="5B6570"/>
          <w:sz w:val="16"/>
        </w:rPr>
        <w:t xml:space="preserve">   applies to every study   ·   learned from a self-audit, three population claims in one night, 5 September 2026</w:t>
      </w:r>
    </w:p>
    <w:p>
      <w:pPr>
        <w:spacing w:after="100"/>
      </w:pPr>
      <w:r>
        <w:rPr>
          <w:b w:val="0"/>
          <w:i w:val="0"/>
          <w:color w:val="1A1D21"/>
          <w:sz w:val="21"/>
        </w:rPr>
        <w:t>The dangerous ones are not wild guesses; they are the plausible summaries a competent reading of the situation produces — 'the causes split three ways', 'both remaining names are Egyptian', 'these studies still carry the retired blend'. Each is the kind of sentence somebody writes to organise their own thinking and then leaves in a commit message, a state file or a standing lesson, where the next reader takes it for something that was counted. THE TEST IS MECHANICAL AND CHEAP: before a sentence naming a set, a count or a shared cause goes anywhere durable, OPEN THE FILES AND COUNT. On the cases that produced this lesson it took five minutes each and the guesses were wrong every time. AND WHEN ONE IS FOUND WRONG, CORRECT THE STRENGTH OF THE CLAIM AND NOT ONLY ITS ARITHMETIC — a hypothesis resting on four failures against one success with one test left is a different object from the same sentence with the count patched.</w:t>
      </w:r>
    </w:p>
    <w:p>
      <w:pPr>
        <w:spacing w:after="60"/>
        <w:ind w:left="283"/>
      </w:pPr>
      <w:r>
        <w:rPr>
          <w:b w:val="0"/>
          <w:i w:val="0"/>
          <w:color w:val="5B6570"/>
          <w:sz w:val="19"/>
        </w:rPr>
        <w:t>How we know.  (1) 'Two names remain on the retired construction and both are Egyptian' — wrong in both halves: one remained, and the other was a UAE filer, which also thinned the jurisdictional hypothesis the sentence was supporting. (2) 'The seven unreadable studies split three ways and some fixes are cheap' — the filename and dict-shape causes were real and NEITHER WAS SUFFICIENT; underneath, all seven need a valuation decision. (3) 'AMR and probably ADNOCDIST, ADNOCDRILL and BOROUGE carry the retired blend' — right for one, wrong for two, which carry a dual framing and a published range instead. Every one was written before the files were opened, and every one was corrected by opening them.</w:t>
      </w:r>
    </w:p>
    <w:p>
      <w:pPr>
        <w:spacing w:after="160"/>
        <w:ind w:left="283"/>
      </w:pPr>
      <w:r>
        <w:rPr>
          <w:b w:val="0"/>
          <w:i w:val="0"/>
          <w:color w:val="5B6570"/>
          <w:sz w:val="19"/>
        </w:rPr>
        <w:t>What would overturn it.  Nothing overturns it. What limits it is that a guess EXPLICITLY labelled as one, in a place that expects hypotheses, is a legitimate and useful thing to write down — the offence is the guess that travels into a durable record wearing a measurement's clothes.</w:t>
      </w:r>
    </w:p>
    <w:p>
      <w:pPr>
        <w:keepNext/>
        <w:spacing w:before="240" w:after="60"/>
      </w:pPr>
      <w:r>
        <w:rPr>
          <w:b/>
          <w:color w:val="1A1D21"/>
          <w:sz w:val="22"/>
        </w:rPr>
        <w:t>L-335  OPENING THE FILE IS NOT THE CHECK; THE CHECK IS NOT STOPPING AT THE FIRST READING THAT FITS</w:t>
      </w:r>
    </w:p>
    <w:p>
      <w:pPr>
        <w:keepNext/>
        <w:spacing w:after="100"/>
      </w:pPr>
      <w:r>
        <w:rPr>
          <w:b/>
          <w:color w:val="1D6FA3"/>
          <w:sz w:val="16"/>
        </w:rPr>
        <w:t>EVERY STUDY</w:t>
      </w:r>
      <w:r>
        <w:rPr>
          <w:color w:val="5B6570"/>
          <w:sz w:val="16"/>
        </w:rPr>
        <w:t xml:space="preserve">   applies to every study   ·   learned from a self-audit, the unreadable-studies diagnosis, three wrong versions, 5 September 2026</w:t>
      </w:r>
    </w:p>
    <w:p>
      <w:pPr>
        <w:spacing w:after="100"/>
      </w:pPr>
      <w:r>
        <w:rPr>
          <w:b w:val="0"/>
          <w:i w:val="0"/>
          <w:color w:val="1A1D21"/>
          <w:sz w:val="21"/>
        </w:rPr>
        <w:t>[L-334] says to open the files before writing a sentence that names a set. Within the hour of registering it I did open a file, read its top-level keys, found two fields called centre_A and centre_B, and wrote that the study 'carries two decided centres — a dual framing, not a blend, and it needs no valuation judgement at all'. Each centre was a typed four-lens weighted blend, and the weights were one level down in a field called items_A. THE READING WAS COHERENT, FITTED EVERY FACT IN VIEW, AND WAS WRONG — which is what makes this distinct from not looking. A partial reading does not feel partial; it feels like understanding, and the feeling arrives at exactly the moment the first consistent story forms. THE PRACTICAL FORM: when a structure is about to be characterised — 'this is a blend', 'these are branches', 'this is a range' — follow it to the LEAF that carries the arithmetic, and name that leaf in whatever is written. A claim that cites a line number cannot be made from the top-level keys.</w:t>
      </w:r>
    </w:p>
    <w:p>
      <w:pPr>
        <w:spacing w:after="60"/>
        <w:ind w:left="283"/>
      </w:pPr>
      <w:r>
        <w:rPr>
          <w:b w:val="0"/>
          <w:i w:val="0"/>
          <w:color w:val="5B6570"/>
          <w:sz w:val="19"/>
        </w:rPr>
        <w:t>How we know.  The corrected note names the exact line or field carrying each study's construction — lenses.items_A, fair_value.weights, compute.py:722, compute.py:505, compute.py:258-260, stc_compute.py:277, lenses.weights — and writing that column is what forced every row to be verified rather than inferred. It also overturned the note's own structure: all seven studies turned out to carry the same defect, so the 'ordered by what each needs' sequencing rested on a distinction that does not exist. THE CITATION COLUMN IS THE INSTRUMENT, not the discipline of the person filling it in.</w:t>
      </w:r>
    </w:p>
    <w:p>
      <w:pPr>
        <w:spacing w:after="160"/>
        <w:ind w:left="283"/>
      </w:pPr>
      <w:r>
        <w:rPr>
          <w:b w:val="0"/>
          <w:i w:val="0"/>
          <w:color w:val="5B6570"/>
          <w:sz w:val="19"/>
        </w:rPr>
        <w:t>What would overturn it.  A structure genuinely characterisable from its top level — which exists, and is why this is a habit rather than a bar: the test is whether the characterisation could be WRONG one level down, and if it could, go there.</w:t>
      </w:r>
    </w:p>
    <w:p>
      <w:pPr>
        <w:keepNext/>
        <w:spacing w:before="240" w:after="60"/>
      </w:pPr>
      <w:r>
        <w:rPr>
          <w:b/>
          <w:color w:val="1A1D21"/>
          <w:sz w:val="22"/>
        </w:rPr>
        <w:t>L-336  A SHARED INSTRUMENT IS ONLY SHARED IF SOMEBODY RUNS IT, AND THE HAND LIST WINS BECAUSE IT IS FASTER TO TYPE</w:t>
      </w:r>
    </w:p>
    <w:p>
      <w:pPr>
        <w:keepNext/>
        <w:spacing w:after="100"/>
      </w:pPr>
      <w:r>
        <w:rPr>
          <w:b/>
          <w:color w:val="1D6FA3"/>
          <w:sz w:val="16"/>
        </w:rPr>
        <w:t>EVERY STUDY</w:t>
      </w:r>
      <w:r>
        <w:rPr>
          <w:color w:val="5B6570"/>
          <w:sz w:val="16"/>
        </w:rPr>
        <w:t xml:space="preserve">   applies to every study   ·   learned from a self-audit, the BOROUGE push, caught by CI rather than by the sweep that preceded it, 5 September 2026</w:t>
      </w:r>
    </w:p>
    <w:p>
      <w:pPr>
        <w:spacing w:after="100"/>
      </w:pPr>
      <w:r>
        <w:rPr>
          <w:b w:val="0"/>
          <w:i w:val="0"/>
          <w:color w:val="1A1D21"/>
          <w:sz w:val="21"/>
        </w:rPr>
        <w:t>scripts/run_ci_gates.py exists precisely so a local sweep cannot drift from CI: it parses the workflow YAML and runs every step it finds, and its own docstring records the day somebody reported every gate green off a hand-maintained list while CI had been red for a day. Two days later this session did the identical thing — swept twenty-one check scripts named from memory, reported every one green, and pushed. CI was red on engine/fv_movement.py check, which is a workflow step rather than a scripts/check_*.py file and therefore invisible to a list built by guessing at filenames; two of the guessed names did not even exist and were reported as absent rather than as a hole in the sweep. The register was genuinely behind: a study had been rebuilt and its recorded branches never updated. The instrument was in the repository, was correct, was built for this exact failure, and was not run.</w:t>
      </w:r>
    </w:p>
    <w:p>
      <w:pPr>
        <w:spacing w:after="60"/>
        <w:ind w:left="283"/>
      </w:pPr>
      <w:r>
        <w:rPr>
          <w:b w:val="0"/>
          <w:i w:val="0"/>
          <w:color w:val="5B6570"/>
          <w:sz w:val="19"/>
        </w:rPr>
        <w:t>How we know.  The hand sweep reported 21 of 21 green and named two scripts that do not exist. CI ran two jobs and both failed on the same step, which the hand sweep never contained. Running scripts/run_ci_gates.py on the workflow reproduces the failure without a push.</w:t>
      </w:r>
    </w:p>
    <w:p>
      <w:pPr>
        <w:spacing w:after="160"/>
        <w:ind w:left="283"/>
      </w:pPr>
      <w:r>
        <w:rPr>
          <w:b w:val="0"/>
          <w:i w:val="0"/>
          <w:color w:val="5B6570"/>
          <w:sz w:val="19"/>
        </w:rPr>
        <w:t>What would overturn it.  Nothing overturns it. What would BLUNT it is a runner that cannot execute a workflow's steps locally at all — then the hand list is the only instrument there is, and the honest report says which population it covered rather than 'every gate'.</w:t>
      </w:r>
    </w:p>
    <w:p>
      <w:pPr>
        <w:keepNext/>
        <w:spacing w:before="240" w:after="60"/>
      </w:pPr>
      <w:r>
        <w:rPr>
          <w:b/>
          <w:color w:val="1A1D21"/>
          <w:sz w:val="22"/>
        </w:rPr>
        <w:t>L-337  A TAXONOMY KEYED ON WHAT SOMETHING IS CALLED WILL REFUSE AN ANSWER IT ALREADY HOLDS</w:t>
      </w:r>
    </w:p>
    <w:p>
      <w:pPr>
        <w:keepNext/>
        <w:spacing w:after="100"/>
      </w:pPr>
      <w:r>
        <w:rPr>
          <w:b/>
          <w:color w:val="1D6FA3"/>
          <w:sz w:val="16"/>
        </w:rPr>
        <w:t>EVERY STUDY</w:t>
      </w:r>
      <w:r>
        <w:rPr>
          <w:color w:val="5B6570"/>
          <w:sz w:val="16"/>
        </w:rPr>
        <w:t xml:space="preserve">   applies to every study   ·   learned from a found while building, GBCO read against research_protocol.LENS_REGISTRY, 5 September 2026</w:t>
      </w:r>
    </w:p>
    <w:p>
      <w:pPr>
        <w:spacing w:after="100"/>
      </w:pPr>
      <w:r>
        <w:rPr>
          <w:b w:val="0"/>
          <w:i w:val="0"/>
          <w:color w:val="1A1D21"/>
          <w:sz w:val="21"/>
        </w:rPr>
        <w:t>The lens registry is a closed enumeration keyed on industry names, and what it stores against each name is a LENS SET. Nine studies now cannot publish a lens record, and the sharpest of them is the one where the registry already contains the right answer: GB Corp is valued on split legs with a sum-of-the-parts primary and a relative multiple and book beside it, which is EXACTLY the set stored under 'holding company' — and it may not use that row, because GB Corp is an auto assembler with a captive lender and a holding company IS its stakes. The refusal is on the row's NAME and on nothing else. Where the key and the payload answer different questions, every new case is either a new key for a payload that already exists or a subject filed under the wrong name, and neither is a taxonomy.</w:t>
      </w:r>
    </w:p>
    <w:p>
      <w:pPr>
        <w:spacing w:after="60"/>
        <w:ind w:left="283"/>
      </w:pPr>
      <w:r>
        <w:rPr>
          <w:b w:val="0"/>
          <w:i w:val="0"/>
          <w:color w:val="5B6570"/>
          <w:sz w:val="19"/>
        </w:rPr>
        <w:t>How we know.  Thirteen rows; three of them store an identical lens set under three industry names. Of the nine names blocked, not one needs a lens the registry lacks. GBCO needs a set the registry stores once, under a name that is a real and different subject.</w:t>
      </w:r>
    </w:p>
    <w:p>
      <w:pPr>
        <w:spacing w:after="160"/>
        <w:ind w:left="283"/>
      </w:pPr>
      <w:r>
        <w:rPr>
          <w:b w:val="0"/>
          <w:i w:val="0"/>
          <w:color w:val="5B6570"/>
          <w:sz w:val="19"/>
        </w:rPr>
        <w:t>What would overturn it.  It is overturned if a blocked name turns up needing a LENS the registry does not hold — that would be a genuine gap in coverage rather than in naming, and the fix would be a new row rather than a renamed one. EMPOWER is the near miss: its blend carries a normalised-earnings lens that appears in no row, and that lens has to GO rather than be added, so it does not overturn this.</w:t>
      </w:r>
    </w:p>
    <w:p>
      <w:pPr>
        <w:keepNext/>
        <w:spacing w:before="240" w:after="60"/>
      </w:pPr>
      <w:r>
        <w:rPr>
          <w:b/>
          <w:color w:val="1A1D21"/>
          <w:sz w:val="22"/>
        </w:rPr>
        <w:t>L-338  THE RATIO THAT SAYS WHETHER A BASE IS OLD NEEDS NO DEPRECIATION CHARGE, WHICH IS WHY IT SURVIVES A CONTAMINATED ONE</w:t>
      </w:r>
    </w:p>
    <w:p>
      <w:pPr>
        <w:keepNext/>
        <w:spacing w:after="100"/>
      </w:pPr>
      <w:r>
        <w:rPr>
          <w:b/>
          <w:color w:val="1D6FA3"/>
          <w:sz w:val="16"/>
        </w:rPr>
        <w:t>EVERY STUDY</w:t>
      </w:r>
      <w:r>
        <w:rPr>
          <w:color w:val="5B6570"/>
          <w:sz w:val="16"/>
        </w:rPr>
        <w:t xml:space="preserve">   applies to every study   ·   learned from a found while building, the STC terminal evidence, 5 September 2026</w:t>
      </w:r>
    </w:p>
    <w:p>
      <w:pPr>
        <w:spacing w:after="100"/>
      </w:pPr>
      <w:r>
        <w:rPr>
          <w:b w:val="0"/>
          <w:i w:val="0"/>
          <w:color w:val="1A1D21"/>
          <w:sz w:val="21"/>
        </w:rPr>
        <w:t>Both identities used to age a fixed-asset base divide by the YEAR'S CHARGE — gross cost over charge gives the weighted life, accumulated over charge gives the charge-weighted age — and in most filings that line reads 'depreciation AND IMPAIRMENT' with no split disclosed, so both quantities carry whatever impairment is inside it. The DEPRECIATED SHARE, accumulated depreciation over depreciable gross cost, has no charge in it at all. It answers the question the terminal actually turns on — is this base young or old — and it is immune to the contamination, because the impairment sits in both columns of the roll-forward rather than in the ratio between them. Where the charge is contaminated, say so and give the direction, and lead with the ratio that is not.</w:t>
      </w:r>
    </w:p>
    <w:p>
      <w:pPr>
        <w:spacing w:after="60"/>
        <w:ind w:left="283"/>
      </w:pPr>
      <w:r>
        <w:rPr>
          <w:b w:val="0"/>
          <w:i w:val="0"/>
          <w:color w:val="5B6570"/>
          <w:sz w:val="19"/>
        </w:rPr>
        <w:t>How we know.  STC's note reads 'Depreciation and impairment' with no split. The implied life moves from 20.86 to 22.12 years and the measured age from 15.23 to 16.15 depending which of the two disclosed charge figures is used — about 6% on each — while the depreciated share is 73.0% on either, because the charge cancels. The direction is knowable too: impairment inside the charge shortens both, which understates the escalation to current cost, which understates maintenance, which overstates value.</w:t>
      </w:r>
    </w:p>
    <w:p>
      <w:pPr>
        <w:spacing w:after="160"/>
        <w:ind w:left="283"/>
      </w:pPr>
      <w:r>
        <w:rPr>
          <w:b w:val="0"/>
          <w:i w:val="0"/>
          <w:color w:val="5B6570"/>
          <w:sz w:val="19"/>
        </w:rPr>
        <w:t>What would overturn it.  It is overturned where impairment is written off against the COST column rather than the accumulated column, which some presentations do — then the depreciated share moves with the impairment as well and the immunity is gone. Read which column the roll-forward puts it in before relying on this.</w:t>
      </w:r>
    </w:p>
    <w:p>
      <w:pPr>
        <w:keepNext/>
        <w:spacing w:before="240" w:after="60"/>
      </w:pPr>
      <w:r>
        <w:rPr>
          <w:b/>
          <w:color w:val="1A1D21"/>
          <w:sz w:val="22"/>
        </w:rPr>
        <w:t>L-339  A BLOCKER RECORDED INSIDE A STUDY'S OWN ARTEFACT IS RE-CHECKED BY NOTHING, AND IT GOES ON ASKING AFTER IT HAS BEEN ANSWERED</w:t>
      </w:r>
    </w:p>
    <w:p>
      <w:pPr>
        <w:keepNext/>
        <w:spacing w:after="100"/>
      </w:pPr>
      <w:r>
        <w:rPr>
          <w:b/>
          <w:color w:val="1D6FA3"/>
          <w:sz w:val="16"/>
        </w:rPr>
        <w:t>EVERY STUDY</w:t>
      </w:r>
      <w:r>
        <w:rPr>
          <w:color w:val="5B6570"/>
          <w:sz w:val="16"/>
        </w:rPr>
        <w:t xml:space="preserve">   applies to every study   ·   learned from a found while building, GBCO and STC read to the leaf, 5 September 2026</w:t>
      </w:r>
    </w:p>
    <w:p>
      <w:pPr>
        <w:spacing w:after="100"/>
      </w:pPr>
      <w:r>
        <w:rPr>
          <w:b w:val="0"/>
          <w:i w:val="0"/>
          <w:color w:val="1A1D21"/>
          <w:sz w:val="21"/>
        </w:rPr>
        <w:t>[R-IND-01] made a question to the principal an ARTEFACT rather than a message, and its gate re-checks every open entry against every live ref precisely so an entry cannot go on asking for something already supplied. That polices the escalation REGISTER. A blocker written into a study's own JSON is outside it: nothing globs for one, nothing re-tests its resolving condition, and it reads as current for as long as it sits there. Two studies carried the identical field — 'this market's own sovereign default spread, on both bases, read fresh from the original source; not reconstructed from memory: stop and inform' — and a rule adopted three days earlier had put exactly those figures in the house macro path for every market. Where a process records that it is waiting for something, the record has to be somewhere a checker can find it, or the waiting is permanent.</w:t>
      </w:r>
    </w:p>
    <w:p>
      <w:pPr>
        <w:spacing w:after="60"/>
        <w:ind w:left="283"/>
      </w:pPr>
      <w:r>
        <w:rPr>
          <w:b w:val="0"/>
          <w:i w:val="0"/>
          <w:color w:val="5B6570"/>
          <w:sz w:val="19"/>
        </w:rPr>
        <w:t>How we know.  A sweep of every JSON in every study directory for a field naming a blocker returns exactly two, both wacc_reissue_blocked_on, both asking for a sovereign default spread. engine/macro_paths/EG.json carries Egypt's at 6.37% rating and 3.41% market; SA.json carries Saudi Arabia's at 0.51% and 0.98%. Both were sourced and dated on 2-3 September; both blockers were written in July and August.</w:t>
      </w:r>
    </w:p>
    <w:p>
      <w:pPr>
        <w:spacing w:after="160"/>
        <w:ind w:left="283"/>
      </w:pPr>
      <w:r>
        <w:rPr>
          <w:b w:val="0"/>
          <w:i w:val="0"/>
          <w:color w:val="5B6570"/>
          <w:sz w:val="19"/>
        </w:rPr>
        <w:t>What would overturn it.  It is overturned by a checker that reads study artefacts for blocker fields and re-tests each one — which is the obvious fix and is not made here, because two instances is a thin population to design a gate against and the cheaper move is to write blockers into the escalation register, where a gate already exists.</w:t>
      </w:r>
    </w:p>
    <w:p>
      <w:pPr>
        <w:keepNext/>
        <w:spacing w:before="240" w:after="60"/>
      </w:pPr>
      <w:r>
        <w:rPr>
          <w:b/>
          <w:color w:val="1A1D21"/>
          <w:sz w:val="22"/>
        </w:rPr>
        <w:t>L-340  A GATE'S POPULATION IS DEFINED BY A SHAPE AND THE THING IT GOVERNS KEEPS ARRIVING IN ANOTHER ONE</w:t>
      </w:r>
    </w:p>
    <w:p>
      <w:pPr>
        <w:keepNext/>
        <w:spacing w:after="100"/>
      </w:pPr>
      <w:r>
        <w:rPr>
          <w:b/>
          <w:color w:val="1D6FA3"/>
          <w:sz w:val="16"/>
        </w:rPr>
        <w:t>EVERY STUDY</w:t>
      </w:r>
      <w:r>
        <w:rPr>
          <w:color w:val="5B6570"/>
          <w:sz w:val="16"/>
        </w:rPr>
        <w:t xml:space="preserve">   applies to every study   ·   learned from a self-audit, the terminal, band-vocabulary and exemplar-debt gates, all found on 5 September 2026</w:t>
      </w:r>
    </w:p>
    <w:p>
      <w:pPr>
        <w:spacing w:after="100"/>
      </w:pPr>
      <w:r>
        <w:rPr>
          <w:b w:val="0"/>
          <w:i w:val="0"/>
          <w:color w:val="1A1D21"/>
          <w:sz w:val="21"/>
        </w:rPr>
        <w:t>Three gates were found blind on one night, each for the same reason and none of them for a reason anyone would call carelessness. The 1/g terminal gate sorted studies into `unreadable` and `scored` and never named the state between them — the terminal resolves, the charge does not — so four studies sat in a bucket nothing reported, one of them carrying the retired construction in plain sight in its own compute.py. The verdict-vocabulary gate holds a list of banned phrasings, was widened two days earlier with a comment saying a rule like this 'is not enforced by banning the word people happened to use for it last time', and was then defeated by a HYPHEN: it looks for 'random walk' and three delivered documents wrote 'random-walk benchmark' and 'no-information benchmark'. The exemplar-debt gate matched a ratchet entry only as a list item equal to a ticker, while three ratchets store their entries as a dict keyed by ticker and two as document paths — so the gate whose whole purpose is to notice the exemplar acquiring debt reported one entry where there were five. IN EVERY CASE THE RULE WAS RIGHT, THE CODE WAS CORRECT FOR WHAT IT LOOKED AT, AND THE POPULATION WAS A GUESS ABOUT WHAT THE WORLD WOULD LOOK LIKE. Where a gate enumerates, enumerate the SHAPES the thing actually arrives in, and make the residue a named bucket rather than an absence.</w:t>
      </w:r>
    </w:p>
    <w:p>
      <w:pPr>
        <w:spacing w:after="60"/>
        <w:ind w:left="283"/>
      </w:pPr>
      <w:r>
        <w:rPr>
          <w:b w:val="0"/>
          <w:i w:val="0"/>
          <w:color w:val="5B6570"/>
          <w:sz w:val="19"/>
        </w:rPr>
        <w:t>How we know.  check_terminal_floor: 24 directories, 20 readable, 16 scored, and the missing 4 reported nowhere. check_band_vocabulary: 3 delivered documents publishing the retired skill verdict, one of them the exemplar, none matched. check_exemplar_debt: 1 entry reported against 5 on disk, and the rule's own adoption note records 8.</w:t>
      </w:r>
    </w:p>
    <w:p>
      <w:pPr>
        <w:spacing w:after="160"/>
        <w:ind w:left="283"/>
      </w:pPr>
      <w:r>
        <w:rPr>
          <w:b w:val="0"/>
          <w:i w:val="0"/>
          <w:color w:val="5B6570"/>
          <w:sz w:val="19"/>
        </w:rPr>
        <w:t>What would overturn it.  It is overturned where a residue is genuinely empty by construction and can be proved so — then naming the bucket adds a line nobody reads. What does NOT overturn it is a residue that happens to be empty today, which is the state every one of these three was in on the day it was written.</w:t>
      </w:r>
    </w:p>
    <w:p>
      <w:pPr>
        <w:keepNext/>
        <w:spacing w:before="240" w:after="60"/>
      </w:pPr>
      <w:r>
        <w:rPr>
          <w:b/>
          <w:color w:val="1A1D21"/>
          <w:sz w:val="22"/>
        </w:rPr>
        <w:t>L-341  TAKING THE SHARED INSTRUMENT IS WHAT HID THE GATE FROM THE META-CHECK, AND THE ADVICE WAS STILL RIGHT</w:t>
      </w:r>
    </w:p>
    <w:p>
      <w:pPr>
        <w:keepNext/>
        <w:spacing w:after="100"/>
      </w:pPr>
      <w:r>
        <w:rPr>
          <w:b/>
          <w:color w:val="1D6FA3"/>
          <w:sz w:val="16"/>
        </w:rPr>
        <w:t>EVERY STUDY</w:t>
      </w:r>
      <w:r>
        <w:rPr>
          <w:color w:val="5B6570"/>
          <w:sz w:val="16"/>
        </w:rPr>
        <w:t xml:space="preserve">   applies to every study   ·   learned from a self-audit, the new-study gauntlet, 5 September 2026</w:t>
      </w:r>
    </w:p>
    <w:p>
      <w:pPr>
        <w:spacing w:after="100"/>
      </w:pPr>
      <w:r>
        <w:rPr>
          <w:b w:val="0"/>
          <w:i w:val="0"/>
          <w:color w:val="1A1D21"/>
          <w:sz w:val="21"/>
        </w:rPr>
        <w:t>The new-study gauntlet decides which gates it must hold against an empty study directory by scanning each gate's own SOURCE for a study path — a rule its own comment already widened once, when five gates turned out to construct the path rather than glob it. One gate defeated even that, and for the best possible reason: it hands its population to a shared census module, so the glob lives there and its own source carried no study path at all. IT HAS RUN OVER EVERY STUDY DIRECTORY SINCE THE DAY IT WAS WRITTEN AND THE GAUNTLET HAD NEVER TESTED IT. What surfaced it was luck: an unrelated comment added to that gate for another reason happened to name a study path, and the gauntlet went red the next time it ran. THE TENSION IS REAL AND THE RESOLUTION IS NOT TO STOP SHARING: a detector that reads only the caller punishes exactly the behaviour this house asks for — import the shared instrument rather than hand-rolling one. So the detector follows first-party imports one level down, and a gate that delegates its population is still a gate over that population.</w:t>
      </w:r>
    </w:p>
    <w:p>
      <w:pPr>
        <w:spacing w:after="60"/>
        <w:ind w:left="283"/>
      </w:pPr>
      <w:r>
        <w:rPr>
          <w:b w:val="0"/>
          <w:i w:val="0"/>
          <w:color w:val="5B6570"/>
          <w:sz w:val="19"/>
        </w:rPr>
        <w:t>How we know.  The gauntlet reported 28 of 28 gates refusing a new study while a 29th, running over every study directory through an imported census, was named in none of its three lists. With the study-path comments stripped out of that gate's source, the widened import route still detects it; the literal scan does not.</w:t>
      </w:r>
    </w:p>
    <w:p>
      <w:pPr>
        <w:spacing w:after="160"/>
        <w:ind w:left="283"/>
      </w:pPr>
      <w:r>
        <w:rPr>
          <w:b w:val="0"/>
          <w:i w:val="0"/>
          <w:color w:val="5B6570"/>
          <w:sz w:val="19"/>
        </w:rPr>
        <w:t>What would overturn it.  It is overturned by a detector that resolves the population at RUNTIME rather than by reading source — which would be strictly better and needs every gate to declare its population in a form a caller can query. One level of import is the cheap approximation, and a gate that delegates two levels down is still invisible.</w:t>
      </w:r>
    </w:p>
    <w:p>
      <w:pPr>
        <w:keepNext/>
        <w:spacing w:before="240" w:after="60"/>
      </w:pPr>
      <w:r>
        <w:rPr>
          <w:b/>
          <w:color w:val="1A1D21"/>
          <w:sz w:val="22"/>
        </w:rPr>
        <w:t>L-342  A DECOMPOSITION WHOSE STEPS ALL READ THE SAME MUTABLE FILE COLLAPSES SILENTLY, AND THE COLLAPSED VERSION STILL WALKS</w:t>
      </w:r>
    </w:p>
    <w:p>
      <w:pPr>
        <w:keepNext/>
        <w:spacing w:after="100"/>
      </w:pPr>
      <w:r>
        <w:rPr>
          <w:b/>
          <w:color w:val="1D6FA3"/>
          <w:sz w:val="16"/>
        </w:rPr>
        <w:t>EVERY STUDY</w:t>
      </w:r>
      <w:r>
        <w:rPr>
          <w:color w:val="5B6570"/>
          <w:sz w:val="16"/>
        </w:rPr>
        <w:t xml:space="preserve">   applies to every study   ·   learned from a found while building, the STC rebuild ledger, 5 September 2026</w:t>
      </w:r>
    </w:p>
    <w:p>
      <w:pPr>
        <w:spacing w:after="100"/>
      </w:pPr>
      <w:r>
        <w:rPr>
          <w:b w:val="0"/>
          <w:i w:val="0"/>
          <w:color w:val="1A1D21"/>
          <w:sz w:val="21"/>
        </w:rPr>
        <w:t>A rebuild ledger records what each correction was worth by storing the answer either side of it. The first draft of one read every lever's answer out of the study's CURRENT numbers file, which is the only place the answer lives — so the moment a fourth lever landed, the third lever's 'after' silently became the fourth's: the third read -18.27% where it was worth -13.75%, and the fourth read +0.00% where it was worth -5.25%. NOTHING ABOUT THAT IS DETECTABLE FROM THE LEDGER. The chain still starts where it started and ends where it ends, every link still joins, the cumulative figure is still exactly right, and the gate that walks it passes. One lever had simply been credited with another's work. THE FIX IS NOT CARE, IT IS AN IMMUTABLE SOURCE — each landed lever's answer now comes from the COMMIT that landed it, because version control is the only record in the room that the next run cannot overwrite. The same defect had been guarded against an hour earlier on a different artefact, by naming that file for its lever set so a later run writes a different file; the guard was right, and it was applied to the file somebody happened to be thinking about while the main record went on being read the wrong way.</w:t>
      </w:r>
    </w:p>
    <w:p>
      <w:pPr>
        <w:spacing w:after="60"/>
        <w:ind w:left="283"/>
      </w:pPr>
      <w:r>
        <w:rPr>
          <w:b w:val="0"/>
          <w:i w:val="0"/>
          <w:color w:val="5B6570"/>
          <w:sz w:val="19"/>
        </w:rPr>
        <w:t>How we know.  Levers read -18.27% and +0.00% against their true -13.75% and -5.25%; the cumulative -11.40% and both endpoints were unchanged either way, and the ledger gate passed both versions.</w:t>
      </w:r>
    </w:p>
    <w:p>
      <w:pPr>
        <w:spacing w:after="160"/>
        <w:ind w:left="283"/>
      </w:pPr>
      <w:r>
        <w:rPr>
          <w:b w:val="0"/>
          <w:i w:val="0"/>
          <w:color w:val="5B6570"/>
          <w:sz w:val="19"/>
        </w:rPr>
        <w:t>What would overturn it.  It is overturned where a process genuinely writes an immutable artefact per step — a per-state file named for its own step, which is the same remedy one level earlier and needs no version control at all. What would NOT overturn it is a checker on the ledger: a collapsed decomposition is internally consistent, so no amount of checking the record against itself can see it.</w:t>
      </w:r>
    </w:p>
    <w:p>
      <w:pPr>
        <w:keepNext/>
        <w:spacing w:before="240" w:after="60"/>
      </w:pPr>
      <w:r>
        <w:rPr>
          <w:b/>
          <w:color w:val="1A1D21"/>
          <w:sz w:val="22"/>
        </w:rPr>
        <w:t>L-343  RECORDING A FAILED SEARCH IS RIGHT, AND IT TURNS THE FAILURE INTO A COMMITTED FACT UNLESS THE RECORD SEPARATES WHAT WAS TRIED FROM WHAT EXISTS</w:t>
      </w:r>
    </w:p>
    <w:p>
      <w:pPr>
        <w:keepNext/>
        <w:spacing w:after="100"/>
      </w:pPr>
      <w:r>
        <w:rPr>
          <w:b/>
          <w:color w:val="1D6FA3"/>
          <w:sz w:val="16"/>
        </w:rPr>
        <w:t>EVERY STUDY</w:t>
      </w:r>
      <w:r>
        <w:rPr>
          <w:color w:val="5B6570"/>
          <w:sz w:val="16"/>
        </w:rPr>
        <w:t xml:space="preserve">   applies to every study   ·   learned from a found while building, STC's source register, 5 September 2026</w:t>
      </w:r>
    </w:p>
    <w:p>
      <w:pPr>
        <w:spacing w:after="100"/>
      </w:pPr>
      <w:r>
        <w:rPr>
          <w:b w:val="0"/>
          <w:i w:val="0"/>
          <w:color w:val="1A1D21"/>
          <w:sz w:val="21"/>
        </w:rPr>
        <w:t>A study's source register listed four investor-relations URLs, each returning the site's own 404 page under an HTTP 200, and concluded that the investor-relations path in the delivered study no longer resolved. Every word of that was true about those four URLs. It was false about the site: the sitemap listed a whole investor section including the presentations page, carrying every earnings deck and call transcript back to 2017 — and the sitemap was ALREADY the route that had found the financial statements in the same session. Nobody pointed it at the presentations. THE DISCIPLINE THAT CAUSED THIS IS THE RIGHT ONE: writing down what was attempted and what came back is exactly what the protocol asks for, and it is why the four URLs were on the page at all. What it lacked was the distinction between the two claims — 'these four addresses returned nothing' and 'this channel is gone' — because a register is precisely the artefact a later session trusts instead of searching again, so a negative written into one becomes durable in a way a failed command never is. The cost here was a study forecasting two thirds of its revenue from an extrapolated segment rate while the subscriber counts that would let it be built as volume times price sat one sitemap away, and the correction immediately showed the growth was VOLUME with price per subscriber falling about 3%, which the extrapolated rate nets out and hides.</w:t>
      </w:r>
    </w:p>
    <w:p>
      <w:pPr>
        <w:spacing w:after="60"/>
        <w:ind w:left="283"/>
      </w:pPr>
      <w:r>
        <w:rPr>
          <w:b w:val="0"/>
          <w:i w:val="0"/>
          <w:color w:val="5B6570"/>
          <w:sz w:val="19"/>
        </w:rPr>
        <w:t>How we know.  Four URLs recorded as failing; www.stc.com.sa/sitemap.xml listed the investor section and the presentations page resolved first try, carrying decks back to 2017.</w:t>
      </w:r>
    </w:p>
    <w:p>
      <w:pPr>
        <w:spacing w:after="160"/>
        <w:ind w:left="283"/>
      </w:pPr>
      <w:r>
        <w:rPr>
          <w:b w:val="0"/>
          <w:i w:val="0"/>
          <w:color w:val="5B6570"/>
          <w:sz w:val="19"/>
        </w:rPr>
        <w:t>What would overturn it.  It is overturned where a register records only the attempts and never a conclusion about the world — then there is no false claim to inherit. What would NOT overturn it is trying harder: four careful probes is not a small effort, and the defect was in what their failure was written up as, not in how many there were.</w:t>
      </w:r>
    </w:p>
    <w:p>
      <w:pPr>
        <w:keepNext/>
        <w:spacing w:before="240" w:after="60"/>
      </w:pPr>
      <w:r>
        <w:rPr>
          <w:b/>
          <w:color w:val="1A1D21"/>
          <w:sz w:val="22"/>
        </w:rPr>
        <w:t>L-344  A BUILD READS THE LINE IT EXPECTS AND NOT THE NOTE THE LINE POINTS AT, AND EVERY GATE IN THE ROOM IS BLIND TO IT</w:t>
      </w:r>
    </w:p>
    <w:p>
      <w:pPr>
        <w:keepNext/>
        <w:spacing w:after="100"/>
      </w:pPr>
      <w:r>
        <w:rPr>
          <w:b/>
          <w:color w:val="1D6FA3"/>
          <w:sz w:val="16"/>
        </w:rPr>
        <w:t>EVERY STUDY</w:t>
      </w:r>
      <w:r>
        <w:rPr>
          <w:color w:val="5B6570"/>
          <w:sz w:val="16"/>
        </w:rPr>
        <w:t xml:space="preserve">   applies to every study   ·   learned from a found while building, STC, AMOC and SCEM, August-September 2026</w:t>
      </w:r>
    </w:p>
    <w:p>
      <w:pPr>
        <w:spacing w:after="100"/>
      </w:pPr>
      <w:r>
        <w:rPr>
          <w:b w:val="0"/>
          <w:i w:val="0"/>
          <w:color w:val="1A1D21"/>
          <w:sz w:val="21"/>
        </w:rPr>
        <w:t>Three defects of one shape landed in a single study in a single session, and all three were figures sitting in a note the build had never opened, inside documents it had already fetched and parsed cell by cell. The associates line was carried at a quarter of the filed figure because the note splitting it was not read; the reviewed half-year was downloaded and the forecast built as though it did not exist; and a claim ahead of equity — consideration owed to a regulator for licences already capitalised — sat on its own row inside "financial liabilities and others" while the bridge read the borrowings lines beside it and stopped. The same shape had already produced AMOC's unopened reviewed statements and SCEM's audited statements sitting unread on the company's own website, so it is three companies rather than one quirk. WHAT MAKES IT INVISIBLE is that nothing is wrong with the figure that WAS read: it is correctly extracted, correctly footed and correctly sourced, so provenance, arithmetic, four- field registers and recalculation are all clean. The defect is an ABSENCE, and an absence has no cell to check. Two of the three raised the value and one lowered it, which is the useful part: it is a reading habit and not a lean, and a habit is cheaper to fix than a bias. THE PRACTICAL FORM: where a line on the face of a statement carries a note reference, the note is opened before the line is used, and a bridge is built from the NOTES rather than from the face — the face aggregates, and what it aggregates is where the claims hide.</w:t>
      </w:r>
    </w:p>
    <w:p>
      <w:pPr>
        <w:spacing w:after="60"/>
        <w:ind w:left="283"/>
      </w:pPr>
      <w:r>
        <w:rPr>
          <w:b w:val="0"/>
          <w:i w:val="0"/>
          <w:color w:val="5B6570"/>
          <w:sz w:val="19"/>
        </w:rPr>
        <w:t>How we know.  Associates 4,641 carried against a filed 12,909.648; a reviewed half with an EBITDA margin 89 basis points above the forecast built without it; spectrum-licence liabilities of 3,443.044 outside borrowings and outside the bridge, worth -1.79% of the central.</w:t>
      </w:r>
    </w:p>
    <w:p>
      <w:pPr>
        <w:spacing w:after="160"/>
        <w:ind w:left="283"/>
      </w:pPr>
      <w:r>
        <w:rPr>
          <w:b w:val="0"/>
          <w:i w:val="0"/>
          <w:color w:val="5B6570"/>
          <w:sz w:val="19"/>
        </w:rPr>
        <w:t>What would overturn it.  It is overturned if a study is found where opening every referenced note changed nothing material across a whole build — which would say the face of the statements is usually sufficient and these were three unlucky names. What would NOT overturn it is a gate catching one of these: none of the existing gates can, because each defect is a figure that is absent rather than wrong.</w:t>
      </w:r>
    </w:p>
    <w:p>
      <w:pPr>
        <w:keepNext/>
        <w:spacing w:before="240" w:after="60"/>
      </w:pPr>
      <w:r>
        <w:rPr>
          <w:b/>
          <w:color w:val="1A1D21"/>
          <w:sz w:val="22"/>
        </w:rPr>
        <w:t>L-345  A RULE THAT ENUMERATES ITS SURFACES IS ONLY CHECKED ON THE SURFACES SOMEBODY WIRED UP</w:t>
      </w:r>
    </w:p>
    <w:p>
      <w:pPr>
        <w:keepNext/>
        <w:spacing w:after="100"/>
      </w:pPr>
      <w:r>
        <w:rPr>
          <w:b/>
          <w:color w:val="1D6FA3"/>
          <w:sz w:val="16"/>
        </w:rPr>
        <w:t>EVERY STUDY</w:t>
      </w:r>
      <w:r>
        <w:rPr>
          <w:color w:val="5B6570"/>
          <w:sz w:val="16"/>
        </w:rPr>
        <w:t xml:space="preserve">   applies to every study   ·   learned from a found while building, The skill-verdict sweep, 5 September 2026</w:t>
      </w:r>
    </w:p>
    <w:p>
      <w:pPr>
        <w:spacing w:after="100"/>
      </w:pPr>
      <w:r>
        <w:rPr>
          <w:b w:val="0"/>
          <w:i w:val="0"/>
          <w:color w:val="1A1D21"/>
          <w:sz w:val="21"/>
        </w:rPr>
        <w:t>The retired skill verdict may reach "no page, figure, document or deck". Its gate grew one surface at a time — the pages first, the figures' caption template next, the Word documents a fortnight later — and nobody ever pointed it at the WORKBOOK, which is delivered in the same folder, on the same day, to the same reader. Five delivered workbooks still carried the verdict, three of them the literal word in capitals, and TWO WERE BUILT THAT WEEK: those studies were swept, passed, and shipped it in the file beside the document. The missing surface was not obscure and nobody decided to leave it out; it simply was never counted. THE PRACTICAL FORM: when a rule names a set of surfaces, read the set back off the CHECKER rather than off the rule, and make the difference explicit. A gate that reads three of four named surfaces reports clean on the fourth for ever, and reports it in exactly the words a fully wired gate would use.</w:t>
      </w:r>
    </w:p>
    <w:p>
      <w:pPr>
        <w:spacing w:after="60"/>
        <w:ind w:left="283"/>
      </w:pPr>
      <w:r>
        <w:rPr>
          <w:b w:val="0"/>
          <w:i w:val="0"/>
          <w:color w:val="5B6570"/>
          <w:sz w:val="19"/>
        </w:rPr>
        <w:t>How we know.  Eight verdict hits across five delivered workbooks at their latest edition, found by a sweep and by no gate; all five fixed rather than ratcheted, so the exemplar's debt did not grow.</w:t>
      </w:r>
    </w:p>
    <w:p>
      <w:pPr>
        <w:spacing w:after="160"/>
        <w:ind w:left="283"/>
      </w:pPr>
      <w:r>
        <w:rPr>
          <w:b w:val="0"/>
          <w:i w:val="0"/>
          <w:color w:val="5B6570"/>
          <w:sz w:val="19"/>
        </w:rPr>
        <w:t>What would overturn it.  It is overturned where a rule's surfaces cannot be enumerated at all — then the gate is doing the best available thing and the gap is in the rule. What would NOT overturn it is the gate being correct on the surfaces it does read: it was, on all three, which is why nothing looked wrong.</w:t>
      </w:r>
    </w:p>
    <w:p>
      <w:pPr>
        <w:keepNext/>
        <w:spacing w:before="240" w:after="60"/>
      </w:pPr>
      <w:r>
        <w:rPr>
          <w:b/>
          <w:color w:val="1A1D21"/>
          <w:sz w:val="22"/>
        </w:rPr>
        <w:t>L-346  AN INSTRUMENT THAT MATCHES FIGURES AGAINST A MODEL CANNOT SEE A FIGURE USED IN THE WRONG PLACE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reconciliation instrument reported zero unmatched across every percentage and multiple in its delivered document, and the opening paragraph of its own valuation section was wrong in four places at once: revenue compounding at 3.0% against a committed 2.4%, a margin GLIDING UP to 32.5% where the model runs flat and slightly DOWN, a capital intensity of 16.5% fading to 15.0% which is MANAGEMENT'S GUIDANCE BAND and is the construction that study had just retired, and a tax rate of 9.7% against the 8.03% applied. THE REASON THE INSTRUMENT WAS BLIND IS STRUCTURAL AND NOT A BUG: every one of those figures exists somewhere in the committed record — a sensitivity step, a filed year, a guidance range, a forecast-year earnings figure — so a rendering set wide enough to admit the legitimate uses admits the illegitimate ones too. Being in the record is exactly what makes a misplaced figure look right. THE PRACTICAL FORM: the figure check and a CLAIM sweep are different instruments and neither is optional. The claim sweep tests assertions rather than numerals — a guidance band consumed, a glide asserted, a floor named, a lens said to sit above a price it sits below — and it is written by reading the document, which is what tells you which arithmetic to write.</w:t>
      </w:r>
    </w:p>
    <w:p>
      <w:pPr>
        <w:spacing w:after="60"/>
        <w:ind w:left="283"/>
      </w:pPr>
      <w:r>
        <w:rPr>
          <w:b w:val="0"/>
          <w:i w:val="0"/>
          <w:color w:val="5B6570"/>
          <w:sz w:val="19"/>
        </w:rPr>
        <w:t>How we know.  Eleven defects of this class in one document after the instrument reported zero unmatched, and after a page-by-page read had already found and fixed nine others. The claim sweep that caught them tests twelve shapes and is four lines of regular expressions.</w:t>
      </w:r>
    </w:p>
    <w:p>
      <w:pPr>
        <w:spacing w:after="160"/>
        <w:ind w:left="283"/>
      </w:pPr>
      <w:r>
        <w:rPr>
          <w:b w:val="0"/>
          <w:i w:val="0"/>
          <w:color w:val="5B6570"/>
          <w:sz w:val="19"/>
        </w:rPr>
        <w:t>What would overturn it.  It is overturned by a rendering set that can distinguish a figure's USE from its presence — which would mean matching each figure to the specific committed value it renders rather than to any of them. That is buildable and nobody has built it; until then the two instruments are complementary. What would NOT overturn it is a wider or narrower rendering set: narrower produces false positives on legitimate uses, wider hides more.</w:t>
      </w:r>
    </w:p>
    <w:p>
      <w:pPr>
        <w:keepNext/>
        <w:spacing w:before="240" w:after="60"/>
      </w:pPr>
      <w:r>
        <w:rPr>
          <w:b/>
          <w:color w:val="1A1D21"/>
          <w:sz w:val="22"/>
        </w:rPr>
        <w:t>L-347  FIXING A TABLE DOES NOT FIX THE SENTENCE THAT RESTATES IT</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normalisation was rebuilt after a workbook reconciliation exposed it, and an assertion now holds the rebuilt table to its own arithmetic at every build. The paragraph three inches above it went on stating the RETIRED arithmetic in words — "~SAR 14.4 bn (reported 14.8 bn less the zakat credit), or EPS ~2.89" — which is the filed profit less the NET zakat line rather than the disclosed one-off inside it, against a rebuilt 13.2 bn and 2.65. The same shape appeared three more times in one document: a cost-of-capital table rebuilt from the record while the prose sentence restating it kept the retired beta; a cover table moved onto the filed years while its introduction still framed the guidance band; a football-field figure recomputed while its caption still described the three-lever bear case that had been replaced by a one-lever one. NO ASSERTION REACHES A SENTENCE. THE PRACTICAL FORM: when a construction changes, grep the delivered text for the OLD construction by name — not for its numbers, which is what the figure check already does — because the sentence that restates a table is written once and never rebuilt.</w:t>
      </w:r>
    </w:p>
    <w:p>
      <w:pPr>
        <w:spacing w:after="60"/>
        <w:ind w:left="283"/>
      </w:pPr>
      <w:r>
        <w:rPr>
          <w:b w:val="0"/>
          <w:i w:val="0"/>
          <w:color w:val="5B6570"/>
          <w:sz w:val="19"/>
        </w:rPr>
        <w:t>How we know.  Four instances in one document, each surviving the rebuild of the exact table it described, and each invisible to a figure check because its figures were legitimate elsewhere.</w:t>
      </w:r>
    </w:p>
    <w:p>
      <w:pPr>
        <w:spacing w:after="160"/>
        <w:ind w:left="283"/>
      </w:pPr>
      <w:r>
        <w:rPr>
          <w:b w:val="0"/>
          <w:i w:val="0"/>
          <w:color w:val="5B6570"/>
          <w:sz w:val="19"/>
        </w:rPr>
        <w:t>What would overturn it.  It is overturned where prose is generated from the same record as the table it describes, which removes the possibility rather than checking for it — several of these were fixed that way and the fix is available whenever a sentence's claim is arithmetic. It does NOT apply to genuinely narrative prose, which cannot be generated and must be swept.</w:t>
      </w:r>
    </w:p>
    <w:p>
      <w:pPr>
        <w:keepNext/>
        <w:spacing w:before="240" w:after="60"/>
      </w:pPr>
      <w:r>
        <w:rPr>
          <w:b/>
          <w:color w:val="1A1D21"/>
          <w:sz w:val="22"/>
        </w:rPr>
        <w:t>L-348  A STUDY'S OWN PRICE MAP MUST REPRODUCE THE COMMITTED FIT, AND ONE THAT RE-DERIVES IT WILL DISAGREE WITH THE SITE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delivered study's probability section ran a simulation of its own rather than calling the production chain, and it was wrong in five ways at once against the fit its market actually runs: Student-t innovations hardcoded at five degrees of freedom against a fitted fifteen, NO width calibration at all against a fitted 1.056, zero drift on a market carrying an ACTIVE momentum lean, a horizon fixed at sixty sessions where the horizons are calendar, and a sixteen-factor stack of nine typed jump probabilities with typed impacts whose own printed caption conceded that none of them was calibrated. THE CONSEQUENCE WAS NOT A ROUNDING DIFFERENCE: it published a different cone from the one the site publishes for that name on that day — a three-month median of 45.06 against 45.30, a 95th percentile of 51.21 against 52.20, and a thirteen per cent chance of touching a level against twenty. A reader holding both would have found two answers to one question, and the one with the invented event probabilities was the one wearing the study's covers. THE PRACTICAL FORM: a study REPRODUCES the committed fit by calling the same function the roll-forward calls, and asserts the reproduction rather than trusting it. Re-implementing an engine to describe it grades something other than what ships.</w:t>
      </w:r>
    </w:p>
    <w:p>
      <w:pPr>
        <w:spacing w:after="60"/>
        <w:ind w:left="283"/>
      </w:pPr>
      <w:r>
        <w:rPr>
          <w:b w:val="0"/>
          <w:i w:val="0"/>
          <w:color w:val="5B6570"/>
          <w:sz w:val="19"/>
        </w:rPr>
        <w:t>How we know.  Re-pointed at the production strike, the study reproduces the published row to the cent at both horizons and the touch ladder to the point, across eight levels and two horizons. The study's own walk-forward artefact was the same defect one layer down: sixty origins from an uncleaned frame, disagreeing with the committed panel on the very first row because the data-quality gate had not been applied.</w:t>
      </w:r>
    </w:p>
    <w:p>
      <w:pPr>
        <w:spacing w:after="160"/>
        <w:ind w:left="283"/>
      </w:pPr>
      <w:r>
        <w:rPr>
          <w:b w:val="0"/>
          <w:i w:val="0"/>
          <w:color w:val="5B6570"/>
          <w:sz w:val="19"/>
        </w:rPr>
        <w:t>What would overturn it.  It is overturned where a study legitimately needs a construction the production engine does not offer — a counterfactual, an ablation, a diagnostic. Those are internal and must be LABELLED as not the published cone; what is forbidden is a study-local construction PRESENTED as the house's price map.</w:t>
      </w:r>
    </w:p>
    <w:p>
      <w:pPr>
        <w:keepNext/>
        <w:spacing w:before="240" w:after="60"/>
      </w:pPr>
      <w:r>
        <w:rPr>
          <w:b/>
          <w:color w:val="1A1D21"/>
          <w:sz w:val="22"/>
        </w:rPr>
        <w:t>L-349  A DIRECTIONAL CLAIM IS TESTABLE FROM THE RECORD, AND THE NAIVE TEST IS NOT</w:t>
      </w:r>
    </w:p>
    <w:p>
      <w:pPr>
        <w:keepNext/>
        <w:spacing w:after="100"/>
      </w:pPr>
      <w:r>
        <w:rPr>
          <w:b/>
          <w:color w:val="1D6FA3"/>
          <w:sz w:val="16"/>
        </w:rPr>
        <w:t>EVERY STUDY</w:t>
      </w:r>
      <w:r>
        <w:rPr>
          <w:color w:val="5B6570"/>
          <w:sz w:val="16"/>
        </w:rPr>
        <w:t xml:space="preserve">   applies to every study   ·   learned from a found while building, A book-wide directional sweep run while auditing STC, 5 September 2026</w:t>
      </w:r>
    </w:p>
    <w:p>
      <w:pPr>
        <w:spacing w:after="100"/>
      </w:pPr>
      <w:r>
        <w:rPr>
          <w:b w:val="0"/>
          <w:i w:val="0"/>
          <w:color w:val="1A1D21"/>
          <w:sz w:val="21"/>
        </w:rPr>
        <w:t>"X sits above the market price" is a claim a study can be held to using only its own committed values and no model at all, which makes it look like an easy gate. MEASURED ACROSS TWENTY-THREE DELIVERED STUDIES it is not: a first draft flagged 11 of 119 such sentences, a second draft — re-pointed to skip probability reads, to skip a spot compared with itself, and to take the NEAREST figure rather than the last in a window — flagged 16 of 57, WORSE at 28.1%, and inspection put almost all of it on the instrument rather than on the book. It read "30% above the market price" as a value of 3.0; it took the top of a printed range as the subject of a sentence about that range's bottom corner; it ran one table cell's figure into the next row's direction word. THE SUBJECT OF A DIRECTIONAL SENTENCE IS NOT RECOVERABLE FROM THE PAGE, which is the same residue the waterfall gate hit and has the same answer: the test moves to whoever knows, because the BUILDER knows which value the sentence is about and the page never says. WHAT THE SWEEP DID FIND, and no gate in this repository could see either, is two delivered studies whose lens-comparison prose contradicts their own committed record — every individual figure correct, the relationship between them wrong.</w:t>
      </w:r>
    </w:p>
    <w:p>
      <w:pPr>
        <w:spacing w:after="60"/>
        <w:ind w:left="283"/>
      </w:pPr>
      <w:r>
        <w:rPr>
          <w:b w:val="0"/>
          <w:i w:val="0"/>
          <w:color w:val="5B6570"/>
          <w:sz w:val="19"/>
        </w:rPr>
        <w:t>How we know.  ARCC's section 4 states "two of them sit ABOVE the market price" against a committed spot of 77.00 and committed lens values of 66.53, 65.57 and 45.65 — ALL THREE BELOW — then lists three names under "two" and quotes 49.64 and 55.21, neither of which is in its committed lens set: a sentence written for the values that study held before it was re-struck. GBCO's football-field caption reads "Central fair value ~EGP 35.7/share, 14% below spot" where its own stated spot is 31.25, so the magnitude is right and the direction inverted. False-positive rates measured at 9.2% and 28.1% on two drafts of the detector.</w:t>
      </w:r>
    </w:p>
    <w:p>
      <w:pPr>
        <w:spacing w:after="160"/>
        <w:ind w:left="283"/>
      </w:pPr>
      <w:r>
        <w:rPr>
          <w:b w:val="0"/>
          <w:i w:val="0"/>
          <w:color w:val="5B6570"/>
          <w:sz w:val="19"/>
        </w:rPr>
        <w:t>What would overturn it.  It is overturned by a detector that resolves a sentence's SUBJECT reliably from the page — the residue here is entirely that problem and not the arithmetic, which is trivial. It would also be overturned, in the direction that matters, by studies DECLARING their directional claims the way a waterfall declares its steps: the claim becomes checkable at build time and the page-side detector stops being needed. What would NOT overturn it is a wider tolerance, which is the free parameter the promotion rule forbids.</w:t>
      </w:r>
    </w:p>
    <w:p>
      <w:pPr>
        <w:keepNext/>
        <w:spacing w:before="240" w:after="60"/>
      </w:pPr>
      <w:r>
        <w:rPr>
          <w:b/>
          <w:color w:val="1A1D21"/>
          <w:sz w:val="22"/>
        </w:rPr>
        <w:t>L-350  A DELIVERED SET IS THREE FILES AND EVERY INSTRUMENT IN THE BOOK WAS POINTED AT TWO</w:t>
      </w:r>
    </w:p>
    <w:p>
      <w:pPr>
        <w:keepNext/>
        <w:spacing w:after="100"/>
      </w:pPr>
      <w:r>
        <w:rPr>
          <w:b/>
          <w:color w:val="1D6FA3"/>
          <w:sz w:val="16"/>
        </w:rPr>
        <w:t>EVERY STUDY</w:t>
      </w:r>
      <w:r>
        <w:rPr>
          <w:color w:val="5B6570"/>
          <w:sz w:val="16"/>
        </w:rPr>
        <w:t xml:space="preserve">   applies to every study   ·   learned from a found while building, STC audit item 15a, 5 September 2026</w:t>
      </w:r>
    </w:p>
    <w:p>
      <w:pPr>
        <w:spacing w:after="100"/>
      </w:pPr>
      <w:r>
        <w:rPr>
          <w:b w:val="0"/>
          <w:i w:val="0"/>
          <w:color w:val="1A1D21"/>
          <w:sz w:val="21"/>
        </w:rPr>
        <w:t>Every study declares its own document population, and every one of the twenty-four declares the same pair: the study and the bibliography. The WORKBOOK a reader also receives was scanned by nothing — not the prose-figure instrument, not the external-reader scrub, not the shape-matching vocabulary gate. It is not an oversight anybody would notice, because a population written as a list looks complete from the inside and omits whatever nobody thought of on the day it was written. The fix is one line per study and a string-cell reader in the shared module; the finding is that a rule saying EVERY DELIVERED DOCUMENT was being read as every document somebody remembered to name.</w:t>
      </w:r>
    </w:p>
    <w:p>
      <w:pPr>
        <w:spacing w:after="60"/>
        <w:ind w:left="283"/>
      </w:pPr>
      <w:r>
        <w:rPr>
          <w:b w:val="0"/>
          <w:i w:val="0"/>
          <w:color w:val="5B6570"/>
          <w:sz w:val="19"/>
        </w:rPr>
        <w:t>How we know.  Extending STC's two instruments to its own workbook found eleven defects in one pass, every one beside a cell computing the right answer: a spot of 43.58 against a delivered 43.86, a share count of 4,989.8mn against 4,993.024mn, a market capitalisation of 217,455 against 218,994, an equity weight of 90.6% against a cell computing 90.3%, a balance sheet named as the first quarter's when the bridge stands on the reviewed half, a caption promising a retired four-lens blend, a beta cell describing a nine-week daily regression on a vendor's index quotes that the model had replaced, a beta sensitivity grid WITHOUT THE ADOPTED BETA ON IT, a Monte Carlo caption reading "Zero drift" against a committed live momentum lean, a sovereign rate derived from a broker's note, and an average twelve-month target price. Four internal-vocabulary leaks came out of the same pass.</w:t>
      </w:r>
    </w:p>
    <w:p>
      <w:pPr>
        <w:spacing w:after="160"/>
        <w:ind w:left="283"/>
      </w:pPr>
      <w:r>
        <w:rPr>
          <w:b w:val="0"/>
          <w:i w:val="0"/>
          <w:color w:val="5B6570"/>
          <w:sz w:val="19"/>
        </w:rPr>
        <w:t>What would overturn it.  It is overturned by a study whose delivered set is genuinely two files, which is a fact about that study rather than about the rule. What would NOT overturn it is a study declaring the workbook and finding nothing: an instrument that comes back clean on a population it was finally pointed at is the instrument working, not evidence the population did not matter.</w:t>
      </w:r>
    </w:p>
    <w:p>
      <w:pPr>
        <w:keepNext/>
        <w:spacing w:before="240" w:after="60"/>
      </w:pPr>
      <w:r>
        <w:rPr>
          <w:b/>
          <w:color w:val="1A1D21"/>
          <w:sz w:val="22"/>
        </w:rPr>
        <w:t>L-351  A CHECK SOMEBODY HAS TO REMEMBER TO RUN IS RUN UNTIL THE DAY IT MATTERS</w:t>
      </w:r>
    </w:p>
    <w:p>
      <w:pPr>
        <w:keepNext/>
        <w:spacing w:after="100"/>
      </w:pPr>
      <w:r>
        <w:rPr>
          <w:b/>
          <w:color w:val="1D6FA3"/>
          <w:sz w:val="16"/>
        </w:rPr>
        <w:t>EVERY STUDY</w:t>
      </w:r>
      <w:r>
        <w:rPr>
          <w:color w:val="5B6570"/>
          <w:sz w:val="16"/>
        </w:rPr>
        <w:t xml:space="preserve">   applies to every study   ·   learned from a found while building, The workbook-values gate's first run, 5 September 2026</w:t>
      </w:r>
    </w:p>
    <w:p>
      <w:pPr>
        <w:spacing w:after="100"/>
      </w:pPr>
      <w:r>
        <w:rPr>
          <w:b w:val="0"/>
          <w:i w:val="0"/>
          <w:color w:val="1A1D21"/>
          <w:sz w:val="21"/>
        </w:rPr>
        <w:t>Depth-bar standard 3 has required an independent recalculation of the delivered workbook since the standard was written, every study's QC gate carries a row attesting it, and twenty-two of twenty-four studies carry the instrument to do it. Nothing outside a study directory ran any of them: every occurrence of the word was a sentence in a comment. The instruments are careful, correct and cheap — the whole book runs in under two minutes — and the moment a rebuild lands is exactly the moment nobody runs them, which is the moment the answer has just moved. WHERE A STUDY BUILDS ITS OWN CHECK, SOMETHING OUTSIDE THE STUDY HAS TO PULL THE TRIGGER.</w:t>
      </w:r>
    </w:p>
    <w:p>
      <w:pPr>
        <w:spacing w:after="60"/>
        <w:ind w:left="283"/>
      </w:pPr>
      <w:r>
        <w:rPr>
          <w:b w:val="0"/>
          <w:i w:val="0"/>
          <w:color w:val="5B6570"/>
          <w:sz w:val="19"/>
        </w:rPr>
        <w:t>How we know.  Running all twenty-two found two red. SWDY's delivered workbook publishes SAR 59.3132 where its delivered document publishes 55.4822, +6.9%, with ZERO formula errors: DCF!C25 still carries the g x IC terminal [R-TERM-01] retired, which the study's own compute.py computes and labels "published unused, feeds nothing" (-6.5% alone), and SOTP Bridge!C12 carries no line for the employees' statutory share of profit the model deducts at 12.19% (+14.4% alone) — with the builder's own expected-value map holding the RIGHT figure for both cells. Its recalc.py names all 27 disagreeing cells in under a second and had not been run since the rebuild. AMOC's refuses outright, still written for a nine-sheet workbook the study replaced with a sixteen-sheet one.</w:t>
      </w:r>
    </w:p>
    <w:p>
      <w:pPr>
        <w:spacing w:after="160"/>
        <w:ind w:left="283"/>
      </w:pPr>
      <w:r>
        <w:rPr>
          <w:b w:val="0"/>
          <w:i w:val="0"/>
          <w:color w:val="5B6570"/>
          <w:sz w:val="19"/>
        </w:rPr>
        <w:t>What would overturn it.  It is overturned by evidence that these checks are in fact run at every rebuild without a gate — which the two red studies are direct evidence against. It would be strengthened, not overturned, by a study whose check is red for a reason the gate should not fire on: that is a re-pointing question about one instrument, not about whether the trigger is pulled.</w:t>
      </w:r>
    </w:p>
    <w:p>
      <w:pPr>
        <w:keepNext/>
        <w:spacing w:before="240" w:after="60"/>
      </w:pPr>
      <w:r>
        <w:rPr>
          <w:b/>
          <w:color w:val="1A1D21"/>
          <w:sz w:val="22"/>
        </w:rPr>
        <w:t>L-352  The gap between a company's prices and its costs barely moves; the rate they both rise at moves enormously.</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It is tempting to spend the work on margins — will this line squeeze, will that one improve. On the record, the gap between what a company charges and what it pays holds almost still, while the rate at which both climb runs anywhere from sixteen to forty-six per cent a year. Get the rate right first. Getting the gap right and the rate wrong is optimising the smaller of the two by a factor of about a hundred.</w:t>
      </w:r>
    </w:p>
    <w:p>
      <w:pPr>
        <w:spacing w:after="60"/>
        <w:ind w:left="283"/>
      </w:pPr>
      <w:r>
        <w:rPr>
          <w:b w:val="0"/>
          <w:i w:val="0"/>
          <w:color w:val="5B6570"/>
          <w:sz w:val="19"/>
        </w:rPr>
        <w:t>How we know.  Realised escalation of revenue against cost, from each run's own filed accounts: TMGH 2011-2025, +16.0% a year against +15.5%, a drift of -0.37% a year; PHDC 2015-2023 per delivered unit, +22.7% against +23.5%, +0.61%; AMOC FY2021-FY2025 per tonne, +44.6% against +46.0%, +0.97%. Twenty-six name-years across two classes, drift inside one per cent a year and NOT one-signed — which is a flat spread rather than a slow trend. Over the same window AMOC's escalation rate was 44.6% a year and its model used zero, worth 0.52 log points of bias on its own.</w:t>
      </w:r>
    </w:p>
    <w:p>
      <w:pPr>
        <w:spacing w:after="160"/>
        <w:ind w:left="283"/>
      </w:pPr>
      <w:r>
        <w:rPr>
          <w:b w:val="0"/>
          <w:i w:val="0"/>
          <w:color w:val="5B6570"/>
          <w:sz w:val="19"/>
        </w:rPr>
        <w:t>What would overturn it.  A long window — five years or more — where the cost drift exceeds two per cent a year, or a systematic difference in drift between classes. Two developers here run -0.37% and +0.61% and the one refiner +0.97%, which is no separation at all on three names, so a class split would overturn the scope rather than the finding.</w:t>
      </w:r>
    </w:p>
    <w:p>
      <w:pPr>
        <w:keepNext/>
        <w:spacing w:before="240" w:after="60"/>
      </w:pPr>
      <w:r>
        <w:rPr>
          <w:b/>
          <w:color w:val="1A1D21"/>
          <w:sz w:val="22"/>
        </w:rPr>
        <w:t>L-353  Holding a price or a cost still is the worst thing a forecast can do with it.</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Where a model cannot forecast something — a commodity price, an exchange rate — the cautious-looking move is to hold it where it is. That is not caution. Standing still inside an economy that is moving is a forecast too, and on the record it is the worst of the available ones, because it is the only rule that is guaranteed to be wrong by the whole of whatever happened.</w:t>
      </w:r>
    </w:p>
    <w:p>
      <w:pPr>
        <w:spacing w:after="60"/>
        <w:ind w:left="283"/>
      </w:pPr>
      <w:r>
        <w:rPr>
          <w:b w:val="0"/>
          <w:i w:val="0"/>
          <w:color w:val="5B6570"/>
          <w:sz w:val="19"/>
        </w:rPr>
        <w:t>How we know.  Four rules a study could have followed at each origin, none of them fitted, scored against what the company then reported: freezing, the origin's last published consumer inflation, purchasing-power parity on the inflation differential, and the company's own trailing three-year escalation. Freezing was the WORST on every name that could be measured — mean absolute log error 0.346 on PHDC, 0.236 on AMOC, 0.364 on TMGH — and on the paired cells the trailing rule was 42% better, consumer inflation 27% and parity 23%. One of these models freezes its main driver by construction, and that alone is 0.52 log points of its bias.</w:t>
      </w:r>
    </w:p>
    <w:p>
      <w:pPr>
        <w:spacing w:after="160"/>
        <w:ind w:left="283"/>
      </w:pPr>
      <w:r>
        <w:rPr>
          <w:b w:val="0"/>
          <w:i w:val="0"/>
          <w:color w:val="5B6570"/>
          <w:sz w:val="19"/>
        </w:rPr>
        <w:t>What would overturn it.  A name where freezing genuinely beats every alternative over a window of four years or more — which would most plausibly be a company on a hard peg selling a contractually fixed price, where standing still is what the contract actually says.</w:t>
      </w:r>
    </w:p>
    <w:p>
      <w:pPr>
        <w:keepNext/>
        <w:spacing w:before="240" w:after="60"/>
      </w:pPr>
      <w:r>
        <w:rPr>
          <w:b/>
          <w:color w:val="1A1D21"/>
          <w:sz w:val="22"/>
        </w:rPr>
        <w:t>L-354  A range built from a handful of past errors is not the interval it looks like.</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When a method publishes its far years as a range taken from how wrong it has been before, that range is the spread of four to eight observations. The chance the next outcome lands inside such a spread is around two in three, not nine in ten — and it gets worse further out, exactly where the range is doing the work. Say the count, and say what a spread of that count can mean.</w:t>
      </w:r>
    </w:p>
    <w:p>
      <w:pPr>
        <w:spacing w:after="60"/>
        <w:ind w:left="283"/>
      </w:pPr>
      <w:r>
        <w:rPr>
          <w:b w:val="0"/>
          <w:i w:val="0"/>
          <w:color w:val="5B6570"/>
          <w:sz w:val="19"/>
        </w:rPr>
        <w:t>How we know.  Every published far-year range tested walk-forward, with the band built only from origins before the one being tested: 259 cells, 55.6% coverage against an expected 63.5% under exchangeability, p=0.010. It degrades monotonically — -1.9 points at one year to -31.7 at five, where the band catches 29% of outcomes and sixteen of its seventeen misses are on the low side. It under-covers in BOTH regimes, by more outside the devaluation years than inside them, so it is not one bad period.</w:t>
      </w:r>
    </w:p>
    <w:p>
      <w:pPr>
        <w:spacing w:after="160"/>
        <w:ind w:left="283"/>
      </w:pPr>
      <w:r>
        <w:rPr>
          <w:b w:val="0"/>
          <w:i w:val="0"/>
          <w:color w:val="5B6570"/>
          <w:sz w:val="19"/>
        </w:rPr>
        <w:t>What would overturn it.  A range built from enough observations to be an interval rather than a span, or a construction other than min-max. The finding is about the min-max span of a small sample, and a different construction is a different claim.</w:t>
      </w:r>
    </w:p>
    <w:p>
      <w:pPr>
        <w:keepNext/>
        <w:spacing w:before="240" w:after="60"/>
      </w:pPr>
      <w:r>
        <w:rPr>
          <w:b/>
          <w:color w:val="1A1D21"/>
          <w:sz w:val="22"/>
        </w:rPr>
        <w:t>L-355  A probe that guesses what something is called returns a number, not an error — which is why the guess survives.</w:t>
      </w:r>
    </w:p>
    <w:p>
      <w:pPr>
        <w:keepNext/>
        <w:spacing w:after="100"/>
      </w:pPr>
      <w:r>
        <w:rPr>
          <w:b/>
          <w:color w:val="1D6FA3"/>
          <w:sz w:val="16"/>
        </w:rPr>
        <w:t>EVERY STUDY</w:t>
      </w:r>
      <w:r>
        <w:rPr>
          <w:color w:val="5B6570"/>
          <w:sz w:val="16"/>
        </w:rPr>
        <w:t xml:space="preserve">   applies to every study   ·   learned from a found while building, ten first-attempt measurements across one working session, 07-09-2026, every one wrong the same way</w:t>
      </w:r>
    </w:p>
    <w:p>
      <w:pPr>
        <w:spacing w:after="100"/>
      </w:pPr>
      <w:r>
        <w:rPr>
          <w:b w:val="0"/>
          <w:i w:val="0"/>
          <w:color w:val="1A1D21"/>
          <w:sz w:val="21"/>
        </w:rPr>
        <w:t>Reading a record means agreeing with it about names: the key a field is under, the spelling of a label, the way a file is dated, which direction a ratio runs. Where a reader assumes one of those and the record uses another, nothing raises. The reader finds less than is there and prints the smaller figure, and that figure is indistinguishable from a measurement. Read what the record DECLARES about itself before inferring anything from its shape, and where a reader finds nothing, treat that as evidence about the reader first.</w:t>
      </w:r>
    </w:p>
    <w:p>
      <w:pPr>
        <w:spacing w:after="60"/>
        <w:ind w:left="283"/>
      </w:pPr>
      <w:r>
        <w:rPr>
          <w:b w:val="0"/>
          <w:i w:val="0"/>
          <w:color w:val="5B6570"/>
          <w:sz w:val="19"/>
        </w:rPr>
        <w:t>How we know.  Measured on the session's own working: a directory excluded by substring swallowed .github and condemned two files that were on disk; a provenance field read under one of its two spellings reported 58% of 3,862 inputs missing something none of them lacked; an artefact grepped under one of its three names reported two breaches where there is one; a ratchet walked without distinguishing debt from its opposite inflated the programme's headline count 49 against 45; a band read for its key names rather than its own declared basis field reported an acceptance criterion MET that is NOT MET; and a document picker sorting DD-MM-YYYY strings lexicographically read superseded editions. NONE raised. Every one produced a plausible figure, and three of them were reported before being corrected.</w:t>
      </w:r>
    </w:p>
    <w:p>
      <w:pPr>
        <w:spacing w:after="160"/>
        <w:ind w:left="283"/>
      </w:pPr>
      <w:r>
        <w:rPr>
          <w:b w:val="0"/>
          <w:i w:val="0"/>
          <w:color w:val="5B6570"/>
          <w:sz w:val="19"/>
        </w:rPr>
        <w:t>What would overturn it.  A session in which a first-attempt measurement is wrong for some OTHER reason — an arithmetic slip, a wrong population, a bad assumption about the world rather than about a name. The claim is about naming specifically; a different failure mode would say this one is not the dominant hazard it appeared to be.</w:t>
      </w:r>
    </w:p>
    <w:p>
      <w:pPr>
        <w:keepNext/>
        <w:spacing w:before="240" w:after="60"/>
      </w:pPr>
      <w:r>
        <w:rPr>
          <w:b/>
          <w:color w:val="1A1D21"/>
          <w:sz w:val="22"/>
        </w:rPr>
        <w:t>L-357  An index of filings is not an archive of filings.</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A company can list its statements on its own website and serve none of them. The list looks like evidence the documents exist and are obtainable; only fetching each one tells you which. Record the outcome per file, not per page.</w:t>
      </w:r>
    </w:p>
    <w:p>
      <w:pPr>
        <w:spacing w:after="60"/>
        <w:ind w:left="283"/>
      </w:pPr>
      <w:r>
        <w:rPr>
          <w:b w:val="0"/>
          <w:i w:val="0"/>
          <w:color w:val="5B6570"/>
          <w:sz w:val="19"/>
        </w:rPr>
        <w:t>How we know.  61 statement files listed; 19 on the live host and 0 of those fetchable; 42 on a host whose DNS does not resolve; the index's last period is 2025-09-30 while the last statement on the basis the study models is FY2020.</w:t>
      </w:r>
    </w:p>
    <w:p>
      <w:pPr>
        <w:spacing w:after="160"/>
        <w:ind w:left="283"/>
      </w:pPr>
      <w:r>
        <w:rPr>
          <w:b w:val="0"/>
          <w:i w:val="0"/>
          <w:color w:val="5B6570"/>
          <w:sz w:val="19"/>
        </w:rPr>
        <w:t>What would overturn it.  An index whose listings are shown to be reliably fetchable, making the per-file probe redundant.</w:t>
      </w:r>
    </w:p>
    <w:p>
      <w:pPr>
        <w:keepNext/>
        <w:spacing w:before="240" w:after="60"/>
      </w:pPr>
      <w:r>
        <w:rPr>
          <w:b/>
          <w:color w:val="1A1D21"/>
          <w:sz w:val="22"/>
        </w:rPr>
        <w:t>L-358  A study's historicals can be unverifiable and still pass every gate.</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Where a company stops publishing on the basis a study models, the study's history quietly becomes a vendor's account of it. Every arithmetic check still passes, because the numbers are internally consistent — they are simply nobody's filed numbers. The test is to measure the study's panel against the filings that DO exist and against the wedge between the two bases, rather than to assume the difference is the consolidation.</w:t>
      </w:r>
    </w:p>
    <w:p>
      <w:pPr>
        <w:spacing w:after="60"/>
        <w:ind w:left="283"/>
      </w:pPr>
      <w:r>
        <w:rPr>
          <w:b w:val="0"/>
          <w:i w:val="0"/>
          <w:color w:val="5B6570"/>
          <w:sz w:val="19"/>
        </w:rPr>
        <w:t>How we know.  At the one year existing on both bases the group is 1.73x the parent on revenue and 2.04x on net profit. The study's FY2023 revenue is 1.79x the parent — consistent with a consolidated figure — while its net profit is 3.09x, 1.51 times beyond what the measured wedge delivers.</w:t>
      </w:r>
    </w:p>
    <w:p>
      <w:pPr>
        <w:spacing w:after="160"/>
        <w:ind w:left="283"/>
      </w:pPr>
      <w:r>
        <w:rPr>
          <w:b w:val="0"/>
          <w:i w:val="0"/>
          <w:color w:val="5B6570"/>
          <w:sz w:val="19"/>
        </w:rPr>
        <w:t>What would overturn it.  A study whose vendor panel is later reconciled line by line to filings on the same basis, showing the check adds nothing.</w:t>
      </w:r>
    </w:p>
    <w:p>
      <w:pPr>
        <w:keepNext/>
        <w:spacing w:before="240" w:after="60"/>
      </w:pPr>
      <w:r>
        <w:rPr>
          <w:b/>
          <w:color w:val="1A1D21"/>
          <w:sz w:val="22"/>
        </w:rPr>
        <w:t>L-359  Check that a "filed record" was filed before reasoning from it.</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A review can reach the right conclusion about a study and still take its benchmark from the study's own inputs. Calling a number the company's own record makes it read as external evidence when it is the thing under test, and the argument then runs in a circle nobody can see.</w:t>
      </w:r>
    </w:p>
    <w:p>
      <w:pPr>
        <w:spacing w:after="60"/>
        <w:ind w:left="283"/>
      </w:pPr>
      <w:r>
        <w:rPr>
          <w:b w:val="0"/>
          <w:i w:val="0"/>
          <w:color w:val="5B6570"/>
          <w:sz w:val="19"/>
        </w:rPr>
        <w:t>How we know.  A review described a terminal-margin range of 25.33%-30.68% as the company's own filed record; it is the study's committed hist_is, and two of its three years have no filing at all. The filed range on the basis that can be checked is 1.43%-17.49%, which puts the forecast of 12.30% INSIDE it rather than at half the lowest filed year, and puts the price's reverse read at 1.6 times the highest filed margin.</w:t>
      </w:r>
    </w:p>
    <w:p>
      <w:pPr>
        <w:spacing w:after="160"/>
        <w:ind w:left="283"/>
      </w:pPr>
      <w:r>
        <w:rPr>
          <w:b w:val="0"/>
          <w:i w:val="0"/>
          <w:color w:val="5B6570"/>
          <w:sz w:val="19"/>
        </w:rPr>
        <w:t>What would overturn it.  A house convention that tags every committed historical with whether it came from a filing, making the confusion impossible to make.</w:t>
      </w:r>
    </w:p>
    <w:p>
      <w:pPr>
        <w:keepNext/>
        <w:spacing w:before="240" w:after="60"/>
      </w:pPr>
      <w:r>
        <w:rPr>
          <w:b/>
          <w:color w:val="1A1D21"/>
          <w:sz w:val="22"/>
        </w:rPr>
        <w:t>L-360  The accounting-policies note usually gives a range, not a life.</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[R-TERM-01] needs one disclosed useful life and the policy note rarely supplies one. Reading a span and picking a point inside it is the choice the rule exists to forbid, so the honest output is the derived identity and a band.</w:t>
      </w:r>
    </w:p>
    <w:p>
      <w:pPr>
        <w:spacing w:after="60"/>
        <w:ind w:left="283"/>
      </w:pPr>
      <w:r>
        <w:rPr>
          <w:b w:val="0"/>
          <w:i w:val="0"/>
          <w:color w:val="5B6570"/>
          <w:sz w:val="19"/>
        </w:rPr>
        <w:t>How we know.  Route (1) gave spans only (10-50, 4-25, 5-20, 5-20, 5, 5-10); no dominant class, no weighting. Route (2) — depreciable gross cost over the annual charge — gives 24.13 years on the full base and 17.54 excluding the 27.3% of that base the note itself discloses as fully depreciated and still in use, with a prior-year control at 24.99.</w:t>
      </w:r>
    </w:p>
    <w:p>
      <w:pPr>
        <w:spacing w:after="160"/>
        <w:ind w:left="283"/>
      </w:pPr>
      <w:r>
        <w:rPr>
          <w:b w:val="0"/>
          <w:i w:val="0"/>
          <w:color w:val="5B6570"/>
          <w:sz w:val="19"/>
        </w:rPr>
        <w:t>What would overturn it.  A run of filings that do disclose a scalar or a dominant class, making route (1) the normal case rather than the exception.</w:t>
      </w:r>
    </w:p>
    <w:p>
      <w:pPr>
        <w:keepNext/>
        <w:spacing w:before="240" w:after="60"/>
      </w:pPr>
      <w:r>
        <w:rPr>
          <w:b/>
          <w:color w:val="1A1D21"/>
          <w:sz w:val="22"/>
        </w:rPr>
        <w:t>L-361  A borrowing rate below the sovereign is the arithmetic failing, not the company borrowing cheaply.</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Dividing the finance charge by a liabilities total that includes trade payables, related-party balances, tax and provisions understates the rate. The useful part is that the error announces itself: a corporate cannot fund below its own government, so a rate under the sovereign is a denominator problem and can be caught without knowing the right answer.</w:t>
      </w:r>
    </w:p>
    <w:p>
      <w:pPr>
        <w:spacing w:after="60"/>
        <w:ind w:left="283"/>
      </w:pPr>
      <w:r>
        <w:rPr>
          <w:b w:val="0"/>
          <w:i w:val="0"/>
          <w:color w:val="5B6570"/>
          <w:sz w:val="19"/>
        </w:rPr>
        <w:t>How we know.  On the borrowings that actually bear interest the rate runs 8.49%, 8.98%, 18.25%; on total liabilities 4.48%, 5.88%, 14.10% — understated by 3.09 to 4.15 points, and below the Egyptian sovereign in 2 of 3 years.</w:t>
      </w:r>
    </w:p>
    <w:p>
      <w:pPr>
        <w:spacing w:after="160"/>
        <w:ind w:left="283"/>
      </w:pPr>
      <w:r>
        <w:rPr>
          <w:b w:val="0"/>
          <w:i w:val="0"/>
          <w:color w:val="5B6570"/>
          <w:sz w:val="19"/>
        </w:rPr>
        <w:t>What would overturn it.  A jurisdiction where a corporate genuinely funds below its sovereign, which would make the check fire on work that is right.</w:t>
      </w:r>
    </w:p>
    <w:p>
      <w:pPr>
        <w:keepNext/>
        <w:spacing w:before="240" w:after="60"/>
      </w:pPr>
      <w:r>
        <w:rPr>
          <w:b/>
          <w:color w:val="1A1D21"/>
          <w:sz w:val="22"/>
        </w:rPr>
        <w:t>L-362  Operating profit forecasts run about 46% too low for GBCO.</w:t>
      </w:r>
    </w:p>
    <w:p>
      <w:pPr>
        <w:keepNext/>
        <w:spacing w:after="100"/>
      </w:pPr>
      <w:r>
        <w:rPr>
          <w:b/>
          <w:color w:val="1D6FA3"/>
          <w:sz w:val="16"/>
        </w:rPr>
        <w:t>EVERY STUDY</w:t>
      </w:r>
      <w:r>
        <w:rPr>
          <w:color w:val="5B6570"/>
          <w:sz w:val="16"/>
        </w:rPr>
        <w:t xml:space="preserve">   applies to every study   ·   learned from a fundamental walk-forward test, GBCO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-0.379 log (about 46% too low), average miss 0.436, wrong in the same direction in 89% of cases, and the sign holds across every bootstrap block tested (n=35).</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L-364  The revenue bias changes direction between regimes.</w:t>
      </w:r>
    </w:p>
    <w:p>
      <w:pPr>
        <w:keepNext/>
        <w:spacing w:after="100"/>
      </w:pPr>
      <w:r>
        <w:rPr>
          <w:b/>
          <w:color w:val="1D6FA3"/>
          <w:sz w:val="16"/>
        </w:rPr>
        <w:t>EVERY STUDY</w:t>
      </w:r>
      <w:r>
        <w:rPr>
          <w:color w:val="5B6570"/>
          <w:sz w:val="16"/>
        </w:rPr>
        <w:t xml:space="preserve">   applies to every study   ·   learned from a fundamental walk-forward test, GBCO walk-forward, date not recorded</w:t>
      </w:r>
      <w:r>
        <w:rPr>
          <w:b/>
          <w:color w:val="B03A2E"/>
          <w:sz w:val="16"/>
        </w:rPr>
        <w:t xml:space="preserve">   ·   STATUS: PROVISIONAL</w:t>
      </w:r>
    </w:p>
    <w:p>
      <w:pPr>
        <w:spacing w:after="100"/>
      </w:pPr>
      <w:r>
        <w:rPr>
          <w:b w:val="0"/>
          <w:i w:val="0"/>
          <w:color w:val="1A1D21"/>
          <w:sz w:val="21"/>
        </w:rPr>
        <w:t>It runs one way in one period and the other way in the next. Averaging them produces a correction that is wrong in both. Record it, do not correct for it.</w:t>
      </w:r>
    </w:p>
    <w:p>
      <w:pPr>
        <w:spacing w:after="60"/>
        <w:ind w:left="283"/>
      </w:pPr>
      <w:r>
        <w:rPr>
          <w:b w:val="0"/>
          <w:i w:val="0"/>
          <w:color w:val="5B6570"/>
          <w:sz w:val="19"/>
        </w:rPr>
        <w:t>How we know.  By era: post-float 2017-2021 +0.093; devaluation cycle 2022-2025 -0.078.</w:t>
      </w:r>
    </w:p>
    <w:p>
      <w:pPr>
        <w:spacing w:after="160"/>
        <w:ind w:left="283"/>
      </w:pPr>
      <w:r>
        <w:rPr>
          <w:b w:val="0"/>
          <w:i w:val="0"/>
          <w:color w:val="5B6570"/>
          <w:sz w:val="19"/>
        </w:rPr>
        <w:t>What would overturn it.  A longer record in which one sign dominates across all regimes.</w:t>
      </w:r>
    </w:p>
    <w:p>
      <w:pPr>
        <w:keepNext/>
        <w:spacing w:before="240" w:after="60"/>
      </w:pPr>
      <w:r>
        <w:rPr>
          <w:b/>
          <w:color w:val="1A1D21"/>
          <w:sz w:val="22"/>
        </w:rPr>
        <w:t>L-365  Dna forecasts run about 1.6 times too high for PHAR.</w:t>
      </w:r>
    </w:p>
    <w:p>
      <w:pPr>
        <w:keepNext/>
        <w:spacing w:after="100"/>
      </w:pPr>
      <w:r>
        <w:rPr>
          <w:b/>
          <w:color w:val="1D6FA3"/>
          <w:sz w:val="16"/>
        </w:rPr>
        <w:t>EVERY STUDY</w:t>
      </w:r>
      <w:r>
        <w:rPr>
          <w:color w:val="5B6570"/>
          <w:sz w:val="16"/>
        </w:rPr>
        <w:t xml:space="preserve">   applies to every study   ·   learned from a fundamental walk-forward test, PHAR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+0.499 log (about 1.6 times too high), average miss 0.499,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keepNext/>
        <w:spacing w:before="240" w:after="60"/>
      </w:pPr>
      <w:r>
        <w:rPr>
          <w:b/>
          <w:color w:val="1A1D21"/>
          <w:sz w:val="22"/>
        </w:rPr>
        <w:t>L-366  Price per pack forecasts run about 42% too low for PHAR.</w:t>
      </w:r>
    </w:p>
    <w:p>
      <w:pPr>
        <w:keepNext/>
        <w:spacing w:after="100"/>
      </w:pPr>
      <w:r>
        <w:rPr>
          <w:b/>
          <w:color w:val="7E4A94"/>
          <w:sz w:val="16"/>
        </w:rPr>
        <w:t>A CLASS OF COMPANY</w:t>
      </w:r>
      <w:r>
        <w:rPr>
          <w:color w:val="5B6570"/>
          <w:sz w:val="16"/>
        </w:rPr>
        <w:t xml:space="preserve">   applies to every pharmaceutical manufacturer, generic and branded   ·   learned from a fundamental walk-forward test, PHAR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-0.352 log (about 42% too low), average miss 0.375, wrong in the same direction in 89%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ELEC</w:t>
      </w:r>
    </w:p>
    <w:p>
      <w:pPr>
        <w:keepNext/>
        <w:spacing w:before="240" w:after="60"/>
      </w:pPr>
      <w:r>
        <w:rPr>
          <w:b/>
          <w:color w:val="1A1D21"/>
          <w:sz w:val="22"/>
        </w:rPr>
        <w:t>L-356  The forecasting method could not be tested on ELEC at all.</w:t>
      </w:r>
    </w:p>
    <w:p>
      <w:pPr>
        <w:keepNext/>
        <w:spacing w:after="100"/>
      </w:pPr>
      <w:r>
        <w:rPr>
          <w:b/>
          <w:color w:val="B03A2E"/>
          <w:sz w:val="16"/>
        </w:rPr>
        <w:t>ONE COMPANY ONLY</w:t>
      </w:r>
      <w:r>
        <w:rPr>
          <w:color w:val="5B6570"/>
          <w:sz w:val="16"/>
        </w:rPr>
        <w:t xml:space="preserve">   applies to ELEC only   ·   learned from a fundamental walk-forward test, ELEC walk-forward, date not recorded</w:t>
      </w:r>
      <w:r>
        <w:rPr>
          <w:b/>
          <w:color w:val="B03A2E"/>
          <w:sz w:val="16"/>
        </w:rPr>
        <w:t xml:space="preserve">   ·   STATUS: PROVISIONAL</w:t>
      </w:r>
    </w:p>
    <w:p>
      <w:pPr>
        <w:spacing w:after="100"/>
      </w:pPr>
      <w:r>
        <w:rPr>
          <w:b w:val="0"/>
          <w:i w:val="0"/>
          <w:color w:val="1A1D21"/>
          <w:sz w:val="21"/>
        </w:rPr>
        <w:t>A walk-forward needs an origin to project from and a later actual to score against. Where the archive is too short there is no test to run, and saying so is the result — not a gap to be filled by stretching the window.</w:t>
      </w:r>
    </w:p>
    <w:p>
      <w:pPr>
        <w:spacing w:after="60"/>
        <w:ind w:left="283"/>
      </w:pPr>
      <w:r>
        <w:rPr>
          <w:b w:val="0"/>
          <w:i w:val="0"/>
          <w:color w:val="5B6570"/>
          <w:sz w:val="19"/>
        </w:rPr>
        <w:t>How we know.  4 sourceable fiscal years on the best available basis against a bar of 5, and 0 scoreable origins: the last sourceable actual is FY2023, so the last possible origin is FY2022 at h=1, and FY2022 needs five years of history to it (FY2018-FY2022) which do not exist on any basis in hand.</w:t>
      </w:r>
    </w:p>
    <w:p>
      <w:pPr>
        <w:spacing w:after="160"/>
        <w:ind w:left="283"/>
      </w:pPr>
      <w:r>
        <w:rPr>
          <w:b w:val="0"/>
          <w:i w:val="0"/>
          <w:color w:val="5B6570"/>
          <w:sz w:val="19"/>
        </w:rPr>
        <w:t>What would overturn it.  A filing archive that becomes reachable, or filings supplied directly, taking the sourceable span to five years or more on one basis.</w:t>
      </w:r>
    </w:p>
    <w:p>
      <w:pPr>
        <w:pStyle w:val="Heading2"/>
      </w:pPr>
      <w:r>
        <w:t>GBCO</w:t>
      </w:r>
    </w:p>
    <w:p>
      <w:pPr>
        <w:keepNext/>
        <w:spacing w:before="240" w:after="60"/>
      </w:pPr>
      <w:r>
        <w:rPr>
          <w:b/>
          <w:color w:val="1A1D21"/>
          <w:sz w:val="22"/>
        </w:rPr>
        <w:t>L-363  The finance cost forecast loses to assuming no change.</w:t>
      </w:r>
    </w:p>
    <w:p>
      <w:pPr>
        <w:keepNext/>
        <w:spacing w:after="100"/>
      </w:pPr>
      <w:r>
        <w:rPr>
          <w:b/>
          <w:color w:val="B03A2E"/>
          <w:sz w:val="16"/>
        </w:rPr>
        <w:t>ONE COMPANY ONLY</w:t>
      </w:r>
      <w:r>
        <w:rPr>
          <w:color w:val="5B6570"/>
          <w:sz w:val="16"/>
        </w:rPr>
        <w:t xml:space="preserve">   applies to GBCO only   ·   learned from a fundamental walk-forward test, GBCO walk-forward, date not recorded</w:t>
      </w:r>
      <w:r>
        <w:rPr>
          <w:b/>
          <w:color w:val="B03A2E"/>
          <w:sz w:val="16"/>
        </w:rPr>
        <w:t xml:space="preserve">   ·   STATUS: PROVISIONAL</w:t>
      </w:r>
    </w:p>
    <w:p>
      <w:pPr>
        <w:spacing w:after="100"/>
      </w:pPr>
      <w:r>
        <w:rPr>
          <w:b w:val="0"/>
          <w:i w:val="0"/>
          <w:color w:val="1A1D21"/>
          <w:sz w:val="21"/>
        </w:rPr>
        <w:t>At 5 of 5 horizons, simply carrying last year's number forward beat the model. A method that cannot beat 'no change' has not earned the precision it displays, and should be published as a range or not at all.</w:t>
      </w:r>
    </w:p>
    <w:p>
      <w:pPr>
        <w:spacing w:after="60"/>
        <w:ind w:left="283"/>
      </w:pPr>
      <w:r>
        <w:rPr>
          <w:b w:val="0"/>
          <w:i w:val="0"/>
          <w:color w:val="5B6570"/>
          <w:sz w:val="19"/>
        </w:rPr>
        <w:t>How we know.  Negative skill against the freeze benchmark at horizons h1, h2, h3, h4, h5, worst -0.485.</w:t>
      </w:r>
    </w:p>
    <w:p>
      <w:pPr>
        <w:spacing w:after="160"/>
        <w:ind w:left="283"/>
      </w:pPr>
      <w:r>
        <w:rPr>
          <w:b w:val="0"/>
          <w:i w:val="0"/>
          <w:color w:val="5B6570"/>
          <w:sz w:val="19"/>
        </w:rPr>
        <w:t>What would overturn it.  A later run where the model beats the freeze benchmark at a majority of horizons.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