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Sinai Cement Company S.A.E. (EGX: SCEM)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They are known to be published at sinaicement.com/wp-content/uploads/2025/05/SCC-AFS-E-1224.pdf, and every attempt to reach that address — along with the exchange's own disclosure portal and every financial data provider — was refused by the network policy governing this environment. Thirteen separate hosts were blocked.</w:t>
      </w:r>
    </w:p>
    <w:p>
      <w:pPr>
        <w:spacing w:after="100" w:before="0"/>
      </w:pPr>
      <w:r>
        <w:rPr>
          <w:b w:val="0"/>
          <w:i w:val="0"/>
          <w:color w:val="1C3A36"/>
          <w:sz w:val="19"/>
        </w:rPr>
        <w:t>The consequence is stated rather than hidden. Revenue and profit after tax are carried as reported through press coverage of the company's exchange filings — one step removed from the audited print. Every line between revenue and profit after tax is DERIVED by closing the disclosed profit, and is labelled as derived wherever it appears. Two entries below are flagged accordingly. A reader with access to the audited statements should re-run the model against them; the workbook is built so that changing the input reprices everything downstream.</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79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81.80, high 82.50, low 78.30). Three reviewers quoted 81.10 with a 78.51-84.00 range; that is the 05-Aug row of the same file</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cap_cement_mt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171"/>
          </w:tcPr>
          <w:p>
            <w:pPr>
              <w:spacing w:after="20"/>
            </w:pPr>
            <w:r>
              <w:rPr>
                <w:color w:val="1C3A36"/>
                <w:sz w:val="14"/>
              </w:rPr>
              <w:t>Cement grinding capacity, El Hassana, two lines</w:t>
            </w:r>
          </w:p>
        </w:tc>
        <w:tc>
          <w:tcPr>
            <w:tcW w:type="dxa" w:w="1210"/>
          </w:tcPr>
          <w:p>
            <w:pPr>
              <w:spacing w:after="20"/>
            </w:pPr>
            <w:r>
              <w:rPr>
                <w:color w:val="1C3A36"/>
                <w:sz w:val="14"/>
              </w:rPr>
              <w:t>2025-03-23</w:t>
            </w:r>
          </w:p>
        </w:tc>
      </w:tr>
      <w:tr>
        <w:tc>
          <w:tcPr>
            <w:tcW w:type="dxa" w:w="432"/>
          </w:tcPr>
          <w:p>
            <w:pPr>
              <w:spacing w:after="20"/>
            </w:pPr>
            <w:r>
              <w:rPr>
                <w:color w:val="1C3A36"/>
                <w:sz w:val="14"/>
              </w:rPr>
              <w:t>3</w:t>
            </w:r>
          </w:p>
        </w:tc>
        <w:tc>
          <w:tcPr>
            <w:tcW w:type="dxa" w:w="2448"/>
          </w:tcPr>
          <w:p>
            <w:pPr>
              <w:spacing w:after="20"/>
            </w:pPr>
            <w:r>
              <w:rPr>
                <w:color w:val="1C3A36"/>
                <w:sz w:val="14"/>
              </w:rPr>
              <w:t>cap_clinker_mt</w:t>
            </w:r>
          </w:p>
        </w:tc>
        <w:tc>
          <w:tcPr>
            <w:tcW w:type="dxa" w:w="1325"/>
          </w:tcPr>
          <w:p>
            <w:pPr>
              <w:spacing w:after="20"/>
            </w:pPr>
            <w:r>
              <w:rPr>
                <w:color w:val="1C3A36"/>
                <w:sz w:val="14"/>
              </w:rPr>
              <w:t>2.57</w:t>
            </w:r>
          </w:p>
        </w:tc>
        <w:tc>
          <w:tcPr>
            <w:tcW w:type="dxa" w:w="1066"/>
          </w:tcPr>
          <w:p>
            <w:pPr>
              <w:spacing w:after="20"/>
            </w:pPr>
            <w:r>
              <w:rPr>
                <w:color w:val="1C3A36"/>
                <w:sz w:val="14"/>
              </w:rPr>
              <w:t>Company</w:t>
            </w:r>
          </w:p>
        </w:tc>
        <w:tc>
          <w:tcPr>
            <w:tcW w:type="dxa" w:w="7171"/>
          </w:tcPr>
          <w:p>
            <w:pPr>
              <w:spacing w:after="20"/>
            </w:pPr>
            <w:r>
              <w:rPr>
                <w:color w:val="1C3A36"/>
                <w:sz w:val="14"/>
              </w:rPr>
              <w:t>Kiln clinker capacity. The PAIR with cement capacity OBSERVES the clinker factor rather than assuming it, and settles which base a USD-per-tonne benchmark is quoted on</w:t>
            </w:r>
          </w:p>
        </w:tc>
        <w:tc>
          <w:tcPr>
            <w:tcW w:type="dxa" w:w="1210"/>
          </w:tcPr>
          <w:p>
            <w:pPr>
              <w:spacing w:after="20"/>
            </w:pPr>
            <w:r>
              <w:rPr>
                <w:color w:val="1C3A36"/>
                <w:sz w:val="14"/>
              </w:rPr>
              <w:t>2025-03-23</w:t>
            </w:r>
          </w:p>
        </w:tc>
      </w:tr>
      <w:tr>
        <w:tc>
          <w:tcPr>
            <w:tcW w:type="dxa" w:w="432"/>
          </w:tcPr>
          <w:p>
            <w:pPr>
              <w:spacing w:after="20"/>
            </w:pPr>
            <w:r>
              <w:rPr>
                <w:color w:val="1C3A36"/>
                <w:sz w:val="14"/>
              </w:rPr>
              <w:t>4</w:t>
            </w:r>
          </w:p>
        </w:tc>
        <w:tc>
          <w:tcPr>
            <w:tcW w:type="dxa" w:w="2448"/>
          </w:tcPr>
          <w:p>
            <w:pPr>
              <w:spacing w:after="20"/>
            </w:pPr>
            <w:r>
              <w:rPr>
                <w:color w:val="1C3A36"/>
                <w:sz w:val="14"/>
              </w:rPr>
              <w:t>capacity_mt</w:t>
            </w:r>
          </w:p>
        </w:tc>
        <w:tc>
          <w:tcPr>
            <w:tcW w:type="dxa" w:w="1325"/>
          </w:tcPr>
          <w:p>
            <w:pPr>
              <w:spacing w:after="20"/>
            </w:pPr>
            <w:r>
              <w:rPr>
                <w:color w:val="1C3A36"/>
                <w:sz w:val="14"/>
              </w:rPr>
              <w:t>3.8</w:t>
            </w:r>
          </w:p>
        </w:tc>
        <w:tc>
          <w:tcPr>
            <w:tcW w:type="dxa" w:w="1066"/>
          </w:tcPr>
          <w:p>
            <w:pPr>
              <w:spacing w:after="20"/>
            </w:pPr>
            <w:r>
              <w:rPr>
                <w:color w:val="1C3A36"/>
                <w:sz w:val="14"/>
              </w:rPr>
              <w:t>Company</w:t>
            </w:r>
          </w:p>
        </w:tc>
        <w:tc>
          <w:tcPr>
            <w:tcW w:type="dxa" w:w="7171"/>
          </w:tcPr>
          <w:p>
            <w:pPr>
              <w:spacing w:after="20"/>
            </w:pPr>
            <w:r>
              <w:rPr>
                <w:color w:val="1C3A36"/>
                <w:sz w:val="14"/>
              </w:rPr>
              <w:t>Alias of cement grinding capacity</w:t>
            </w:r>
          </w:p>
        </w:tc>
        <w:tc>
          <w:tcPr>
            <w:tcW w:type="dxa" w:w="1210"/>
          </w:tcPr>
          <w:p>
            <w:pPr>
              <w:spacing w:after="20"/>
            </w:pPr>
            <w:r>
              <w:rPr>
                <w:color w:val="1C3A36"/>
                <w:sz w:val="14"/>
              </w:rPr>
              <w:t>2025-03-23</w:t>
            </w:r>
          </w:p>
        </w:tc>
      </w:tr>
      <w:tr>
        <w:tc>
          <w:tcPr>
            <w:tcW w:type="dxa" w:w="432"/>
          </w:tcPr>
          <w:p>
            <w:pPr>
              <w:spacing w:after="20"/>
            </w:pPr>
            <w:r>
              <w:rPr>
                <w:color w:val="1C3A36"/>
                <w:sz w:val="14"/>
              </w:rPr>
              <w:t>5</w:t>
            </w:r>
          </w:p>
        </w:tc>
        <w:tc>
          <w:tcPr>
            <w:tcW w:type="dxa" w:w="2448"/>
          </w:tcPr>
          <w:p>
            <w:pPr>
              <w:spacing w:after="20"/>
            </w:pPr>
            <w:r>
              <w:rPr>
                <w:color w:val="1C3A36"/>
                <w:sz w:val="14"/>
              </w:rPr>
              <w:t>cash_fy25</w:t>
            </w:r>
          </w:p>
        </w:tc>
        <w:tc>
          <w:tcPr>
            <w:tcW w:type="dxa" w:w="1325"/>
          </w:tcPr>
          <w:p>
            <w:pPr>
              <w:spacing w:after="20"/>
            </w:pPr>
            <w:r>
              <w:rPr>
                <w:color w:val="1C3A36"/>
                <w:sz w:val="14"/>
              </w:rPr>
              <w:t>3,850</w:t>
            </w:r>
          </w:p>
        </w:tc>
        <w:tc>
          <w:tcPr>
            <w:tcW w:type="dxa" w:w="1066"/>
          </w:tcPr>
          <w:p>
            <w:pPr>
              <w:spacing w:after="20"/>
            </w:pPr>
            <w:r>
              <w:rPr>
                <w:color w:val="1C3A36"/>
                <w:sz w:val="14"/>
              </w:rPr>
              <w:t>Company</w:t>
            </w:r>
          </w:p>
        </w:tc>
        <w:tc>
          <w:tcPr>
            <w:tcW w:type="dxa" w:w="7171"/>
          </w:tcPr>
          <w:p>
            <w:pPr>
              <w:spacing w:after="20"/>
            </w:pPr>
            <w:r>
              <w:rPr>
                <w:color w:val="1C3A36"/>
                <w:sz w:val="14"/>
              </w:rPr>
              <w:t>FY2025 balance-sheet data from S&amp;P Global Market Intelligence as carried by two independent aggregations (stockanalysis.com, simplywall.st), which agree — FY2025 cash and equivalents EGP 3.85bn. Revision 1 derived 5,344 by dividing solved treasury income by an assumed yield and then applying an undisclosed 1.35x roll. The reported figure is obtainable at the same evidentiary standard as revenue and profit</w:t>
            </w:r>
          </w:p>
        </w:tc>
        <w:tc>
          <w:tcPr>
            <w:tcW w:type="dxa" w:w="1210"/>
          </w:tcPr>
          <w:p>
            <w:pPr>
              <w:spacing w:after="20"/>
            </w:pPr>
            <w:r>
              <w:rPr>
                <w:color w:val="1C3A36"/>
                <w:sz w:val="14"/>
              </w:rPr>
              <w:t>2026-03-10</w:t>
            </w:r>
          </w:p>
        </w:tc>
      </w:tr>
      <w:tr>
        <w:tc>
          <w:tcPr>
            <w:tcW w:type="dxa" w:w="432"/>
          </w:tcPr>
          <w:p>
            <w:pPr>
              <w:spacing w:after="20"/>
            </w:pPr>
            <w:r>
              <w:rPr>
                <w:color w:val="1C3A36"/>
                <w:sz w:val="14"/>
              </w:rPr>
              <w:t>6</w:t>
            </w:r>
          </w:p>
        </w:tc>
        <w:tc>
          <w:tcPr>
            <w:tcW w:type="dxa" w:w="2448"/>
          </w:tcPr>
          <w:p>
            <w:pPr>
              <w:spacing w:after="20"/>
            </w:pPr>
            <w:r>
              <w:rPr>
                <w:color w:val="1C3A36"/>
                <w:sz w:val="14"/>
              </w:rPr>
              <w:t>clinker_factor</w:t>
            </w:r>
          </w:p>
        </w:tc>
        <w:tc>
          <w:tcPr>
            <w:tcW w:type="dxa" w:w="1325"/>
          </w:tcPr>
          <w:p>
            <w:pPr>
              <w:spacing w:after="20"/>
            </w:pPr>
            <w:r>
              <w:rPr>
                <w:color w:val="1C3A36"/>
                <w:sz w:val="14"/>
              </w:rPr>
              <w:t>0.6763</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ANCHORED on the plant register's two capacities (2.57/3.80 = 0.676) but carried as an independent input, because blending is a real operating lever: a lower factor means more cement per tonne of clinker and less fuel per tonne of cement. Deriving it from the capacity pair made kiln capacity cancel out of cement output algebraically — the driver test caught that</w:t>
            </w:r>
          </w:p>
        </w:tc>
        <w:tc>
          <w:tcPr>
            <w:tcW w:type="dxa" w:w="1210"/>
          </w:tcPr>
          <w:p>
            <w:pPr>
              <w:spacing w:after="20"/>
            </w:pPr>
            <w:r>
              <w:rPr>
                <w:color w:val="1C3A36"/>
                <w:sz w:val="14"/>
              </w:rPr>
              <w:t>2025-03-23</w:t>
            </w:r>
          </w:p>
        </w:tc>
      </w:tr>
      <w:tr>
        <w:tc>
          <w:tcPr>
            <w:tcW w:type="dxa" w:w="432"/>
          </w:tcPr>
          <w:p>
            <w:pPr>
              <w:spacing w:after="20"/>
            </w:pPr>
            <w:r>
              <w:rPr>
                <w:color w:val="1C3A36"/>
                <w:sz w:val="14"/>
              </w:rPr>
              <w:t>7</w:t>
            </w:r>
          </w:p>
        </w:tc>
        <w:tc>
          <w:tcPr>
            <w:tcW w:type="dxa" w:w="2448"/>
          </w:tcPr>
          <w:p>
            <w:pPr>
              <w:spacing w:after="20"/>
            </w:pPr>
            <w:r>
              <w:rPr>
                <w:color w:val="1C3A36"/>
                <w:sz w:val="14"/>
              </w:rPr>
              <w:t>debt_fy25</w:t>
            </w:r>
          </w:p>
        </w:tc>
        <w:tc>
          <w:tcPr>
            <w:tcW w:type="dxa" w:w="1325"/>
          </w:tcPr>
          <w:p>
            <w:pPr>
              <w:spacing w:after="20"/>
            </w:pPr>
            <w:r>
              <w:rPr>
                <w:color w:val="1C3A36"/>
                <w:sz w:val="14"/>
              </w:rPr>
              <w:t>36.8</w:t>
            </w:r>
          </w:p>
        </w:tc>
        <w:tc>
          <w:tcPr>
            <w:tcW w:type="dxa" w:w="1066"/>
          </w:tcPr>
          <w:p>
            <w:pPr>
              <w:spacing w:after="20"/>
            </w:pPr>
            <w:r>
              <w:rPr>
                <w:color w:val="1C3A36"/>
                <w:sz w:val="14"/>
              </w:rPr>
              <w:t>Company</w:t>
            </w:r>
          </w:p>
        </w:tc>
        <w:tc>
          <w:tcPr>
            <w:tcW w:type="dxa" w:w="7171"/>
          </w:tcPr>
          <w:p>
            <w:pPr>
              <w:spacing w:after="20"/>
            </w:pPr>
            <w:r>
              <w:rPr>
                <w:color w:val="1C3A36"/>
                <w:sz w:val="14"/>
              </w:rPr>
              <w:t>Total debt. The company is NET CASH</w:t>
            </w:r>
          </w:p>
        </w:tc>
        <w:tc>
          <w:tcPr>
            <w:tcW w:type="dxa" w:w="1210"/>
          </w:tcPr>
          <w:p>
            <w:pPr>
              <w:spacing w:after="20"/>
            </w:pPr>
            <w:r>
              <w:rPr>
                <w:color w:val="1C3A36"/>
                <w:sz w:val="14"/>
              </w:rPr>
              <w:t>2026-03-10</w:t>
            </w:r>
          </w:p>
        </w:tc>
      </w:tr>
      <w:tr>
        <w:tc>
          <w:tcPr>
            <w:tcW w:type="dxa" w:w="432"/>
          </w:tcPr>
          <w:p>
            <w:pPr>
              <w:spacing w:after="20"/>
            </w:pPr>
            <w:r>
              <w:rPr>
                <w:color w:val="1C3A36"/>
                <w:sz w:val="14"/>
              </w:rPr>
              <w:t>8</w:t>
            </w:r>
          </w:p>
        </w:tc>
        <w:tc>
          <w:tcPr>
            <w:tcW w:type="dxa" w:w="2448"/>
          </w:tcPr>
          <w:p>
            <w:pPr>
              <w:spacing w:after="20"/>
            </w:pPr>
            <w:r>
              <w:rPr>
                <w:color w:val="1C3A36"/>
                <w:sz w:val="14"/>
              </w:rPr>
              <w:t>ebitda_fy24</w:t>
            </w:r>
          </w:p>
        </w:tc>
        <w:tc>
          <w:tcPr>
            <w:tcW w:type="dxa" w:w="1325"/>
          </w:tcPr>
          <w:p>
            <w:pPr>
              <w:spacing w:after="20"/>
            </w:pPr>
            <w:r>
              <w:rPr>
                <w:color w:val="1C3A36"/>
                <w:sz w:val="14"/>
              </w:rPr>
              <w:t>1,590</w:t>
            </w:r>
          </w:p>
        </w:tc>
        <w:tc>
          <w:tcPr>
            <w:tcW w:type="dxa" w:w="1066"/>
          </w:tcPr>
          <w:p>
            <w:pPr>
              <w:spacing w:after="20"/>
            </w:pPr>
            <w:r>
              <w:rPr>
                <w:color w:val="1C3A36"/>
                <w:sz w:val="14"/>
              </w:rPr>
              <w:t>Company</w:t>
            </w:r>
          </w:p>
        </w:tc>
        <w:tc>
          <w:tcPr>
            <w:tcW w:type="dxa" w:w="7171"/>
          </w:tcPr>
          <w:p>
            <w:pPr>
              <w:spacing w:after="20"/>
            </w:pPr>
            <w:r>
              <w:rPr>
                <w:color w:val="1C3A36"/>
                <w:sz w:val="14"/>
              </w:rPr>
              <w:t>FY2024 EBITDA, the one disclosed margin anchor</w:t>
            </w:r>
          </w:p>
        </w:tc>
        <w:tc>
          <w:tcPr>
            <w:tcW w:type="dxa" w:w="1210"/>
          </w:tcPr>
          <w:p>
            <w:pPr>
              <w:spacing w:after="20"/>
            </w:pPr>
            <w:r>
              <w:rPr>
                <w:color w:val="1C3A36"/>
                <w:sz w:val="14"/>
              </w:rPr>
              <w:t>2026-03-10</w:t>
            </w:r>
          </w:p>
        </w:tc>
      </w:tr>
      <w:tr>
        <w:tc>
          <w:tcPr>
            <w:tcW w:type="dxa" w:w="432"/>
          </w:tcPr>
          <w:p>
            <w:pPr>
              <w:spacing w:after="20"/>
            </w:pPr>
            <w:r>
              <w:rPr>
                <w:color w:val="1C3A36"/>
                <w:sz w:val="14"/>
              </w:rPr>
              <w:t>9</w:t>
            </w:r>
          </w:p>
        </w:tc>
        <w:tc>
          <w:tcPr>
            <w:tcW w:type="dxa" w:w="2448"/>
          </w:tcPr>
          <w:p>
            <w:pPr>
              <w:spacing w:after="20"/>
            </w:pPr>
            <w:r>
              <w:rPr>
                <w:color w:val="1C3A36"/>
                <w:sz w:val="14"/>
              </w:rPr>
              <w:t>eq_fy25_rep</w:t>
            </w:r>
          </w:p>
        </w:tc>
        <w:tc>
          <w:tcPr>
            <w:tcW w:type="dxa" w:w="1325"/>
          </w:tcPr>
          <w:p>
            <w:pPr>
              <w:spacing w:after="20"/>
            </w:pPr>
            <w:r>
              <w:rPr>
                <w:color w:val="1C3A36"/>
                <w:sz w:val="14"/>
              </w:rPr>
              <w:t>5,240</w:t>
            </w:r>
          </w:p>
        </w:tc>
        <w:tc>
          <w:tcPr>
            <w:tcW w:type="dxa" w:w="1066"/>
          </w:tcPr>
          <w:p>
            <w:pPr>
              <w:spacing w:after="20"/>
            </w:pPr>
            <w:r>
              <w:rPr>
                <w:color w:val="1C3A36"/>
                <w:sz w:val="14"/>
              </w:rPr>
              <w:t>Company</w:t>
            </w:r>
          </w:p>
        </w:tc>
        <w:tc>
          <w:tcPr>
            <w:tcW w:type="dxa" w:w="7171"/>
          </w:tcPr>
          <w:p>
            <w:pPr>
              <w:spacing w:after="20"/>
            </w:pPr>
            <w:r>
              <w:rPr>
                <w:color w:val="1C3A36"/>
                <w:sz w:val="14"/>
              </w:rPr>
              <w:t>FY2025 balance-sheet data from S&amp;P Global Market Intelligence as carried by two independent aggregations (stockanalysis.com, simplywall.st), which agree — FY2025 shareholders' equity ~EGP 5.24bn</w:t>
            </w:r>
          </w:p>
        </w:tc>
        <w:tc>
          <w:tcPr>
            <w:tcW w:type="dxa" w:w="1210"/>
          </w:tcPr>
          <w:p>
            <w:pPr>
              <w:spacing w:after="20"/>
            </w:pPr>
            <w:r>
              <w:rPr>
                <w:color w:val="1C3A36"/>
                <w:sz w:val="14"/>
              </w:rPr>
              <w:t>2026-03-10</w:t>
            </w:r>
          </w:p>
        </w:tc>
      </w:tr>
      <w:tr>
        <w:tc>
          <w:tcPr>
            <w:tcW w:type="dxa" w:w="432"/>
          </w:tcPr>
          <w:p>
            <w:pPr>
              <w:spacing w:after="20"/>
            </w:pPr>
            <w:r>
              <w:rPr>
                <w:color w:val="1C3A36"/>
                <w:sz w:val="14"/>
              </w:rPr>
              <w:t>10</w:t>
            </w:r>
          </w:p>
        </w:tc>
        <w:tc>
          <w:tcPr>
            <w:tcW w:type="dxa" w:w="2448"/>
          </w:tcPr>
          <w:p>
            <w:pPr>
              <w:spacing w:after="20"/>
            </w:pPr>
            <w:r>
              <w:rPr>
                <w:color w:val="1C3A36"/>
                <w:sz w:val="14"/>
              </w:rPr>
              <w:t>mto_price</w:t>
            </w:r>
          </w:p>
        </w:tc>
        <w:tc>
          <w:tcPr>
            <w:tcW w:type="dxa" w:w="1325"/>
          </w:tcPr>
          <w:p>
            <w:pPr>
              <w:spacing w:after="20"/>
            </w:pPr>
            <w:r>
              <w:rPr>
                <w:color w:val="1C3A36"/>
                <w:sz w:val="14"/>
              </w:rPr>
              <w:t>41</w:t>
            </w:r>
          </w:p>
        </w:tc>
        <w:tc>
          <w:tcPr>
            <w:tcW w:type="dxa" w:w="1066"/>
          </w:tcPr>
          <w:p>
            <w:pPr>
              <w:spacing w:after="20"/>
            </w:pPr>
            <w:r>
              <w:rPr>
                <w:color w:val="1C3A36"/>
                <w:sz w:val="14"/>
              </w:rPr>
              <w:t>Company</w:t>
            </w:r>
          </w:p>
        </w:tc>
        <w:tc>
          <w:tcPr>
            <w:tcW w:type="dxa" w:w="7171"/>
          </w:tcPr>
          <w:p>
            <w:pPr>
              <w:spacing w:after="20"/>
            </w:pPr>
            <w:r>
              <w:rPr>
                <w:color w:val="1C3A36"/>
                <w:sz w:val="14"/>
              </w:rPr>
              <w:t>Vicat mandatory tender offer, July 2025. A disclosed reference point and an overhang, never a fair value</w:t>
            </w:r>
          </w:p>
        </w:tc>
        <w:tc>
          <w:tcPr>
            <w:tcW w:type="dxa" w:w="1210"/>
          </w:tcPr>
          <w:p>
            <w:pPr>
              <w:spacing w:after="20"/>
            </w:pPr>
            <w:r>
              <w:rPr>
                <w:color w:val="1C3A36"/>
                <w:sz w:val="14"/>
              </w:rPr>
              <w:t>2025-07-28</w:t>
            </w:r>
          </w:p>
        </w:tc>
      </w:tr>
      <w:tr>
        <w:tc>
          <w:tcPr>
            <w:tcW w:type="dxa" w:w="432"/>
          </w:tcPr>
          <w:p>
            <w:pPr>
              <w:spacing w:after="20"/>
            </w:pPr>
            <w:r>
              <w:rPr>
                <w:color w:val="1C3A36"/>
                <w:sz w:val="14"/>
              </w:rPr>
              <w:t>11</w:t>
            </w:r>
          </w:p>
        </w:tc>
        <w:tc>
          <w:tcPr>
            <w:tcW w:type="dxa" w:w="2448"/>
          </w:tcPr>
          <w:p>
            <w:pPr>
              <w:spacing w:after="20"/>
            </w:pPr>
            <w:r>
              <w:rPr>
                <w:color w:val="1C3A36"/>
                <w:sz w:val="14"/>
              </w:rPr>
              <w:t>pat_fy23</w:t>
            </w:r>
          </w:p>
        </w:tc>
        <w:tc>
          <w:tcPr>
            <w:tcW w:type="dxa" w:w="1325"/>
          </w:tcPr>
          <w:p>
            <w:pPr>
              <w:spacing w:after="20"/>
            </w:pPr>
            <w:r>
              <w:rPr>
                <w:color w:val="1C3A36"/>
                <w:sz w:val="14"/>
              </w:rPr>
              <w:t>-121.42</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FY2023 net loss after tax</w:t>
            </w:r>
          </w:p>
        </w:tc>
        <w:tc>
          <w:tcPr>
            <w:tcW w:type="dxa" w:w="1210"/>
          </w:tcPr>
          <w:p>
            <w:pPr>
              <w:spacing w:after="20"/>
            </w:pPr>
            <w:r>
              <w:rPr>
                <w:color w:val="1C3A36"/>
                <w:sz w:val="14"/>
              </w:rPr>
              <w:t>2025-03-16</w:t>
            </w:r>
          </w:p>
        </w:tc>
      </w:tr>
      <w:tr>
        <w:tc>
          <w:tcPr>
            <w:tcW w:type="dxa" w:w="432"/>
          </w:tcPr>
          <w:p>
            <w:pPr>
              <w:spacing w:after="20"/>
            </w:pPr>
            <w:r>
              <w:rPr>
                <w:color w:val="1C3A36"/>
                <w:sz w:val="14"/>
              </w:rPr>
              <w:t>12</w:t>
            </w:r>
          </w:p>
        </w:tc>
        <w:tc>
          <w:tcPr>
            <w:tcW w:type="dxa" w:w="2448"/>
          </w:tcPr>
          <w:p>
            <w:pPr>
              <w:spacing w:after="20"/>
            </w:pPr>
            <w:r>
              <w:rPr>
                <w:color w:val="1C3A36"/>
                <w:sz w:val="14"/>
              </w:rPr>
              <w:t>pat_fy24</w:t>
            </w:r>
          </w:p>
        </w:tc>
        <w:tc>
          <w:tcPr>
            <w:tcW w:type="dxa" w:w="1325"/>
          </w:tcPr>
          <w:p>
            <w:pPr>
              <w:spacing w:after="20"/>
            </w:pPr>
            <w:r>
              <w:rPr>
                <w:color w:val="1C3A36"/>
                <w:sz w:val="14"/>
              </w:rPr>
              <w:t>3,070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FY2024 net profit after tax</w:t>
            </w:r>
          </w:p>
        </w:tc>
        <w:tc>
          <w:tcPr>
            <w:tcW w:type="dxa" w:w="1210"/>
          </w:tcPr>
          <w:p>
            <w:pPr>
              <w:spacing w:after="20"/>
            </w:pPr>
            <w:r>
              <w:rPr>
                <w:color w:val="1C3A36"/>
                <w:sz w:val="14"/>
              </w:rPr>
              <w:t>2025-03-16</w:t>
            </w:r>
          </w:p>
        </w:tc>
      </w:tr>
      <w:tr>
        <w:tc>
          <w:tcPr>
            <w:tcW w:type="dxa" w:w="432"/>
          </w:tcPr>
          <w:p>
            <w:pPr>
              <w:spacing w:after="20"/>
            </w:pPr>
            <w:r>
              <w:rPr>
                <w:color w:val="1C3A36"/>
                <w:sz w:val="14"/>
              </w:rPr>
              <w:t>13</w:t>
            </w:r>
          </w:p>
        </w:tc>
        <w:tc>
          <w:tcPr>
            <w:tcW w:type="dxa" w:w="2448"/>
          </w:tcPr>
          <w:p>
            <w:pPr>
              <w:spacing w:after="20"/>
            </w:pPr>
            <w:r>
              <w:rPr>
                <w:color w:val="1C3A36"/>
                <w:sz w:val="14"/>
              </w:rPr>
              <w:t>pat_fy25</w:t>
            </w:r>
          </w:p>
        </w:tc>
        <w:tc>
          <w:tcPr>
            <w:tcW w:type="dxa" w:w="1325"/>
          </w:tcPr>
          <w:p>
            <w:pPr>
              <w:spacing w:after="20"/>
            </w:pPr>
            <w:r>
              <w:rPr>
                <w:color w:val="1C3A36"/>
                <w:sz w:val="14"/>
              </w:rPr>
              <w:t>2,290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FY2025 net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14</w:t>
            </w:r>
          </w:p>
        </w:tc>
        <w:tc>
          <w:tcPr>
            <w:tcW w:type="dxa" w:w="2448"/>
          </w:tcPr>
          <w:p>
            <w:pPr>
              <w:spacing w:after="20"/>
            </w:pPr>
            <w:r>
              <w:rPr>
                <w:color w:val="1C3A36"/>
                <w:sz w:val="14"/>
              </w:rPr>
              <w:t>rev_fy23</w:t>
            </w:r>
          </w:p>
        </w:tc>
        <w:tc>
          <w:tcPr>
            <w:tcW w:type="dxa" w:w="1325"/>
          </w:tcPr>
          <w:p>
            <w:pPr>
              <w:spacing w:after="20"/>
            </w:pPr>
            <w:r>
              <w:rPr>
                <w:color w:val="1C3A36"/>
                <w:sz w:val="14"/>
              </w:rPr>
              <w:t>4,280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FY2023 net sales</w:t>
            </w:r>
          </w:p>
        </w:tc>
        <w:tc>
          <w:tcPr>
            <w:tcW w:type="dxa" w:w="1210"/>
          </w:tcPr>
          <w:p>
            <w:pPr>
              <w:spacing w:after="20"/>
            </w:pPr>
            <w:r>
              <w:rPr>
                <w:color w:val="1C3A36"/>
                <w:sz w:val="14"/>
              </w:rPr>
              <w:t>2025-03-16</w:t>
            </w:r>
          </w:p>
        </w:tc>
      </w:tr>
      <w:tr>
        <w:tc>
          <w:tcPr>
            <w:tcW w:type="dxa" w:w="432"/>
          </w:tcPr>
          <w:p>
            <w:pPr>
              <w:spacing w:after="20"/>
            </w:pPr>
            <w:r>
              <w:rPr>
                <w:color w:val="1C3A36"/>
                <w:sz w:val="14"/>
              </w:rPr>
              <w:t>15</w:t>
            </w:r>
          </w:p>
        </w:tc>
        <w:tc>
          <w:tcPr>
            <w:tcW w:type="dxa" w:w="2448"/>
          </w:tcPr>
          <w:p>
            <w:pPr>
              <w:spacing w:after="20"/>
            </w:pPr>
            <w:r>
              <w:rPr>
                <w:color w:val="1C3A36"/>
                <w:sz w:val="14"/>
              </w:rPr>
              <w:t>rev_fy24</w:t>
            </w:r>
          </w:p>
        </w:tc>
        <w:tc>
          <w:tcPr>
            <w:tcW w:type="dxa" w:w="1325"/>
          </w:tcPr>
          <w:p>
            <w:pPr>
              <w:spacing w:after="20"/>
            </w:pPr>
            <w:r>
              <w:rPr>
                <w:color w:val="1C3A36"/>
                <w:sz w:val="14"/>
              </w:rPr>
              <w:t>6,420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FY2024 net sales</w:t>
            </w:r>
          </w:p>
        </w:tc>
        <w:tc>
          <w:tcPr>
            <w:tcW w:type="dxa" w:w="1210"/>
          </w:tcPr>
          <w:p>
            <w:pPr>
              <w:spacing w:after="20"/>
            </w:pPr>
            <w:r>
              <w:rPr>
                <w:color w:val="1C3A36"/>
                <w:sz w:val="14"/>
              </w:rPr>
              <w:t>2025-03-16</w:t>
            </w:r>
          </w:p>
        </w:tc>
      </w:tr>
      <w:tr>
        <w:tc>
          <w:tcPr>
            <w:tcW w:type="dxa" w:w="432"/>
          </w:tcPr>
          <w:p>
            <w:pPr>
              <w:spacing w:after="20"/>
            </w:pPr>
            <w:r>
              <w:rPr>
                <w:color w:val="1C3A36"/>
                <w:sz w:val="14"/>
              </w:rPr>
              <w:t>16</w:t>
            </w:r>
          </w:p>
        </w:tc>
        <w:tc>
          <w:tcPr>
            <w:tcW w:type="dxa" w:w="2448"/>
          </w:tcPr>
          <w:p>
            <w:pPr>
              <w:spacing w:after="20"/>
            </w:pPr>
            <w:r>
              <w:rPr>
                <w:color w:val="1C3A36"/>
                <w:sz w:val="14"/>
              </w:rPr>
              <w:t>rev_fy25</w:t>
            </w:r>
          </w:p>
        </w:tc>
        <w:tc>
          <w:tcPr>
            <w:tcW w:type="dxa" w:w="1325"/>
          </w:tcPr>
          <w:p>
            <w:pPr>
              <w:spacing w:after="20"/>
            </w:pPr>
            <w:r>
              <w:rPr>
                <w:color w:val="1C3A36"/>
                <w:sz w:val="14"/>
              </w:rPr>
              <w:t>9,090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FY2025 revenue, +41.4%</w:t>
            </w:r>
          </w:p>
        </w:tc>
        <w:tc>
          <w:tcPr>
            <w:tcW w:type="dxa" w:w="1210"/>
          </w:tcPr>
          <w:p>
            <w:pPr>
              <w:spacing w:after="20"/>
            </w:pPr>
            <w:r>
              <w:rPr>
                <w:color w:val="1C3A36"/>
                <w:sz w:val="14"/>
              </w:rPr>
              <w:t>2026-03-10</w:t>
            </w:r>
          </w:p>
        </w:tc>
      </w:tr>
      <w:tr>
        <w:tc>
          <w:tcPr>
            <w:tcW w:type="dxa" w:w="432"/>
          </w:tcPr>
          <w:p>
            <w:pPr>
              <w:spacing w:after="20"/>
            </w:pPr>
            <w:r>
              <w:rPr>
                <w:color w:val="1C3A36"/>
                <w:sz w:val="14"/>
              </w:rPr>
              <w:t>17</w:t>
            </w:r>
          </w:p>
        </w:tc>
        <w:tc>
          <w:tcPr>
            <w:tcW w:type="dxa" w:w="2448"/>
          </w:tcPr>
          <w:p>
            <w:pPr>
              <w:spacing w:after="20"/>
            </w:pPr>
            <w:r>
              <w:rPr>
                <w:color w:val="1C3A36"/>
                <w:sz w:val="14"/>
              </w:rPr>
              <w:t>shares_fy23</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171"/>
          </w:tcPr>
          <w:p>
            <w:pPr>
              <w:spacing w:after="20"/>
            </w:pPr>
            <w:r>
              <w:rPr>
                <w:color w:val="1C3A36"/>
                <w:sz w:val="14"/>
              </w:rPr>
              <w:t>Weighted-average shares FY2023, pre-rights-issue. Corroborated by the 2022 tender offer (56.063mn = 42.12%) and by disclosed EPS</w:t>
            </w:r>
          </w:p>
        </w:tc>
        <w:tc>
          <w:tcPr>
            <w:tcW w:type="dxa" w:w="1210"/>
          </w:tcPr>
          <w:p>
            <w:pPr>
              <w:spacing w:after="20"/>
            </w:pPr>
            <w:r>
              <w:rPr>
                <w:color w:val="1C3A36"/>
                <w:sz w:val="14"/>
              </w:rPr>
              <w:t>2025-03-16</w:t>
            </w:r>
          </w:p>
        </w:tc>
      </w:tr>
      <w:tr>
        <w:tc>
          <w:tcPr>
            <w:tcW w:type="dxa" w:w="432"/>
          </w:tcPr>
          <w:p>
            <w:pPr>
              <w:spacing w:after="20"/>
            </w:pPr>
            <w:r>
              <w:rPr>
                <w:color w:val="1C3A36"/>
                <w:sz w:val="14"/>
              </w:rPr>
              <w:t>18</w:t>
            </w:r>
          </w:p>
        </w:tc>
        <w:tc>
          <w:tcPr>
            <w:tcW w:type="dxa" w:w="2448"/>
          </w:tcPr>
          <w:p>
            <w:pPr>
              <w:spacing w:after="20"/>
            </w:pPr>
            <w:r>
              <w:rPr>
                <w:color w:val="1C3A36"/>
                <w:sz w:val="14"/>
              </w:rPr>
              <w:t>shares_fy24</w:t>
            </w:r>
          </w:p>
        </w:tc>
        <w:tc>
          <w:tcPr>
            <w:tcW w:type="dxa" w:w="1325"/>
          </w:tcPr>
          <w:p>
            <w:pPr>
              <w:spacing w:after="20"/>
            </w:pPr>
            <w:r>
              <w:rPr>
                <w:color w:val="1C3A36"/>
                <w:sz w:val="14"/>
              </w:rPr>
              <w:t>133.07</w:t>
            </w:r>
          </w:p>
        </w:tc>
        <w:tc>
          <w:tcPr>
            <w:tcW w:type="dxa" w:w="1066"/>
          </w:tcPr>
          <w:p>
            <w:pPr>
              <w:spacing w:after="20"/>
            </w:pPr>
            <w:r>
              <w:rPr>
                <w:color w:val="1C3A36"/>
                <w:sz w:val="14"/>
              </w:rPr>
              <w:t>Company</w:t>
            </w:r>
          </w:p>
        </w:tc>
        <w:tc>
          <w:tcPr>
            <w:tcW w:type="dxa" w:w="7171"/>
          </w:tcPr>
          <w:p>
            <w:pPr>
              <w:spacing w:after="20"/>
            </w:pPr>
            <w:r>
              <w:rPr>
                <w:color w:val="1C3A36"/>
                <w:sz w:val="14"/>
              </w:rPr>
              <w:t>Weighted-average shares FY2024. Disclosed EPS of EGP 23.13 on attributable profit implies 132.7mn</w:t>
            </w:r>
          </w:p>
        </w:tc>
        <w:tc>
          <w:tcPr>
            <w:tcW w:type="dxa" w:w="1210"/>
          </w:tcPr>
          <w:p>
            <w:pPr>
              <w:spacing w:after="20"/>
            </w:pPr>
            <w:r>
              <w:rPr>
                <w:color w:val="1C3A36"/>
                <w:sz w:val="14"/>
              </w:rPr>
              <w:t>2025-03-16</w:t>
            </w:r>
          </w:p>
        </w:tc>
      </w:tr>
      <w:tr>
        <w:tc>
          <w:tcPr>
            <w:tcW w:type="dxa" w:w="432"/>
          </w:tcPr>
          <w:p>
            <w:pPr>
              <w:spacing w:after="20"/>
            </w:pPr>
            <w:r>
              <w:rPr>
                <w:color w:val="1C3A36"/>
                <w:sz w:val="14"/>
              </w:rPr>
              <w:t>19</w:t>
            </w:r>
          </w:p>
        </w:tc>
        <w:tc>
          <w:tcPr>
            <w:tcW w:type="dxa" w:w="2448"/>
          </w:tcPr>
          <w:p>
            <w:pPr>
              <w:spacing w:after="20"/>
            </w:pPr>
            <w:r>
              <w:rPr>
                <w:color w:val="1C3A36"/>
                <w:sz w:val="14"/>
              </w:rPr>
              <w:t>shares_fy25</w:t>
            </w:r>
          </w:p>
        </w:tc>
        <w:tc>
          <w:tcPr>
            <w:tcW w:type="dxa" w:w="1325"/>
          </w:tcPr>
          <w:p>
            <w:pPr>
              <w:spacing w:after="20"/>
            </w:pPr>
            <w:r>
              <w:rPr>
                <w:color w:val="1C3A36"/>
                <w:sz w:val="14"/>
              </w:rPr>
              <w:t>222</w:t>
            </w:r>
          </w:p>
        </w:tc>
        <w:tc>
          <w:tcPr>
            <w:tcW w:type="dxa" w:w="1066"/>
          </w:tcPr>
          <w:p>
            <w:pPr>
              <w:spacing w:after="20"/>
            </w:pPr>
            <w:r>
              <w:rPr>
                <w:color w:val="1C3A36"/>
                <w:sz w:val="14"/>
              </w:rPr>
              <w:t>Company</w:t>
            </w:r>
          </w:p>
        </w:tc>
        <w:tc>
          <w:tcPr>
            <w:tcW w:type="dxa" w:w="7171"/>
          </w:tcPr>
          <w:p>
            <w:pPr>
              <w:spacing w:after="20"/>
            </w:pPr>
            <w:r>
              <w:rPr>
                <w:color w:val="1C3A36"/>
                <w:sz w:val="14"/>
              </w:rPr>
              <w:t>Weighted-average shares FY2025, the rights issue having completed during the year</w:t>
            </w:r>
          </w:p>
        </w:tc>
        <w:tc>
          <w:tcPr>
            <w:tcW w:type="dxa" w:w="1210"/>
          </w:tcPr>
          <w:p>
            <w:pPr>
              <w:spacing w:after="20"/>
            </w:pPr>
            <w:r>
              <w:rPr>
                <w:color w:val="1C3A36"/>
                <w:sz w:val="14"/>
              </w:rPr>
              <w:t>2026-03-10</w:t>
            </w:r>
          </w:p>
        </w:tc>
      </w:tr>
      <w:tr>
        <w:tc>
          <w:tcPr>
            <w:tcW w:type="dxa" w:w="432"/>
          </w:tcPr>
          <w:p>
            <w:pPr>
              <w:spacing w:after="20"/>
            </w:pPr>
            <w:r>
              <w:rPr>
                <w:color w:val="1C3A36"/>
                <w:sz w:val="14"/>
              </w:rPr>
              <w:t>20</w:t>
            </w:r>
          </w:p>
        </w:tc>
        <w:tc>
          <w:tcPr>
            <w:tcW w:type="dxa" w:w="2448"/>
          </w:tcPr>
          <w:p>
            <w:pPr>
              <w:spacing w:after="20"/>
            </w:pPr>
            <w:r>
              <w:rPr>
                <w:color w:val="1C3A36"/>
                <w:sz w:val="14"/>
              </w:rPr>
              <w:t>shares_mn</w:t>
            </w:r>
          </w:p>
        </w:tc>
        <w:tc>
          <w:tcPr>
            <w:tcW w:type="dxa" w:w="1325"/>
          </w:tcPr>
          <w:p>
            <w:pPr>
              <w:spacing w:after="20"/>
            </w:pPr>
            <w:r>
              <w:rPr>
                <w:color w:val="1C3A36"/>
                <w:sz w:val="14"/>
              </w:rPr>
              <w:t>260.8125</w:t>
            </w:r>
          </w:p>
        </w:tc>
        <w:tc>
          <w:tcPr>
            <w:tcW w:type="dxa" w:w="1066"/>
          </w:tcPr>
          <w:p>
            <w:pPr>
              <w:spacing w:after="20"/>
            </w:pPr>
            <w:r>
              <w:rPr>
                <w:color w:val="1C3A36"/>
                <w:sz w:val="14"/>
              </w:rPr>
              <w:t>Company</w:t>
            </w:r>
          </w:p>
        </w:tc>
        <w:tc>
          <w:tcPr>
            <w:tcW w:type="dxa" w:w="7171"/>
          </w:tcPr>
          <w:p>
            <w:pPr>
              <w:spacing w:after="20"/>
            </w:pPr>
            <w:r>
              <w:rPr>
                <w:color w:val="1C3A36"/>
                <w:sz w:val="14"/>
              </w:rPr>
              <w:t>260,812,477 shares, corroborated FIVE ways: issued capital EGP 2,608,124,770 at EGP 10 par; the Jul-2025 tender offer of 58,416,664 shares at 22.4%; quoted market capitalisation over price; and the reconstruction 133.07mn pre-issue + 127.74mn subscribed. Revision 1 wrongly described the pre-issue count as 92.61mn by subtracting shares OFFERED (168.20mn) instead of shares SUBSCRIBED (127.74mn, a 75.95% take-up)</w:t>
            </w:r>
          </w:p>
        </w:tc>
        <w:tc>
          <w:tcPr>
            <w:tcW w:type="dxa" w:w="1210"/>
          </w:tcPr>
          <w:p>
            <w:pPr>
              <w:spacing w:after="20"/>
            </w:pPr>
            <w:r>
              <w:rPr>
                <w:color w:val="1C3A36"/>
                <w:sz w:val="14"/>
              </w:rPr>
              <w:t>2025-07-28</w:t>
            </w:r>
          </w:p>
        </w:tc>
      </w:tr>
      <w:tr>
        <w:tc>
          <w:tcPr>
            <w:tcW w:type="dxa" w:w="432"/>
          </w:tcPr>
          <w:p>
            <w:pPr>
              <w:spacing w:after="20"/>
            </w:pPr>
            <w:r>
              <w:rPr>
                <w:color w:val="1C3A36"/>
                <w:sz w:val="14"/>
              </w:rPr>
              <w:t>21</w:t>
            </w:r>
          </w:p>
        </w:tc>
        <w:tc>
          <w:tcPr>
            <w:tcW w:type="dxa" w:w="2448"/>
          </w:tcPr>
          <w:p>
            <w:pPr>
              <w:spacing w:after="20"/>
            </w:pPr>
            <w:r>
              <w:rPr>
                <w:color w:val="1C3A36"/>
                <w:sz w:val="14"/>
              </w:rPr>
              <w:t>swcc_eur</w:t>
            </w:r>
          </w:p>
        </w:tc>
        <w:tc>
          <w:tcPr>
            <w:tcW w:type="dxa" w:w="1325"/>
          </w:tcPr>
          <w:p>
            <w:pPr>
              <w:spacing w:after="20"/>
            </w:pPr>
            <w:r>
              <w:rPr>
                <w:color w:val="1C3A36"/>
                <w:sz w:val="14"/>
              </w:rPr>
              <w:t>30</w:t>
            </w:r>
          </w:p>
        </w:tc>
        <w:tc>
          <w:tcPr>
            <w:tcW w:type="dxa" w:w="1066"/>
          </w:tcPr>
          <w:p>
            <w:pPr>
              <w:spacing w:after="20"/>
            </w:pPr>
            <w:r>
              <w:rPr>
                <w:color w:val="1C3A36"/>
                <w:sz w:val="14"/>
              </w:rPr>
              <w:t>Company</w:t>
            </w:r>
          </w:p>
        </w:tc>
        <w:tc>
          <w:tcPr>
            <w:tcW w:type="dxa" w:w="7171"/>
          </w:tcPr>
          <w:p>
            <w:pPr>
              <w:spacing w:after="20"/>
            </w:pPr>
            <w:r>
              <w:rPr>
                <w:color w:val="1C3A36"/>
                <w:sz w:val="14"/>
              </w:rPr>
              <w:t>EUR 30mn for the 25.40% Sinai White stake, completed 13-Aug-2024</w:t>
            </w:r>
          </w:p>
        </w:tc>
        <w:tc>
          <w:tcPr>
            <w:tcW w:type="dxa" w:w="1210"/>
          </w:tcPr>
          <w:p>
            <w:pPr>
              <w:spacing w:after="20"/>
            </w:pPr>
            <w:r>
              <w:rPr>
                <w:color w:val="1C3A36"/>
                <w:sz w:val="14"/>
              </w:rPr>
              <w:t>2024-08-13</w:t>
            </w:r>
          </w:p>
        </w:tc>
      </w:tr>
      <w:tr>
        <w:tc>
          <w:tcPr>
            <w:tcW w:type="dxa" w:w="432"/>
          </w:tcPr>
          <w:p>
            <w:pPr>
              <w:spacing w:after="20"/>
            </w:pPr>
            <w:r>
              <w:rPr>
                <w:color w:val="1C3A36"/>
                <w:sz w:val="14"/>
              </w:rPr>
              <w:t>22</w:t>
            </w:r>
          </w:p>
        </w:tc>
        <w:tc>
          <w:tcPr>
            <w:tcW w:type="dxa" w:w="2448"/>
          </w:tcPr>
          <w:p>
            <w:pPr>
              <w:spacing w:after="20"/>
            </w:pPr>
            <w:r>
              <w:rPr>
                <w:color w:val="1C3A36"/>
                <w:sz w:val="14"/>
              </w:rPr>
              <w:t>ta_fy24</w:t>
            </w:r>
          </w:p>
        </w:tc>
        <w:tc>
          <w:tcPr>
            <w:tcW w:type="dxa" w:w="1325"/>
          </w:tcPr>
          <w:p>
            <w:pPr>
              <w:spacing w:after="20"/>
            </w:pPr>
            <w:r>
              <w:rPr>
                <w:color w:val="1C3A36"/>
                <w:sz w:val="14"/>
              </w:rPr>
              <w:t>6,385.92</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FY2024 total assets</w:t>
            </w:r>
          </w:p>
        </w:tc>
        <w:tc>
          <w:tcPr>
            <w:tcW w:type="dxa" w:w="1210"/>
          </w:tcPr>
          <w:p>
            <w:pPr>
              <w:spacing w:after="20"/>
            </w:pPr>
            <w:r>
              <w:rPr>
                <w:color w:val="1C3A36"/>
                <w:sz w:val="14"/>
              </w:rPr>
              <w:t>2025-03-16</w:t>
            </w:r>
          </w:p>
        </w:tc>
      </w:tr>
      <w:tr>
        <w:tc>
          <w:tcPr>
            <w:tcW w:type="dxa" w:w="432"/>
          </w:tcPr>
          <w:p>
            <w:pPr>
              <w:spacing w:after="20"/>
            </w:pPr>
            <w:r>
              <w:rPr>
                <w:color w:val="1C3A36"/>
                <w:sz w:val="14"/>
              </w:rPr>
              <w:t>23</w:t>
            </w:r>
          </w:p>
        </w:tc>
        <w:tc>
          <w:tcPr>
            <w:tcW w:type="dxa" w:w="2448"/>
          </w:tcPr>
          <w:p>
            <w:pPr>
              <w:spacing w:after="20"/>
            </w:pPr>
            <w:r>
              <w:rPr>
                <w:color w:val="1C3A36"/>
                <w:sz w:val="14"/>
              </w:rPr>
              <w:t>tax_eff</w:t>
            </w:r>
          </w:p>
        </w:tc>
        <w:tc>
          <w:tcPr>
            <w:tcW w:type="dxa" w:w="1325"/>
          </w:tcPr>
          <w:p>
            <w:pPr>
              <w:spacing w:after="20"/>
            </w:pPr>
            <w:r>
              <w:rPr>
                <w:color w:val="1C3A36"/>
                <w:sz w:val="14"/>
              </w:rPr>
              <w:t>0.32</w:t>
            </w:r>
          </w:p>
        </w:tc>
        <w:tc>
          <w:tcPr>
            <w:tcW w:type="dxa" w:w="1066"/>
          </w:tcPr>
          <w:p>
            <w:pPr>
              <w:spacing w:after="20"/>
            </w:pPr>
            <w:r>
              <w:rPr>
                <w:color w:val="1C3A36"/>
                <w:sz w:val="14"/>
              </w:rPr>
              <w:t>Company</w:t>
            </w:r>
          </w:p>
        </w:tc>
        <w:tc>
          <w:tcPr>
            <w:tcW w:type="dxa" w:w="7171"/>
          </w:tcPr>
          <w:p>
            <w:pPr>
              <w:spacing w:after="20"/>
            </w:pPr>
            <w:r>
              <w:rPr>
                <w:color w:val="1C3A36"/>
                <w:sz w:val="14"/>
              </w:rPr>
              <w:t>EFFECTIVE tax rate on the FY2025 closure. Disclosed pre-tax profit of 3,378.7 against profit after tax of 2,298.2 gives 32.0%. Revision 1 used the statutory 22.5% here, which understated every derived operating line</w:t>
            </w:r>
          </w:p>
        </w:tc>
        <w:tc>
          <w:tcPr>
            <w:tcW w:type="dxa" w:w="1210"/>
          </w:tcPr>
          <w:p>
            <w:pPr>
              <w:spacing w:after="20"/>
            </w:pPr>
            <w:r>
              <w:rPr>
                <w:color w:val="1C3A36"/>
                <w:sz w:val="14"/>
              </w:rPr>
              <w:t>2026-03-10</w:t>
            </w:r>
          </w:p>
        </w:tc>
      </w:tr>
      <w:tr>
        <w:tc>
          <w:tcPr>
            <w:tcW w:type="dxa" w:w="432"/>
          </w:tcPr>
          <w:p>
            <w:pPr>
              <w:spacing w:after="20"/>
            </w:pPr>
            <w:r>
              <w:rPr>
                <w:color w:val="1C3A36"/>
                <w:sz w:val="14"/>
              </w:rPr>
              <w:t>24</w:t>
            </w:r>
          </w:p>
        </w:tc>
        <w:tc>
          <w:tcPr>
            <w:tcW w:type="dxa" w:w="2448"/>
          </w:tcPr>
          <w:p>
            <w:pPr>
              <w:spacing w:after="20"/>
            </w:pPr>
            <w:r>
              <w:rPr>
                <w:color w:val="1C3A36"/>
                <w:sz w:val="14"/>
              </w:rPr>
              <w:t>tl_fy24</w:t>
            </w:r>
          </w:p>
        </w:tc>
        <w:tc>
          <w:tcPr>
            <w:tcW w:type="dxa" w:w="1325"/>
          </w:tcPr>
          <w:p>
            <w:pPr>
              <w:spacing w:after="20"/>
            </w:pPr>
            <w:r>
              <w:rPr>
                <w:color w:val="1C3A36"/>
                <w:sz w:val="14"/>
              </w:rPr>
              <w:t>1,610.86</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Global Cement, cemnet/International Cement Review, Daily News Egypt and Arab Finance — FY2024 total liabilities; the triple closes to equity of 4,775.06 exactly</w:t>
            </w:r>
          </w:p>
        </w:tc>
        <w:tc>
          <w:tcPr>
            <w:tcW w:type="dxa" w:w="1210"/>
          </w:tcPr>
          <w:p>
            <w:pPr>
              <w:spacing w:after="20"/>
            </w:pPr>
            <w:r>
              <w:rPr>
                <w:color w:val="1C3A36"/>
                <w:sz w:val="14"/>
              </w:rPr>
              <w:t>2025-03-16</w:t>
            </w:r>
          </w:p>
        </w:tc>
      </w:tr>
      <w:tr>
        <w:tc>
          <w:tcPr>
            <w:tcW w:type="dxa" w:w="432"/>
          </w:tcPr>
          <w:p>
            <w:pPr>
              <w:spacing w:after="20"/>
            </w:pPr>
            <w:r>
              <w:rPr>
                <w:color w:val="1C3A36"/>
                <w:sz w:val="14"/>
              </w:rPr>
              <w:t>25</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171"/>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432"/>
          </w:tcPr>
          <w:p>
            <w:pPr>
              <w:spacing w:after="20"/>
            </w:pPr>
            <w:r>
              <w:rPr>
                <w:color w:val="1C3A36"/>
                <w:sz w:val="14"/>
              </w:rPr>
              <w:t>26</w:t>
            </w:r>
          </w:p>
        </w:tc>
        <w:tc>
          <w:tcPr>
            <w:tcW w:type="dxa" w:w="2448"/>
          </w:tcPr>
          <w:p>
            <w:pPr>
              <w:spacing w:after="20"/>
            </w:pPr>
            <w:r>
              <w:rPr>
                <w:color w:val="1C3A36"/>
                <w:sz w:val="14"/>
              </w:rPr>
              <w:t>domestic_share</w:t>
            </w:r>
          </w:p>
        </w:tc>
        <w:tc>
          <w:tcPr>
            <w:tcW w:type="dxa" w:w="1325"/>
          </w:tcPr>
          <w:p>
            <w:pPr>
              <w:spacing w:after="20"/>
            </w:pPr>
            <w:r>
              <w:rPr>
                <w:color w:val="1C3A36"/>
                <w:sz w:val="14"/>
              </w:rPr>
              <w:t>0.88, 0.87, 0.86, 0.85, 0.84, 0.83</w:t>
            </w:r>
          </w:p>
        </w:tc>
        <w:tc>
          <w:tcPr>
            <w:tcW w:type="dxa" w:w="1066"/>
          </w:tcPr>
          <w:p>
            <w:pPr>
              <w:spacing w:after="20"/>
            </w:pPr>
            <w:r>
              <w:rPr>
                <w:color w:val="1C3A36"/>
                <w:sz w:val="14"/>
              </w:rPr>
              <w:t>Industry</w:t>
            </w:r>
          </w:p>
        </w:tc>
        <w:tc>
          <w:tcPr>
            <w:tcW w:type="dxa" w:w="7171"/>
          </w:tcPr>
          <w:p>
            <w:pPr>
              <w:spacing w:after="20"/>
            </w:pPr>
            <w:r>
              <w:rPr>
                <w:color w:val="1C3A36"/>
                <w:sz w:val="14"/>
              </w:rPr>
              <w:t>Domestic share of despatches</w:t>
            </w:r>
          </w:p>
        </w:tc>
        <w:tc>
          <w:tcPr>
            <w:tcW w:type="dxa" w:w="1210"/>
          </w:tcPr>
          <w:p>
            <w:pPr>
              <w:spacing w:after="20"/>
            </w:pPr>
            <w:r>
              <w:rPr>
                <w:color w:val="1C3A36"/>
                <w:sz w:val="14"/>
              </w:rPr>
              <w:t>2026-01-01</w:t>
            </w:r>
          </w:p>
        </w:tc>
      </w:tr>
      <w:tr>
        <w:tc>
          <w:tcPr>
            <w:tcW w:type="dxa" w:w="432"/>
          </w:tcPr>
          <w:p>
            <w:pPr>
              <w:spacing w:after="20"/>
            </w:pPr>
            <w:r>
              <w:rPr>
                <w:color w:val="1C3A36"/>
                <w:sz w:val="14"/>
              </w:rPr>
              <w:t>27</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capacity</w:t>
            </w:r>
          </w:p>
        </w:tc>
        <w:tc>
          <w:tcPr>
            <w:tcW w:type="dxa" w:w="1210"/>
          </w:tcPr>
          <w:p>
            <w:pPr>
              <w:spacing w:after="20"/>
            </w:pPr>
            <w:r>
              <w:rPr>
                <w:color w:val="1C3A36"/>
                <w:sz w:val="14"/>
              </w:rPr>
              <w:t>2025-10-01</w:t>
            </w:r>
          </w:p>
        </w:tc>
      </w:tr>
      <w:tr>
        <w:tc>
          <w:tcPr>
            <w:tcW w:type="dxa" w:w="432"/>
          </w:tcPr>
          <w:p>
            <w:pPr>
              <w:spacing w:after="20"/>
            </w:pPr>
            <w:r>
              <w:rPr>
                <w:color w:val="1C3A36"/>
                <w:sz w:val="14"/>
              </w:rPr>
              <w:t>28</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171"/>
          </w:tcPr>
          <w:p>
            <w:pPr>
              <w:spacing w:after="20"/>
            </w:pPr>
            <w:r>
              <w:rPr>
                <w:color w:val="1C3A36"/>
                <w:sz w:val="14"/>
              </w:rPr>
              <w:t>Egyptian domestic consumption 2025</w:t>
            </w:r>
          </w:p>
        </w:tc>
        <w:tc>
          <w:tcPr>
            <w:tcW w:type="dxa" w:w="1210"/>
          </w:tcPr>
          <w:p>
            <w:pPr>
              <w:spacing w:after="20"/>
            </w:pPr>
            <w:r>
              <w:rPr>
                <w:color w:val="1C3A36"/>
                <w:sz w:val="14"/>
              </w:rPr>
              <w:t>2025-10-01</w:t>
            </w:r>
          </w:p>
        </w:tc>
      </w:tr>
      <w:tr>
        <w:tc>
          <w:tcPr>
            <w:tcW w:type="dxa" w:w="432"/>
          </w:tcPr>
          <w:p>
            <w:pPr>
              <w:spacing w:after="20"/>
            </w:pPr>
            <w:r>
              <w:rPr>
                <w:color w:val="1C3A36"/>
                <w:sz w:val="14"/>
              </w:rPr>
              <w:t>29</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171"/>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432"/>
          </w:tcPr>
          <w:p>
            <w:pPr>
              <w:spacing w:after="20"/>
            </w:pPr>
            <w:r>
              <w:rPr>
                <w:color w:val="1C3A36"/>
                <w:sz w:val="14"/>
              </w:rPr>
              <w:t>30</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171"/>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432"/>
          </w:tcPr>
          <w:p>
            <w:pPr>
              <w:spacing w:after="20"/>
            </w:pPr>
            <w:r>
              <w:rPr>
                <w:color w:val="1C3A36"/>
                <w:sz w:val="14"/>
              </w:rPr>
              <w:t>31</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capacity under revival from 2H-2026</w:t>
            </w:r>
          </w:p>
        </w:tc>
        <w:tc>
          <w:tcPr>
            <w:tcW w:type="dxa" w:w="1210"/>
          </w:tcPr>
          <w:p>
            <w:pPr>
              <w:spacing w:after="20"/>
            </w:pPr>
            <w:r>
              <w:rPr>
                <w:color w:val="1C3A36"/>
                <w:sz w:val="14"/>
              </w:rPr>
              <w:t>2025-10-01</w:t>
            </w:r>
          </w:p>
        </w:tc>
      </w:tr>
      <w:tr>
        <w:tc>
          <w:tcPr>
            <w:tcW w:type="dxa" w:w="432"/>
          </w:tcPr>
          <w:p>
            <w:pPr>
              <w:spacing w:after="20"/>
            </w:pPr>
            <w:r>
              <w:rPr>
                <w:color w:val="1C3A36"/>
                <w:sz w:val="14"/>
              </w:rPr>
              <w:t>32</w:t>
            </w:r>
          </w:p>
        </w:tc>
        <w:tc>
          <w:tcPr>
            <w:tcW w:type="dxa" w:w="2448"/>
          </w:tcPr>
          <w:p>
            <w:pPr>
              <w:spacing w:after="20"/>
            </w:pPr>
            <w:r>
              <w:rPr>
                <w:color w:val="1C3A36"/>
                <w:sz w:val="14"/>
              </w:rPr>
              <w:t>fuel_usd_gj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Delivered solid fuel, petcoke/coal ~USD 128/t at ~32 GJ/t</w:t>
            </w:r>
          </w:p>
        </w:tc>
        <w:tc>
          <w:tcPr>
            <w:tcW w:type="dxa" w:w="1210"/>
          </w:tcPr>
          <w:p>
            <w:pPr>
              <w:spacing w:after="20"/>
            </w:pPr>
            <w:r>
              <w:rPr>
                <w:color w:val="1C3A36"/>
                <w:sz w:val="14"/>
              </w:rPr>
              <w:t>2026-08-06</w:t>
            </w:r>
          </w:p>
        </w:tc>
      </w:tr>
      <w:tr>
        <w:tc>
          <w:tcPr>
            <w:tcW w:type="dxa" w:w="432"/>
          </w:tcPr>
          <w:p>
            <w:pPr>
              <w:spacing w:after="20"/>
            </w:pPr>
            <w:r>
              <w:rPr>
                <w:color w:val="1C3A36"/>
                <w:sz w:val="14"/>
              </w:rPr>
              <w:t>33</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171"/>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432"/>
          </w:tcPr>
          <w:p>
            <w:pPr>
              <w:spacing w:after="20"/>
            </w:pPr>
            <w:r>
              <w:rPr>
                <w:color w:val="1C3A36"/>
                <w:sz w:val="14"/>
              </w:rPr>
              <w:t>34</w:t>
            </w:r>
          </w:p>
        </w:tc>
        <w:tc>
          <w:tcPr>
            <w:tcW w:type="dxa" w:w="2448"/>
          </w:tcPr>
          <w:p>
            <w:pPr>
              <w:spacing w:after="20"/>
            </w:pPr>
            <w:r>
              <w:rPr>
                <w:color w:val="1C3A36"/>
                <w:sz w:val="14"/>
              </w:rPr>
              <w:t>peer_arcc_pat</w:t>
            </w:r>
          </w:p>
        </w:tc>
        <w:tc>
          <w:tcPr>
            <w:tcW w:type="dxa" w:w="1325"/>
          </w:tcPr>
          <w:p>
            <w:pPr>
              <w:spacing w:after="20"/>
            </w:pPr>
            <w:r>
              <w:rPr>
                <w:color w:val="1C3A36"/>
                <w:sz w:val="14"/>
              </w:rPr>
              <w:t>3,600</w:t>
            </w:r>
          </w:p>
        </w:tc>
        <w:tc>
          <w:tcPr>
            <w:tcW w:type="dxa" w:w="1066"/>
          </w:tcPr>
          <w:p>
            <w:pPr>
              <w:spacing w:after="20"/>
            </w:pPr>
            <w:r>
              <w:rPr>
                <w:color w:val="1C3A36"/>
                <w:sz w:val="14"/>
              </w:rPr>
              <w:t>Industry</w:t>
            </w:r>
          </w:p>
        </w:tc>
        <w:tc>
          <w:tcPr>
            <w:tcW w:type="dxa" w:w="7171"/>
          </w:tcPr>
          <w:p>
            <w:pPr>
              <w:spacing w:after="20"/>
            </w:pPr>
            <w:r>
              <w:rPr>
                <w:color w:val="1C3A36"/>
                <w:sz w:val="14"/>
              </w:rPr>
              <w:t>Arabian Cement FY2025 consolidated profit</w:t>
            </w:r>
          </w:p>
        </w:tc>
        <w:tc>
          <w:tcPr>
            <w:tcW w:type="dxa" w:w="1210"/>
          </w:tcPr>
          <w:p>
            <w:pPr>
              <w:spacing w:after="20"/>
            </w:pPr>
            <w:r>
              <w:rPr>
                <w:color w:val="1C3A36"/>
                <w:sz w:val="14"/>
              </w:rPr>
              <w:t>2026-03-01</w:t>
            </w:r>
          </w:p>
        </w:tc>
      </w:tr>
      <w:tr>
        <w:tc>
          <w:tcPr>
            <w:tcW w:type="dxa" w:w="432"/>
          </w:tcPr>
          <w:p>
            <w:pPr>
              <w:spacing w:after="20"/>
            </w:pPr>
            <w:r>
              <w:rPr>
                <w:color w:val="1C3A36"/>
                <w:sz w:val="14"/>
              </w:rPr>
              <w:t>35</w:t>
            </w:r>
          </w:p>
        </w:tc>
        <w:tc>
          <w:tcPr>
            <w:tcW w:type="dxa" w:w="2448"/>
          </w:tcPr>
          <w:p>
            <w:pPr>
              <w:spacing w:after="20"/>
            </w:pPr>
            <w:r>
              <w:rPr>
                <w:color w:val="1C3A36"/>
                <w:sz w:val="14"/>
              </w:rPr>
              <w:t>peer_mbsc_eps</w:t>
            </w:r>
          </w:p>
        </w:tc>
        <w:tc>
          <w:tcPr>
            <w:tcW w:type="dxa" w:w="1325"/>
          </w:tcPr>
          <w:p>
            <w:pPr>
              <w:spacing w:after="20"/>
            </w:pPr>
            <w:r>
              <w:rPr>
                <w:color w:val="1C3A36"/>
                <w:sz w:val="14"/>
              </w:rPr>
              <w:t>61.25</w:t>
            </w:r>
          </w:p>
        </w:tc>
        <w:tc>
          <w:tcPr>
            <w:tcW w:type="dxa" w:w="1066"/>
          </w:tcPr>
          <w:p>
            <w:pPr>
              <w:spacing w:after="20"/>
            </w:pPr>
            <w:r>
              <w:rPr>
                <w:color w:val="1C3A36"/>
                <w:sz w:val="14"/>
              </w:rPr>
              <w:t>Industry</w:t>
            </w:r>
          </w:p>
        </w:tc>
        <w:tc>
          <w:tcPr>
            <w:tcW w:type="dxa" w:w="7171"/>
          </w:tcPr>
          <w:p>
            <w:pPr>
              <w:spacing w:after="20"/>
            </w:pPr>
            <w:r>
              <w:rPr>
                <w:color w:val="1C3A36"/>
                <w:sz w:val="14"/>
              </w:rPr>
              <w:t>Misr Beni Suef FY2025 EPS</w:t>
            </w:r>
          </w:p>
        </w:tc>
        <w:tc>
          <w:tcPr>
            <w:tcW w:type="dxa" w:w="1210"/>
          </w:tcPr>
          <w:p>
            <w:pPr>
              <w:spacing w:after="20"/>
            </w:pPr>
            <w:r>
              <w:rPr>
                <w:color w:val="1C3A36"/>
                <w:sz w:val="14"/>
              </w:rPr>
              <w:t>2026-03-01</w:t>
            </w:r>
          </w:p>
        </w:tc>
      </w:tr>
      <w:tr>
        <w:tc>
          <w:tcPr>
            <w:tcW w:type="dxa" w:w="432"/>
          </w:tcPr>
          <w:p>
            <w:pPr>
              <w:spacing w:after="20"/>
            </w:pPr>
            <w:r>
              <w:rPr>
                <w:color w:val="1C3A36"/>
                <w:sz w:val="14"/>
              </w:rPr>
              <w:t>36</w:t>
            </w:r>
          </w:p>
        </w:tc>
        <w:tc>
          <w:tcPr>
            <w:tcW w:type="dxa" w:w="2448"/>
          </w:tcPr>
          <w:p>
            <w:pPr>
              <w:spacing w:after="20"/>
            </w:pPr>
            <w:r>
              <w:rPr>
                <w:color w:val="1C3A36"/>
                <w:sz w:val="14"/>
              </w:rPr>
              <w:t>peer_mbsc_evebitda</w:t>
            </w:r>
          </w:p>
        </w:tc>
        <w:tc>
          <w:tcPr>
            <w:tcW w:type="dxa" w:w="1325"/>
          </w:tcPr>
          <w:p>
            <w:pPr>
              <w:spacing w:after="20"/>
            </w:pPr>
            <w:r>
              <w:rPr>
                <w:color w:val="1C3A36"/>
                <w:sz w:val="14"/>
              </w:rPr>
              <w:t>5.03</w:t>
            </w:r>
          </w:p>
        </w:tc>
        <w:tc>
          <w:tcPr>
            <w:tcW w:type="dxa" w:w="1066"/>
          </w:tcPr>
          <w:p>
            <w:pPr>
              <w:spacing w:after="20"/>
            </w:pPr>
            <w:r>
              <w:rPr>
                <w:color w:val="1C3A36"/>
                <w:sz w:val="14"/>
              </w:rPr>
              <w:t>Industry</w:t>
            </w:r>
          </w:p>
        </w:tc>
        <w:tc>
          <w:tcPr>
            <w:tcW w:type="dxa" w:w="7171"/>
          </w:tcPr>
          <w:p>
            <w:pPr>
              <w:spacing w:after="20"/>
            </w:pPr>
            <w:r>
              <w:rPr>
                <w:color w:val="1C3A36"/>
                <w:sz w:val="14"/>
              </w:rPr>
              <w:t>Misr Beni Suef EV/EBITDA as quoted. Carried with a caution: no enterprise value, EBITDA or net-cash figure is published for it, and pairing it with the stated profit implies a 68% EBITDA margin, which no cement company earns</w:t>
            </w:r>
          </w:p>
        </w:tc>
        <w:tc>
          <w:tcPr>
            <w:tcW w:type="dxa" w:w="1210"/>
          </w:tcPr>
          <w:p>
            <w:pPr>
              <w:spacing w:after="20"/>
            </w:pPr>
            <w:r>
              <w:rPr>
                <w:color w:val="1C3A36"/>
                <w:sz w:val="14"/>
              </w:rPr>
              <w:t>2026-08-06</w:t>
            </w:r>
          </w:p>
        </w:tc>
      </w:tr>
      <w:tr>
        <w:tc>
          <w:tcPr>
            <w:tcW w:type="dxa" w:w="432"/>
          </w:tcPr>
          <w:p>
            <w:pPr>
              <w:spacing w:after="20"/>
            </w:pPr>
            <w:r>
              <w:rPr>
                <w:color w:val="1C3A36"/>
                <w:sz w:val="14"/>
              </w:rPr>
              <w:t>37</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38</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39</w:t>
            </w:r>
          </w:p>
        </w:tc>
        <w:tc>
          <w:tcPr>
            <w:tcW w:type="dxa" w:w="2448"/>
          </w:tcPr>
          <w:p>
            <w:pPr>
              <w:spacing w:after="20"/>
            </w:pPr>
            <w:r>
              <w:rPr>
                <w:color w:val="1C3A36"/>
                <w:sz w:val="14"/>
              </w:rPr>
              <w:t>peer_mbsc_pe</w:t>
            </w:r>
          </w:p>
        </w:tc>
        <w:tc>
          <w:tcPr>
            <w:tcW w:type="dxa" w:w="1325"/>
          </w:tcPr>
          <w:p>
            <w:pPr>
              <w:spacing w:after="20"/>
            </w:pPr>
            <w:r>
              <w:rPr>
                <w:color w:val="1C3A36"/>
                <w:sz w:val="14"/>
              </w:rPr>
              <w:t>3.48</w:t>
            </w:r>
          </w:p>
        </w:tc>
        <w:tc>
          <w:tcPr>
            <w:tcW w:type="dxa" w:w="1066"/>
          </w:tcPr>
          <w:p>
            <w:pPr>
              <w:spacing w:after="20"/>
            </w:pPr>
            <w:r>
              <w:rPr>
                <w:color w:val="1C3A36"/>
                <w:sz w:val="14"/>
              </w:rPr>
              <w:t>Industry</w:t>
            </w:r>
          </w:p>
        </w:tc>
        <w:tc>
          <w:tcPr>
            <w:tcW w:type="dxa" w:w="7171"/>
          </w:tcPr>
          <w:p>
            <w:pPr>
              <w:spacing w:after="20"/>
            </w:pPr>
            <w:r>
              <w:rPr>
                <w:color w:val="1C3A36"/>
                <w:sz w:val="14"/>
              </w:rPr>
              <w:t>Misr Beni Suef trailing price/earnings RECOMPUTED as market capitalisation over attributable profit. The 6.44x printed by data providers cannot be reconciled with the market capitalisation printed beside it — 6.44 x 3,946 = 25,412 against a stated 13,730</w:t>
            </w:r>
          </w:p>
        </w:tc>
        <w:tc>
          <w:tcPr>
            <w:tcW w:type="dxa" w:w="1210"/>
          </w:tcPr>
          <w:p>
            <w:pPr>
              <w:spacing w:after="20"/>
            </w:pPr>
            <w:r>
              <w:rPr>
                <w:color w:val="1C3A36"/>
                <w:sz w:val="14"/>
              </w:rPr>
              <w:t>2026-08-06</w:t>
            </w:r>
          </w:p>
        </w:tc>
      </w:tr>
      <w:tr>
        <w:tc>
          <w:tcPr>
            <w:tcW w:type="dxa" w:w="432"/>
          </w:tcPr>
          <w:p>
            <w:pPr>
              <w:spacing w:after="20"/>
            </w:pPr>
            <w:r>
              <w:rPr>
                <w:color w:val="1C3A36"/>
                <w:sz w:val="14"/>
              </w:rPr>
              <w:t>40</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41</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171"/>
          </w:tcPr>
          <w:p>
            <w:pPr>
              <w:spacing w:after="20"/>
            </w:pPr>
            <w:r>
              <w:rPr>
                <w:color w:val="1C3A36"/>
                <w:sz w:val="14"/>
              </w:rPr>
              <w:t>Specific electrical energy, 90-110 kWh/t cement</w:t>
            </w:r>
          </w:p>
        </w:tc>
        <w:tc>
          <w:tcPr>
            <w:tcW w:type="dxa" w:w="1210"/>
          </w:tcPr>
          <w:p>
            <w:pPr>
              <w:spacing w:after="20"/>
            </w:pPr>
            <w:r>
              <w:rPr>
                <w:color w:val="1C3A36"/>
                <w:sz w:val="14"/>
              </w:rPr>
              <w:t>2026-08-06</w:t>
            </w:r>
          </w:p>
        </w:tc>
      </w:tr>
      <w:tr>
        <w:tc>
          <w:tcPr>
            <w:tcW w:type="dxa" w:w="432"/>
          </w:tcPr>
          <w:p>
            <w:pPr>
              <w:spacing w:after="20"/>
            </w:pPr>
            <w:r>
              <w:rPr>
                <w:color w:val="1C3A36"/>
                <w:sz w:val="14"/>
              </w:rPr>
              <w:t>42</w:t>
            </w:r>
          </w:p>
        </w:tc>
        <w:tc>
          <w:tcPr>
            <w:tcW w:type="dxa" w:w="2448"/>
          </w:tcPr>
          <w:p>
            <w:pPr>
              <w:spacing w:after="20"/>
            </w:pPr>
            <w:r>
              <w:rPr>
                <w:color w:val="1C3A36"/>
                <w:sz w:val="14"/>
              </w:rPr>
              <w:t>price_dom_egp_t</w:t>
            </w:r>
          </w:p>
        </w:tc>
        <w:tc>
          <w:tcPr>
            <w:tcW w:type="dxa" w:w="1325"/>
          </w:tcPr>
          <w:p>
            <w:pPr>
              <w:spacing w:after="20"/>
            </w:pPr>
            <w:r>
              <w:rPr>
                <w:color w:val="1C3A36"/>
                <w:sz w:val="14"/>
              </w:rPr>
              <w:t>3,503, 3,713, 3,880, 4,074, 4,297, 4,512</w:t>
            </w:r>
          </w:p>
        </w:tc>
        <w:tc>
          <w:tcPr>
            <w:tcW w:type="dxa" w:w="1066"/>
          </w:tcPr>
          <w:p>
            <w:pPr>
              <w:spacing w:after="20"/>
            </w:pPr>
            <w:r>
              <w:rPr>
                <w:color w:val="1C3A36"/>
                <w:sz w:val="14"/>
              </w:rPr>
              <w:t>Industry</w:t>
            </w:r>
          </w:p>
        </w:tc>
        <w:tc>
          <w:tcPr>
            <w:tcW w:type="dxa" w:w="7171"/>
          </w:tcPr>
          <w:p>
            <w:pPr>
              <w:spacing w:after="20"/>
            </w:pPr>
            <w:r>
              <w:rPr>
                <w:color w:val="1C3A36"/>
                <w:sz w:val="14"/>
              </w:rPr>
              <w:t>Domestic realised price ex-works. FY2025 is the level the disclosed revenue implies given the volume build — 13.9% below the ~EGP 4,070/t market average, which is what an ex-works price net of freight and rebates looks like. The path then grows 4.5-6.0% nominal, a REAL decline against CBE inflation</w:t>
            </w:r>
          </w:p>
        </w:tc>
        <w:tc>
          <w:tcPr>
            <w:tcW w:type="dxa" w:w="1210"/>
          </w:tcPr>
          <w:p>
            <w:pPr>
              <w:spacing w:after="20"/>
            </w:pPr>
            <w:r>
              <w:rPr>
                <w:color w:val="1C3A36"/>
                <w:sz w:val="14"/>
              </w:rPr>
              <w:t>2026-01-01</w:t>
            </w:r>
          </w:p>
        </w:tc>
      </w:tr>
      <w:tr>
        <w:tc>
          <w:tcPr>
            <w:tcW w:type="dxa" w:w="432"/>
          </w:tcPr>
          <w:p>
            <w:pPr>
              <w:spacing w:after="20"/>
            </w:pPr>
            <w:r>
              <w:rPr>
                <w:color w:val="1C3A36"/>
                <w:sz w:val="14"/>
              </w:rPr>
              <w:t>43</w:t>
            </w:r>
          </w:p>
        </w:tc>
        <w:tc>
          <w:tcPr>
            <w:tcW w:type="dxa" w:w="2448"/>
          </w:tcPr>
          <w:p>
            <w:pPr>
              <w:spacing w:after="20"/>
            </w:pPr>
            <w:r>
              <w:rPr>
                <w:color w:val="1C3A36"/>
                <w:sz w:val="14"/>
              </w:rPr>
              <w:t>price_exp_usd_t</w:t>
            </w:r>
          </w:p>
        </w:tc>
        <w:tc>
          <w:tcPr>
            <w:tcW w:type="dxa" w:w="1325"/>
          </w:tcPr>
          <w:p>
            <w:pPr>
              <w:spacing w:after="20"/>
            </w:pPr>
            <w:r>
              <w:rPr>
                <w:color w:val="1C3A36"/>
                <w:sz w:val="14"/>
              </w:rPr>
              <w:t>48, 47, 46, 45.5, 45, 45</w:t>
            </w:r>
          </w:p>
        </w:tc>
        <w:tc>
          <w:tcPr>
            <w:tcW w:type="dxa" w:w="1066"/>
          </w:tcPr>
          <w:p>
            <w:pPr>
              <w:spacing w:after="20"/>
            </w:pPr>
            <w:r>
              <w:rPr>
                <w:color w:val="1C3A36"/>
                <w:sz w:val="14"/>
              </w:rPr>
              <w:t>Industry</w:t>
            </w:r>
          </w:p>
        </w:tc>
        <w:tc>
          <w:tcPr>
            <w:tcW w:type="dxa" w:w="7171"/>
          </w:tcPr>
          <w:p>
            <w:pPr>
              <w:spacing w:after="20"/>
            </w:pPr>
            <w:r>
              <w:rPr>
                <w:color w:val="1C3A36"/>
                <w:sz w:val="14"/>
              </w:rPr>
              <w:t>Export FOB per tonne, declining because the EU carbon border mechanism raises the landed cost of Egyptian cement into Europe from 2026</w:t>
            </w:r>
          </w:p>
        </w:tc>
        <w:tc>
          <w:tcPr>
            <w:tcW w:type="dxa" w:w="1210"/>
          </w:tcPr>
          <w:p>
            <w:pPr>
              <w:spacing w:after="20"/>
            </w:pPr>
            <w:r>
              <w:rPr>
                <w:color w:val="1C3A36"/>
                <w:sz w:val="14"/>
              </w:rPr>
              <w:t>2026-01-01</w:t>
            </w:r>
          </w:p>
        </w:tc>
      </w:tr>
      <w:tr>
        <w:tc>
          <w:tcPr>
            <w:tcW w:type="dxa" w:w="432"/>
          </w:tcPr>
          <w:p>
            <w:pPr>
              <w:spacing w:after="20"/>
            </w:pPr>
            <w:r>
              <w:rPr>
                <w:color w:val="1C3A36"/>
                <w:sz w:val="14"/>
              </w:rPr>
              <w:t>44</w:t>
            </w:r>
          </w:p>
        </w:tc>
        <w:tc>
          <w:tcPr>
            <w:tcW w:type="dxa" w:w="2448"/>
          </w:tcPr>
          <w:p>
            <w:pPr>
              <w:spacing w:after="20"/>
            </w:pPr>
            <w:r>
              <w:rPr>
                <w:color w:val="1C3A36"/>
                <w:sz w:val="14"/>
              </w:rPr>
              <w:t>rawmat_egp_t</w:t>
            </w:r>
          </w:p>
        </w:tc>
        <w:tc>
          <w:tcPr>
            <w:tcW w:type="dxa" w:w="1325"/>
          </w:tcPr>
          <w:p>
            <w:pPr>
              <w:spacing w:after="20"/>
            </w:pPr>
            <w:r>
              <w:rPr>
                <w:color w:val="1C3A36"/>
                <w:sz w:val="14"/>
              </w:rPr>
              <w:t>190</w:t>
            </w:r>
          </w:p>
        </w:tc>
        <w:tc>
          <w:tcPr>
            <w:tcW w:type="dxa" w:w="1066"/>
          </w:tcPr>
          <w:p>
            <w:pPr>
              <w:spacing w:after="20"/>
            </w:pPr>
            <w:r>
              <w:rPr>
                <w:color w:val="1C3A36"/>
                <w:sz w:val="14"/>
              </w:rPr>
              <w:t>Industry</w:t>
            </w:r>
          </w:p>
        </w:tc>
        <w:tc>
          <w:tcPr>
            <w:tcW w:type="dxa" w:w="7171"/>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432"/>
          </w:tcPr>
          <w:p>
            <w:pPr>
              <w:spacing w:after="20"/>
            </w:pPr>
            <w:r>
              <w:rPr>
                <w:color w:val="1C3A36"/>
                <w:sz w:val="14"/>
              </w:rPr>
              <w:t>45</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46</w:t>
            </w:r>
          </w:p>
        </w:tc>
        <w:tc>
          <w:tcPr>
            <w:tcW w:type="dxa" w:w="2448"/>
          </w:tcPr>
          <w:p>
            <w:pPr>
              <w:spacing w:after="20"/>
            </w:pPr>
            <w:r>
              <w:rPr>
                <w:color w:val="1C3A36"/>
                <w:sz w:val="14"/>
              </w:rPr>
              <w:t>thermal_gj_t_clinker</w:t>
            </w:r>
          </w:p>
        </w:tc>
        <w:tc>
          <w:tcPr>
            <w:tcW w:type="dxa" w:w="1325"/>
          </w:tcPr>
          <w:p>
            <w:pPr>
              <w:spacing w:after="20"/>
            </w:pPr>
            <w:r>
              <w:rPr>
                <w:color w:val="1C3A36"/>
                <w:sz w:val="14"/>
              </w:rPr>
              <w:t>3.4</w:t>
            </w:r>
          </w:p>
        </w:tc>
        <w:tc>
          <w:tcPr>
            <w:tcW w:type="dxa" w:w="1066"/>
          </w:tcPr>
          <w:p>
            <w:pPr>
              <w:spacing w:after="20"/>
            </w:pPr>
            <w:r>
              <w:rPr>
                <w:color w:val="1C3A36"/>
                <w:sz w:val="14"/>
              </w:rPr>
              <w:t>Industry</w:t>
            </w:r>
          </w:p>
        </w:tc>
        <w:tc>
          <w:tcPr>
            <w:tcW w:type="dxa" w:w="7171"/>
          </w:tcPr>
          <w:p>
            <w:pPr>
              <w:spacing w:after="20"/>
            </w:pPr>
            <w:r>
              <w:rPr>
                <w:color w:val="1C3A36"/>
                <w:sz w:val="14"/>
              </w:rPr>
              <w:t>Specific thermal energy, 3.2-3.6 GJ/t clinker for a dry preheater/precalciner kiln</w:t>
            </w:r>
          </w:p>
        </w:tc>
        <w:tc>
          <w:tcPr>
            <w:tcW w:type="dxa" w:w="1210"/>
          </w:tcPr>
          <w:p>
            <w:pPr>
              <w:spacing w:after="20"/>
            </w:pPr>
            <w:r>
              <w:rPr>
                <w:color w:val="1C3A36"/>
                <w:sz w:val="14"/>
              </w:rPr>
              <w:t>2026-08-06</w:t>
            </w:r>
          </w:p>
        </w:tc>
      </w:tr>
      <w:tr>
        <w:tc>
          <w:tcPr>
            <w:tcW w:type="dxa" w:w="432"/>
          </w:tcPr>
          <w:p>
            <w:pPr>
              <w:spacing w:after="20"/>
            </w:pPr>
            <w:r>
              <w:rPr>
                <w:color w:val="1C3A36"/>
                <w:sz w:val="14"/>
              </w:rPr>
              <w:t>47</w:t>
            </w:r>
          </w:p>
        </w:tc>
        <w:tc>
          <w:tcPr>
            <w:tcW w:type="dxa" w:w="2448"/>
          </w:tcPr>
          <w:p>
            <w:pPr>
              <w:spacing w:after="20"/>
            </w:pPr>
            <w:r>
              <w:rPr>
                <w:color w:val="1C3A36"/>
                <w:sz w:val="14"/>
              </w:rPr>
              <w:t>cost_infl</w:t>
            </w:r>
          </w:p>
        </w:tc>
        <w:tc>
          <w:tcPr>
            <w:tcW w:type="dxa" w:w="1325"/>
          </w:tcPr>
          <w:p>
            <w:pPr>
              <w:spacing w:after="20"/>
            </w:pPr>
            <w:r>
              <w:rPr>
                <w:color w:val="1C3A36"/>
                <w:sz w:val="14"/>
              </w:rPr>
              <w:t>1, 1.14, 1.265, 1.365, 1.45, 1.53</w:t>
            </w:r>
          </w:p>
        </w:tc>
        <w:tc>
          <w:tcPr>
            <w:tcW w:type="dxa" w:w="1066"/>
          </w:tcPr>
          <w:p>
            <w:pPr>
              <w:spacing w:after="20"/>
            </w:pPr>
            <w:r>
              <w:rPr>
                <w:color w:val="1C3A36"/>
                <w:sz w:val="14"/>
              </w:rPr>
              <w:t>Country</w:t>
            </w:r>
          </w:p>
        </w:tc>
        <w:tc>
          <w:tcPr>
            <w:tcW w:type="dxa" w:w="7171"/>
          </w:tcPr>
          <w:p>
            <w:pPr>
              <w:spacing w:after="20"/>
            </w:pPr>
            <w:r>
              <w:rPr>
                <w:color w:val="1C3A36"/>
                <w:sz w:val="14"/>
              </w:rPr>
              <w:t>Cumulative local cost inflation index on the EGP cost lines</w:t>
            </w:r>
          </w:p>
        </w:tc>
        <w:tc>
          <w:tcPr>
            <w:tcW w:type="dxa" w:w="1210"/>
          </w:tcPr>
          <w:p>
            <w:pPr>
              <w:spacing w:after="20"/>
            </w:pPr>
            <w:r>
              <w:rPr>
                <w:color w:val="1C3A36"/>
                <w:sz w:val="14"/>
              </w:rPr>
              <w:t>2026-06-10</w:t>
            </w:r>
          </w:p>
        </w:tc>
      </w:tr>
      <w:tr>
        <w:tc>
          <w:tcPr>
            <w:tcW w:type="dxa" w:w="432"/>
          </w:tcPr>
          <w:p>
            <w:pPr>
              <w:spacing w:after="20"/>
            </w:pPr>
            <w:r>
              <w:rPr>
                <w:color w:val="1C3A36"/>
                <w:sz w:val="14"/>
              </w:rPr>
              <w:t>48</w:t>
            </w:r>
          </w:p>
        </w:tc>
        <w:tc>
          <w:tcPr>
            <w:tcW w:type="dxa" w:w="2448"/>
          </w:tcPr>
          <w:p>
            <w:pPr>
              <w:spacing w:after="20"/>
            </w:pPr>
            <w:r>
              <w:rPr>
                <w:color w:val="1C3A36"/>
                <w:sz w:val="14"/>
              </w:rPr>
              <w:t>egp_per_eur_aug24</w:t>
            </w:r>
          </w:p>
        </w:tc>
        <w:tc>
          <w:tcPr>
            <w:tcW w:type="dxa" w:w="1325"/>
          </w:tcPr>
          <w:p>
            <w:pPr>
              <w:spacing w:after="20"/>
            </w:pPr>
            <w:r>
              <w:rPr>
                <w:color w:val="1C3A36"/>
                <w:sz w:val="14"/>
              </w:rPr>
              <w:t>53.4</w:t>
            </w:r>
          </w:p>
        </w:tc>
        <w:tc>
          <w:tcPr>
            <w:tcW w:type="dxa" w:w="1066"/>
          </w:tcPr>
          <w:p>
            <w:pPr>
              <w:spacing w:after="20"/>
            </w:pPr>
            <w:r>
              <w:rPr>
                <w:color w:val="1C3A36"/>
                <w:sz w:val="14"/>
              </w:rPr>
              <w:t>Country</w:t>
            </w:r>
          </w:p>
        </w:tc>
        <w:tc>
          <w:tcPr>
            <w:tcW w:type="dxa" w:w="7171"/>
          </w:tcPr>
          <w:p>
            <w:pPr>
              <w:spacing w:after="20"/>
            </w:pPr>
            <w:r>
              <w:rPr>
                <w:color w:val="1C3A36"/>
                <w:sz w:val="14"/>
              </w:rPr>
              <w:t>EGP per EUR at completion</w:t>
            </w:r>
          </w:p>
        </w:tc>
        <w:tc>
          <w:tcPr>
            <w:tcW w:type="dxa" w:w="1210"/>
          </w:tcPr>
          <w:p>
            <w:pPr>
              <w:spacing w:after="20"/>
            </w:pPr>
            <w:r>
              <w:rPr>
                <w:color w:val="1C3A36"/>
                <w:sz w:val="14"/>
              </w:rPr>
              <w:t>2024-08-13</w:t>
            </w:r>
          </w:p>
        </w:tc>
      </w:tr>
      <w:tr>
        <w:tc>
          <w:tcPr>
            <w:tcW w:type="dxa" w:w="432"/>
          </w:tcPr>
          <w:p>
            <w:pPr>
              <w:spacing w:after="20"/>
            </w:pPr>
            <w:r>
              <w:rPr>
                <w:color w:val="1C3A36"/>
                <w:sz w:val="14"/>
              </w:rPr>
              <w:t>49</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Damodaran Egypt, CDS-BASED, January-2026: mature-market 4.23% + 3.40% x (9.71/6.37) = 9.4127%. Revision 1 cited 'Damodaran, Egypt row' without naming the variant; a checker following that citation lands on the rating-based 13.94%</w:t>
            </w:r>
          </w:p>
        </w:tc>
        <w:tc>
          <w:tcPr>
            <w:tcW w:type="dxa" w:w="1210"/>
          </w:tcPr>
          <w:p>
            <w:pPr>
              <w:spacing w:after="20"/>
            </w:pPr>
            <w:r>
              <w:rPr>
                <w:color w:val="1C3A36"/>
                <w:sz w:val="14"/>
              </w:rPr>
              <w:t>2026-01-05</w:t>
            </w:r>
          </w:p>
        </w:tc>
      </w:tr>
      <w:tr>
        <w:tc>
          <w:tcPr>
            <w:tcW w:type="dxa" w:w="432"/>
          </w:tcPr>
          <w:p>
            <w:pPr>
              <w:spacing w:after="20"/>
            </w:pPr>
            <w:r>
              <w:rPr>
                <w:color w:val="1C3A36"/>
                <w:sz w:val="14"/>
              </w:rPr>
              <w:t>50</w:t>
            </w:r>
          </w:p>
        </w:tc>
        <w:tc>
          <w:tcPr>
            <w:tcW w:type="dxa" w:w="2448"/>
          </w:tcPr>
          <w:p>
            <w:pPr>
              <w:spacing w:after="20"/>
            </w:pPr>
            <w:r>
              <w:rPr>
                <w:color w:val="1C3A36"/>
                <w:sz w:val="14"/>
              </w:rPr>
              <w:t>fx</w:t>
            </w:r>
          </w:p>
        </w:tc>
        <w:tc>
          <w:tcPr>
            <w:tcW w:type="dxa" w:w="1325"/>
          </w:tcPr>
          <w:p>
            <w:pPr>
              <w:spacing w:after="20"/>
            </w:pPr>
            <w:r>
              <w:rPr>
                <w:color w:val="1C3A36"/>
                <w:sz w:val="14"/>
              </w:rPr>
              <w:t>49.8</w:t>
            </w:r>
          </w:p>
        </w:tc>
        <w:tc>
          <w:tcPr>
            <w:tcW w:type="dxa" w:w="1066"/>
          </w:tcPr>
          <w:p>
            <w:pPr>
              <w:spacing w:after="20"/>
            </w:pPr>
            <w:r>
              <w:rPr>
                <w:color w:val="1C3A36"/>
                <w:sz w:val="14"/>
              </w:rPr>
              <w:t>Country</w:t>
            </w:r>
          </w:p>
        </w:tc>
        <w:tc>
          <w:tcPr>
            <w:tcW w:type="dxa" w:w="7171"/>
          </w:tcPr>
          <w:p>
            <w:pPr>
              <w:spacing w:after="20"/>
            </w:pPr>
            <w:r>
              <w:rPr>
                <w:color w:val="1C3A36"/>
                <w:sz w:val="14"/>
              </w:rPr>
              <w:t>USD/EGP</w:t>
            </w:r>
          </w:p>
        </w:tc>
        <w:tc>
          <w:tcPr>
            <w:tcW w:type="dxa" w:w="1210"/>
          </w:tcPr>
          <w:p>
            <w:pPr>
              <w:spacing w:after="20"/>
            </w:pPr>
            <w:r>
              <w:rPr>
                <w:color w:val="1C3A36"/>
                <w:sz w:val="14"/>
              </w:rPr>
              <w:t>2026-08-06</w:t>
            </w:r>
          </w:p>
        </w:tc>
      </w:tr>
      <w:tr>
        <w:tc>
          <w:tcPr>
            <w:tcW w:type="dxa" w:w="432"/>
          </w:tcPr>
          <w:p>
            <w:pPr>
              <w:spacing w:after="20"/>
            </w:pPr>
            <w:r>
              <w:rPr>
                <w:color w:val="1C3A36"/>
                <w:sz w:val="14"/>
              </w:rPr>
              <w:t>51</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171"/>
          </w:tcPr>
          <w:p>
            <w:pPr>
              <w:spacing w:after="20"/>
            </w:pPr>
            <w:r>
              <w:rPr>
                <w:color w:val="1C3A36"/>
                <w:sz w:val="14"/>
              </w:rPr>
              <w:t>Egyptian industrial electricity tariff after subsidy reform</w:t>
            </w:r>
          </w:p>
        </w:tc>
        <w:tc>
          <w:tcPr>
            <w:tcW w:type="dxa" w:w="1210"/>
          </w:tcPr>
          <w:p>
            <w:pPr>
              <w:spacing w:after="20"/>
            </w:pPr>
            <w:r>
              <w:rPr>
                <w:color w:val="1C3A36"/>
                <w:sz w:val="14"/>
              </w:rPr>
              <w:t>2026-08-06</w:t>
            </w:r>
          </w:p>
        </w:tc>
      </w:tr>
      <w:tr>
        <w:tc>
          <w:tcPr>
            <w:tcW w:type="dxa" w:w="432"/>
          </w:tcPr>
          <w:p>
            <w:pPr>
              <w:spacing w:after="20"/>
            </w:pPr>
            <w:r>
              <w:rPr>
                <w:color w:val="1C3A36"/>
                <w:sz w:val="14"/>
              </w:rPr>
              <w:t>52</w:t>
            </w:r>
          </w:p>
        </w:tc>
        <w:tc>
          <w:tcPr>
            <w:tcW w:type="dxa" w:w="2448"/>
          </w:tcPr>
          <w:p>
            <w:pPr>
              <w:spacing w:after="20"/>
            </w:pPr>
            <w:r>
              <w:rPr>
                <w:color w:val="1C3A36"/>
                <w:sz w:val="14"/>
              </w:rPr>
              <w:t>rf</w:t>
            </w:r>
          </w:p>
        </w:tc>
        <w:tc>
          <w:tcPr>
            <w:tcW w:type="dxa" w:w="1325"/>
          </w:tcPr>
          <w:p>
            <w:pPr>
              <w:spacing w:after="20"/>
            </w:pPr>
            <w:r>
              <w:rPr>
                <w:color w:val="1C3A36"/>
                <w:sz w:val="14"/>
              </w:rPr>
              <w:t>0.2231</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yield</w:t>
            </w:r>
          </w:p>
        </w:tc>
        <w:tc>
          <w:tcPr>
            <w:tcW w:type="dxa" w:w="1210"/>
          </w:tcPr>
          <w:p>
            <w:pPr>
              <w:spacing w:after="20"/>
            </w:pPr>
            <w:r>
              <w:rPr>
                <w:color w:val="1C3A36"/>
                <w:sz w:val="14"/>
              </w:rPr>
              <w:t>2026-07-21</w:t>
            </w:r>
          </w:p>
        </w:tc>
      </w:tr>
      <w:tr>
        <w:tc>
          <w:tcPr>
            <w:tcW w:type="dxa" w:w="432"/>
          </w:tcPr>
          <w:p>
            <w:pPr>
              <w:spacing w:after="20"/>
            </w:pPr>
            <w:r>
              <w:rPr>
                <w:color w:val="1C3A36"/>
                <w:sz w:val="14"/>
              </w:rPr>
              <w:t>53</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CDS column. NETTED OUT of the local risk-free rate so sovereign default risk is not charged twice. One reviewer called this a manipulation; two others cleared it explicitly, and it is Damodaran's own construction — the country premium in the ERP is DERIVED from this same spread</w:t>
            </w:r>
          </w:p>
        </w:tc>
        <w:tc>
          <w:tcPr>
            <w:tcW w:type="dxa" w:w="1210"/>
          </w:tcPr>
          <w:p>
            <w:pPr>
              <w:spacing w:after="20"/>
            </w:pPr>
            <w:r>
              <w:rPr>
                <w:color w:val="1C3A36"/>
                <w:sz w:val="14"/>
              </w:rPr>
              <w:t>2026-01-05</w:t>
            </w:r>
          </w:p>
        </w:tc>
      </w:tr>
      <w:tr>
        <w:tc>
          <w:tcPr>
            <w:tcW w:type="dxa" w:w="432"/>
          </w:tcPr>
          <w:p>
            <w:pPr>
              <w:spacing w:after="20"/>
            </w:pPr>
            <w:r>
              <w:rPr>
                <w:color w:val="1C3A36"/>
                <w:sz w:val="14"/>
              </w:rPr>
              <w:t>54</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w:t>
            </w:r>
          </w:p>
        </w:tc>
        <w:tc>
          <w:tcPr>
            <w:tcW w:type="dxa" w:w="1210"/>
          </w:tcPr>
          <w:p>
            <w:pPr>
              <w:spacing w:after="20"/>
            </w:pPr>
            <w:r>
              <w:rPr>
                <w:color w:val="1C3A36"/>
                <w:sz w:val="14"/>
              </w:rPr>
              <w:t>2026</w:t>
            </w:r>
          </w:p>
        </w:tc>
      </w:tr>
      <w:tr>
        <w:tc>
          <w:tcPr>
            <w:tcW w:type="dxa" w:w="432"/>
          </w:tcPr>
          <w:p>
            <w:pPr>
              <w:spacing w:after="20"/>
            </w:pPr>
            <w:r>
              <w:rPr>
                <w:color w:val="1C3A36"/>
                <w:sz w:val="14"/>
              </w:rPr>
              <w:t>55</w:t>
            </w:r>
          </w:p>
        </w:tc>
        <w:tc>
          <w:tcPr>
            <w:tcW w:type="dxa" w:w="2448"/>
          </w:tcPr>
          <w:p>
            <w:pPr>
              <w:spacing w:after="20"/>
            </w:pPr>
            <w:r>
              <w:rPr>
                <w:color w:val="1C3A36"/>
                <w:sz w:val="14"/>
              </w:rPr>
              <w:t>beta</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171"/>
          </w:tcPr>
          <w:p>
            <w:pPr>
              <w:spacing w:after="20"/>
            </w:pPr>
            <w:r>
              <w:rPr>
                <w:color w:val="1C3A36"/>
                <w:sz w:val="14"/>
              </w:rPr>
              <w:t>Adopted beta. The own-stock regression FAILS the usability gate (R-squared 0.038 against a 0.05 floor) though n=256 and SE 0.153 both pass. The lead-lag corrected estimate is 0.837 and its 90% interval contains 1.00. Rounding up to 1.00 COSTS 1.84% of the central; that price is now stated rather than left implicit</w:t>
            </w:r>
          </w:p>
        </w:tc>
        <w:tc>
          <w:tcPr>
            <w:tcW w:type="dxa" w:w="1210"/>
          </w:tcPr>
          <w:p>
            <w:pPr>
              <w:spacing w:after="20"/>
            </w:pPr>
            <w:r>
              <w:rPr>
                <w:color w:val="1C3A36"/>
                <w:sz w:val="14"/>
              </w:rPr>
              <w:t>2026-08-06</w:t>
            </w:r>
          </w:p>
        </w:tc>
      </w:tr>
      <w:tr>
        <w:tc>
          <w:tcPr>
            <w:tcW w:type="dxa" w:w="432"/>
          </w:tcPr>
          <w:p>
            <w:pPr>
              <w:spacing w:after="20"/>
            </w:pPr>
            <w:r>
              <w:rPr>
                <w:color w:val="1C3A36"/>
                <w:sz w:val="14"/>
              </w:rPr>
              <w:t>56</w:t>
            </w:r>
          </w:p>
        </w:tc>
        <w:tc>
          <w:tcPr>
            <w:tcW w:type="dxa" w:w="2448"/>
          </w:tcPr>
          <w:p>
            <w:pPr>
              <w:spacing w:after="20"/>
            </w:pPr>
            <w:r>
              <w:rPr>
                <w:color w:val="1C3A36"/>
                <w:sz w:val="14"/>
              </w:rPr>
              <w:t>capex_pct</w:t>
            </w:r>
          </w:p>
        </w:tc>
        <w:tc>
          <w:tcPr>
            <w:tcW w:type="dxa" w:w="1325"/>
          </w:tcPr>
          <w:p>
            <w:pPr>
              <w:spacing w:after="20"/>
            </w:pPr>
            <w:r>
              <w:rPr>
                <w:color w:val="1C3A36"/>
                <w:sz w:val="14"/>
              </w:rPr>
              <w:t>0.05, 0.048, 0.047, 0.046, 0.045</w:t>
            </w:r>
          </w:p>
        </w:tc>
        <w:tc>
          <w:tcPr>
            <w:tcW w:type="dxa" w:w="1066"/>
          </w:tcPr>
          <w:p>
            <w:pPr>
              <w:spacing w:after="20"/>
            </w:pPr>
            <w:r>
              <w:rPr>
                <w:color w:val="1C3A36"/>
                <w:sz w:val="14"/>
              </w:rPr>
              <w:t>House</w:t>
            </w:r>
          </w:p>
        </w:tc>
        <w:tc>
          <w:tcPr>
            <w:tcW w:type="dxa" w:w="7171"/>
          </w:tcPr>
          <w:p>
            <w:pPr>
              <w:spacing w:after="20"/>
            </w:pPr>
            <w:r>
              <w:rPr>
                <w:color w:val="1C3A36"/>
                <w:sz w:val="14"/>
              </w:rPr>
              <w:t>Capex as a share of revenue. No capital-expenditure disclosure is obtainable</w:t>
            </w:r>
          </w:p>
        </w:tc>
        <w:tc>
          <w:tcPr>
            <w:tcW w:type="dxa" w:w="1210"/>
          </w:tcPr>
          <w:p>
            <w:pPr>
              <w:spacing w:after="20"/>
            </w:pPr>
            <w:r>
              <w:rPr>
                <w:color w:val="1C3A36"/>
                <w:sz w:val="14"/>
              </w:rPr>
              <w:t>2026-08-06</w:t>
            </w:r>
          </w:p>
        </w:tc>
      </w:tr>
      <w:tr>
        <w:tc>
          <w:tcPr>
            <w:tcW w:type="dxa" w:w="432"/>
          </w:tcPr>
          <w:p>
            <w:pPr>
              <w:spacing w:after="20"/>
            </w:pPr>
            <w:r>
              <w:rPr>
                <w:color w:val="1C3A36"/>
                <w:sz w:val="14"/>
              </w:rPr>
              <w:t>57</w:t>
            </w:r>
          </w:p>
        </w:tc>
        <w:tc>
          <w:tcPr>
            <w:tcW w:type="dxa" w:w="2448"/>
          </w:tcPr>
          <w:p>
            <w:pPr>
              <w:spacing w:after="20"/>
            </w:pPr>
            <w:r>
              <w:rPr>
                <w:color w:val="1C3A36"/>
                <w:sz w:val="14"/>
              </w:rPr>
              <w:t>cash_growth_fy25</w:t>
            </w:r>
          </w:p>
        </w:tc>
        <w:tc>
          <w:tcPr>
            <w:tcW w:type="dxa" w:w="1325"/>
          </w:tcPr>
          <w:p>
            <w:pPr>
              <w:spacing w:after="20"/>
            </w:pPr>
            <w:r>
              <w:rPr>
                <w:color w:val="1C3A36"/>
                <w:sz w:val="14"/>
              </w:rPr>
              <w:t>1</w:t>
            </w:r>
          </w:p>
        </w:tc>
        <w:tc>
          <w:tcPr>
            <w:tcW w:type="dxa" w:w="1066"/>
          </w:tcPr>
          <w:p>
            <w:pPr>
              <w:spacing w:after="20"/>
            </w:pPr>
            <w:r>
              <w:rPr>
                <w:color w:val="1C3A36"/>
                <w:sz w:val="14"/>
              </w:rPr>
              <w:t>House</w:t>
            </w:r>
          </w:p>
        </w:tc>
        <w:tc>
          <w:tcPr>
            <w:tcW w:type="dxa" w:w="7171"/>
          </w:tcPr>
          <w:p>
            <w:pPr>
              <w:spacing w:after="20"/>
            </w:pPr>
            <w:r>
              <w:rPr>
                <w:color w:val="1C3A36"/>
                <w:sz w:val="14"/>
              </w:rPr>
              <w:t>RETIRED in revision 2 — cash is now the reported balance, not a rolled derivation. Kept at 1.0 so nothing scales it</w:t>
            </w:r>
          </w:p>
        </w:tc>
        <w:tc>
          <w:tcPr>
            <w:tcW w:type="dxa" w:w="1210"/>
          </w:tcPr>
          <w:p>
            <w:pPr>
              <w:spacing w:after="20"/>
            </w:pPr>
            <w:r>
              <w:rPr>
                <w:color w:val="1C3A36"/>
                <w:sz w:val="14"/>
              </w:rPr>
              <w:t>2026-08-06</w:t>
            </w:r>
          </w:p>
        </w:tc>
      </w:tr>
      <w:tr>
        <w:tc>
          <w:tcPr>
            <w:tcW w:type="dxa" w:w="432"/>
          </w:tcPr>
          <w:p>
            <w:pPr>
              <w:spacing w:after="20"/>
            </w:pPr>
            <w:r>
              <w:rPr>
                <w:color w:val="1C3A36"/>
                <w:sz w:val="14"/>
              </w:rPr>
              <w:t>58</w:t>
            </w:r>
          </w:p>
        </w:tc>
        <w:tc>
          <w:tcPr>
            <w:tcW w:type="dxa" w:w="2448"/>
          </w:tcPr>
          <w:p>
            <w:pPr>
              <w:spacing w:after="20"/>
            </w:pPr>
            <w:r>
              <w:rPr>
                <w:color w:val="1C3A36"/>
                <w:sz w:val="14"/>
              </w:rPr>
              <w:t>cash_yield</w:t>
            </w:r>
          </w:p>
        </w:tc>
        <w:tc>
          <w:tcPr>
            <w:tcW w:type="dxa" w:w="1325"/>
          </w:tcPr>
          <w:p>
            <w:pPr>
              <w:spacing w:after="20"/>
            </w:pPr>
            <w:r>
              <w:rPr>
                <w:color w:val="1C3A36"/>
                <w:sz w:val="14"/>
              </w:rPr>
              <w:t>0.19, 0.17, 0.15, 0.135, 0.125</w:t>
            </w:r>
          </w:p>
        </w:tc>
        <w:tc>
          <w:tcPr>
            <w:tcW w:type="dxa" w:w="1066"/>
          </w:tcPr>
          <w:p>
            <w:pPr>
              <w:spacing w:after="20"/>
            </w:pPr>
            <w:r>
              <w:rPr>
                <w:color w:val="1C3A36"/>
                <w:sz w:val="14"/>
              </w:rPr>
              <w:t>House</w:t>
            </w:r>
          </w:p>
        </w:tc>
        <w:tc>
          <w:tcPr>
            <w:tcW w:type="dxa" w:w="7171"/>
          </w:tcPr>
          <w:p>
            <w:pPr>
              <w:spacing w:after="20"/>
            </w:pPr>
            <w:r>
              <w:rPr>
                <w:color w:val="1C3A36"/>
                <w:sz w:val="14"/>
              </w:rPr>
              <w:t>Yield earned on cash</w:t>
            </w:r>
          </w:p>
        </w:tc>
        <w:tc>
          <w:tcPr>
            <w:tcW w:type="dxa" w:w="1210"/>
          </w:tcPr>
          <w:p>
            <w:pPr>
              <w:spacing w:after="20"/>
            </w:pPr>
            <w:r>
              <w:rPr>
                <w:color w:val="1C3A36"/>
                <w:sz w:val="14"/>
              </w:rPr>
              <w:t>2026-08-06</w:t>
            </w:r>
          </w:p>
        </w:tc>
      </w:tr>
      <w:tr>
        <w:tc>
          <w:tcPr>
            <w:tcW w:type="dxa" w:w="432"/>
          </w:tcPr>
          <w:p>
            <w:pPr>
              <w:spacing w:after="20"/>
            </w:pPr>
            <w:r>
              <w:rPr>
                <w:color w:val="1C3A36"/>
                <w:sz w:val="14"/>
              </w:rPr>
              <w:t>59</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171"/>
          </w:tcPr>
          <w:p>
            <w:pPr>
              <w:spacing w:after="20"/>
            </w:pPr>
            <w:r>
              <w:rPr>
                <w:color w:val="1C3A36"/>
                <w:sz w:val="14"/>
              </w:rPr>
              <w:t>Yield earned on cash through FY2025</w:t>
            </w:r>
          </w:p>
        </w:tc>
        <w:tc>
          <w:tcPr>
            <w:tcW w:type="dxa" w:w="1210"/>
          </w:tcPr>
          <w:p>
            <w:pPr>
              <w:spacing w:after="20"/>
            </w:pPr>
            <w:r>
              <w:rPr>
                <w:color w:val="1C3A36"/>
                <w:sz w:val="14"/>
              </w:rPr>
              <w:t>2026-08-06</w:t>
            </w:r>
          </w:p>
        </w:tc>
      </w:tr>
      <w:tr>
        <w:tc>
          <w:tcPr>
            <w:tcW w:type="dxa" w:w="432"/>
          </w:tcPr>
          <w:p>
            <w:pPr>
              <w:spacing w:after="20"/>
            </w:pPr>
            <w:r>
              <w:rPr>
                <w:color w:val="1C3A36"/>
                <w:sz w:val="14"/>
              </w:rPr>
              <w:t>60</w:t>
            </w:r>
          </w:p>
        </w:tc>
        <w:tc>
          <w:tcPr>
            <w:tcW w:type="dxa" w:w="2448"/>
          </w:tcPr>
          <w:p>
            <w:pPr>
              <w:spacing w:after="20"/>
            </w:pPr>
            <w:r>
              <w:rPr>
                <w:color w:val="1C3A36"/>
                <w:sz w:val="14"/>
              </w:rPr>
              <w:t>distribution_egp_t</w:t>
            </w:r>
          </w:p>
        </w:tc>
        <w:tc>
          <w:tcPr>
            <w:tcW w:type="dxa" w:w="1325"/>
          </w:tcPr>
          <w:p>
            <w:pPr>
              <w:spacing w:after="20"/>
            </w:pPr>
            <w:r>
              <w:rPr>
                <w:color w:val="1C3A36"/>
                <w:sz w:val="14"/>
              </w:rPr>
              <w:t>250</w:t>
            </w:r>
          </w:p>
        </w:tc>
        <w:tc>
          <w:tcPr>
            <w:tcW w:type="dxa" w:w="1066"/>
          </w:tcPr>
          <w:p>
            <w:pPr>
              <w:spacing w:after="20"/>
            </w:pPr>
            <w:r>
              <w:rPr>
                <w:color w:val="1C3A36"/>
                <w:sz w:val="14"/>
              </w:rPr>
              <w:t>House</w:t>
            </w:r>
          </w:p>
        </w:tc>
        <w:tc>
          <w:tcPr>
            <w:tcW w:type="dxa" w:w="7171"/>
          </w:tcPr>
          <w:p>
            <w:pPr>
              <w:spacing w:after="20"/>
            </w:pPr>
            <w:r>
              <w:rPr>
                <w:color w:val="1C3A36"/>
                <w:sz w:val="14"/>
              </w:rPr>
              <w:t>Outbound freight and selling per tonne, set above a typical Egyptian plant because El Hassana is distant from the Cairo and Delta demand centres</w:t>
            </w:r>
          </w:p>
        </w:tc>
        <w:tc>
          <w:tcPr>
            <w:tcW w:type="dxa" w:w="1210"/>
          </w:tcPr>
          <w:p>
            <w:pPr>
              <w:spacing w:after="20"/>
            </w:pPr>
            <w:r>
              <w:rPr>
                <w:color w:val="1C3A36"/>
                <w:sz w:val="14"/>
              </w:rPr>
              <w:t>2026-08-06</w:t>
            </w:r>
          </w:p>
        </w:tc>
      </w:tr>
      <w:tr>
        <w:tc>
          <w:tcPr>
            <w:tcW w:type="dxa" w:w="432"/>
          </w:tcPr>
          <w:p>
            <w:pPr>
              <w:spacing w:after="20"/>
            </w:pPr>
            <w:r>
              <w:rPr>
                <w:color w:val="1C3A36"/>
                <w:sz w:val="14"/>
              </w:rPr>
              <w:t>61</w:t>
            </w:r>
          </w:p>
        </w:tc>
        <w:tc>
          <w:tcPr>
            <w:tcW w:type="dxa" w:w="2448"/>
          </w:tcPr>
          <w:p>
            <w:pPr>
              <w:spacing w:after="20"/>
            </w:pPr>
            <w:r>
              <w:rPr>
                <w:color w:val="1C3A36"/>
                <w:sz w:val="14"/>
              </w:rPr>
              <w:t>dna_pct</w:t>
            </w:r>
          </w:p>
        </w:tc>
        <w:tc>
          <w:tcPr>
            <w:tcW w:type="dxa" w:w="1325"/>
          </w:tcPr>
          <w:p>
            <w:pPr>
              <w:spacing w:after="20"/>
            </w:pPr>
            <w:r>
              <w:rPr>
                <w:color w:val="1C3A36"/>
                <w:sz w:val="14"/>
              </w:rPr>
              <w:t>0.046, 0.045, 0.044, 0.043, 0.042</w:t>
            </w:r>
          </w:p>
        </w:tc>
        <w:tc>
          <w:tcPr>
            <w:tcW w:type="dxa" w:w="1066"/>
          </w:tcPr>
          <w:p>
            <w:pPr>
              <w:spacing w:after="20"/>
            </w:pPr>
            <w:r>
              <w:rPr>
                <w:color w:val="1C3A36"/>
                <w:sz w:val="14"/>
              </w:rPr>
              <w:t>House</w:t>
            </w:r>
          </w:p>
        </w:tc>
        <w:tc>
          <w:tcPr>
            <w:tcW w:type="dxa" w:w="7171"/>
          </w:tcPr>
          <w:p>
            <w:pPr>
              <w:spacing w:after="20"/>
            </w:pPr>
            <w:r>
              <w:rPr>
                <w:color w:val="1C3A36"/>
                <w:sz w:val="14"/>
              </w:rPr>
              <w:t>D&amp;A as a share of revenue</w:t>
            </w:r>
          </w:p>
        </w:tc>
        <w:tc>
          <w:tcPr>
            <w:tcW w:type="dxa" w:w="1210"/>
          </w:tcPr>
          <w:p>
            <w:pPr>
              <w:spacing w:after="20"/>
            </w:pPr>
            <w:r>
              <w:rPr>
                <w:color w:val="1C3A36"/>
                <w:sz w:val="14"/>
              </w:rPr>
              <w:t>2026-08-06</w:t>
            </w:r>
          </w:p>
        </w:tc>
      </w:tr>
      <w:tr>
        <w:tc>
          <w:tcPr>
            <w:tcW w:type="dxa" w:w="432"/>
          </w:tcPr>
          <w:p>
            <w:pPr>
              <w:spacing w:after="20"/>
            </w:pPr>
            <w:r>
              <w:rPr>
                <w:color w:val="1C3A36"/>
                <w:sz w:val="14"/>
              </w:rPr>
              <w:t>62</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crisis level</w:t>
            </w:r>
          </w:p>
        </w:tc>
        <w:tc>
          <w:tcPr>
            <w:tcW w:type="dxa" w:w="1210"/>
          </w:tcPr>
          <w:p>
            <w:pPr>
              <w:spacing w:after="20"/>
            </w:pPr>
            <w:r>
              <w:rPr>
                <w:color w:val="1C3A36"/>
                <w:sz w:val="14"/>
              </w:rPr>
              <w:t>2026-08-06</w:t>
            </w:r>
          </w:p>
        </w:tc>
      </w:tr>
      <w:tr>
        <w:tc>
          <w:tcPr>
            <w:tcW w:type="dxa" w:w="432"/>
          </w:tcPr>
          <w:p>
            <w:pPr>
              <w:spacing w:after="20"/>
            </w:pPr>
            <w:r>
              <w:rPr>
                <w:color w:val="1C3A36"/>
                <w:sz w:val="14"/>
              </w:rPr>
              <w:t>63</w:t>
            </w:r>
          </w:p>
        </w:tc>
        <w:tc>
          <w:tcPr>
            <w:tcW w:type="dxa" w:w="2448"/>
          </w:tcPr>
          <w:p>
            <w:pPr>
              <w:spacing w:after="20"/>
            </w:pPr>
            <w:r>
              <w:rPr>
                <w:color w:val="1C3A36"/>
                <w:sz w:val="14"/>
              </w:rPr>
              <w:t>ev_ebitda_just</w:t>
            </w:r>
          </w:p>
        </w:tc>
        <w:tc>
          <w:tcPr>
            <w:tcW w:type="dxa" w:w="1325"/>
          </w:tcPr>
          <w:p>
            <w:pPr>
              <w:spacing w:after="20"/>
            </w:pPr>
            <w:r>
              <w:rPr>
                <w:color w:val="1C3A36"/>
                <w:sz w:val="14"/>
              </w:rPr>
              <w:t>4.2</w:t>
            </w:r>
          </w:p>
        </w:tc>
        <w:tc>
          <w:tcPr>
            <w:tcW w:type="dxa" w:w="1066"/>
          </w:tcPr>
          <w:p>
            <w:pPr>
              <w:spacing w:after="20"/>
            </w:pPr>
            <w:r>
              <w:rPr>
                <w:color w:val="1C3A36"/>
                <w:sz w:val="14"/>
              </w:rPr>
              <w:t>House</w:t>
            </w:r>
          </w:p>
        </w:tc>
        <w:tc>
          <w:tcPr>
            <w:tcW w:type="dxa" w:w="7171"/>
          </w:tcPr>
          <w:p>
            <w:pPr>
              <w:spacing w:after="20"/>
            </w:pPr>
            <w:r>
              <w:rPr>
                <w:color w:val="1C3A36"/>
                <w:sz w:val="14"/>
              </w:rPr>
              <w:t>Justified EV/EBITDA. Revision 1 used 5.0x anchored on a peer quoted at 5.03x. That anchor does not reproduce: the peer's own market capitalisation over profit gives 3.48x, not the 6.44x printed beside it, and the implied EBITDA margin would be 68% for a cement company. 4.2x is struck between the reproducible peer earnings multiple and the asserted EBITDA multiple, and is disclosed as weakly anchored</w:t>
            </w:r>
          </w:p>
        </w:tc>
        <w:tc>
          <w:tcPr>
            <w:tcW w:type="dxa" w:w="1210"/>
          </w:tcPr>
          <w:p>
            <w:pPr>
              <w:spacing w:after="20"/>
            </w:pPr>
            <w:r>
              <w:rPr>
                <w:color w:val="1C3A36"/>
                <w:sz w:val="14"/>
              </w:rPr>
              <w:t>2026-08-06</w:t>
            </w:r>
          </w:p>
        </w:tc>
      </w:tr>
      <w:tr>
        <w:tc>
          <w:tcPr>
            <w:tcW w:type="dxa" w:w="432"/>
          </w:tcPr>
          <w:p>
            <w:pPr>
              <w:spacing w:after="20"/>
            </w:pPr>
            <w:r>
              <w:rPr>
                <w:color w:val="1C3A36"/>
                <w:sz w:val="14"/>
              </w:rPr>
              <w:t>64</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cement capacity</w:t>
            </w:r>
          </w:p>
        </w:tc>
        <w:tc>
          <w:tcPr>
            <w:tcW w:type="dxa" w:w="1210"/>
          </w:tcPr>
          <w:p>
            <w:pPr>
              <w:spacing w:after="20"/>
            </w:pPr>
            <w:r>
              <w:rPr>
                <w:color w:val="1C3A36"/>
                <w:sz w:val="14"/>
              </w:rPr>
              <w:t>2026-08-06</w:t>
            </w:r>
          </w:p>
        </w:tc>
      </w:tr>
      <w:tr>
        <w:tc>
          <w:tcPr>
            <w:tcW w:type="dxa" w:w="432"/>
          </w:tcPr>
          <w:p>
            <w:pPr>
              <w:spacing w:after="20"/>
            </w:pPr>
            <w:r>
              <w:rPr>
                <w:color w:val="1C3A36"/>
                <w:sz w:val="14"/>
              </w:rPr>
              <w:t>65</w:t>
            </w:r>
          </w:p>
        </w:tc>
        <w:tc>
          <w:tcPr>
            <w:tcW w:type="dxa" w:w="2448"/>
          </w:tcPr>
          <w:p>
            <w:pPr>
              <w:spacing w:after="20"/>
            </w:pPr>
            <w:r>
              <w:rPr>
                <w:color w:val="1C3A36"/>
                <w:sz w:val="14"/>
              </w:rPr>
              <w:t>fixed_usd_t_capacity</w:t>
            </w:r>
          </w:p>
        </w:tc>
        <w:tc>
          <w:tcPr>
            <w:tcW w:type="dxa" w:w="1325"/>
          </w:tcPr>
          <w:p>
            <w:pPr>
              <w:spacing w:after="20"/>
            </w:pPr>
            <w:r>
              <w:rPr>
                <w:color w:val="1C3A36"/>
                <w:sz w:val="14"/>
              </w:rPr>
              <w:t>14.6</w:t>
            </w:r>
          </w:p>
        </w:tc>
        <w:tc>
          <w:tcPr>
            <w:tcW w:type="dxa" w:w="1066"/>
          </w:tcPr>
          <w:p>
            <w:pPr>
              <w:spacing w:after="20"/>
            </w:pPr>
            <w:r>
              <w:rPr>
                <w:color w:val="1C3A36"/>
                <w:sz w:val="14"/>
              </w:rPr>
              <w:t>House</w:t>
            </w:r>
          </w:p>
        </w:tc>
        <w:tc>
          <w:tcPr>
            <w:tcW w:type="dxa" w:w="7171"/>
          </w:tcPr>
          <w:p>
            <w:pPr>
              <w:spacing w:after="20"/>
            </w:pPr>
            <w:r>
              <w:rPr>
                <w:color w:val="1C3A36"/>
                <w:sz w:val="14"/>
              </w:rPr>
              <w:t>Fixed cash cost per tonne of INSTALLED capacity so it does not vanish when volume falls. Industry band USD 10-20/t. 14.60 is the level the FY2025 reconciliation implies against an independently built variable stack — reported, not solved away</w:t>
            </w:r>
          </w:p>
        </w:tc>
        <w:tc>
          <w:tcPr>
            <w:tcW w:type="dxa" w:w="1210"/>
          </w:tcPr>
          <w:p>
            <w:pPr>
              <w:spacing w:after="20"/>
            </w:pPr>
            <w:r>
              <w:rPr>
                <w:color w:val="1C3A36"/>
                <w:sz w:val="14"/>
              </w:rPr>
              <w:t>2026-08-06</w:t>
            </w:r>
          </w:p>
        </w:tc>
      </w:tr>
      <w:tr>
        <w:tc>
          <w:tcPr>
            <w:tcW w:type="dxa" w:w="432"/>
          </w:tcPr>
          <w:p>
            <w:pPr>
              <w:spacing w:after="20"/>
            </w:pPr>
            <w:r>
              <w:rPr>
                <w:color w:val="1C3A36"/>
                <w:sz w:val="14"/>
              </w:rPr>
              <w:t>66</w:t>
            </w:r>
          </w:p>
        </w:tc>
        <w:tc>
          <w:tcPr>
            <w:tcW w:type="dxa" w:w="2448"/>
          </w:tcPr>
          <w:p>
            <w:pPr>
              <w:spacing w:after="20"/>
            </w:pPr>
            <w:r>
              <w:rPr>
                <w:color w:val="1C3A36"/>
                <w:sz w:val="14"/>
              </w:rPr>
              <w:t>fx_path</w:t>
            </w:r>
          </w:p>
        </w:tc>
        <w:tc>
          <w:tcPr>
            <w:tcW w:type="dxa" w:w="1325"/>
          </w:tcPr>
          <w:p>
            <w:pPr>
              <w:spacing w:after="20"/>
            </w:pPr>
            <w:r>
              <w:rPr>
                <w:color w:val="1C3A36"/>
                <w:sz w:val="14"/>
              </w:rPr>
              <w:t>49.8, 52.5, 55, 57.2, 59.3, 61.4</w:t>
            </w:r>
          </w:p>
        </w:tc>
        <w:tc>
          <w:tcPr>
            <w:tcW w:type="dxa" w:w="1066"/>
          </w:tcPr>
          <w:p>
            <w:pPr>
              <w:spacing w:after="20"/>
            </w:pPr>
            <w:r>
              <w:rPr>
                <w:color w:val="1C3A36"/>
                <w:sz w:val="14"/>
              </w:rPr>
              <w:t>House</w:t>
            </w:r>
          </w:p>
        </w:tc>
        <w:tc>
          <w:tcPr>
            <w:tcW w:type="dxa" w:w="7171"/>
          </w:tcPr>
          <w:p>
            <w:pPr>
              <w:spacing w:after="20"/>
            </w:pPr>
            <w:r>
              <w:rPr>
                <w:color w:val="1C3A36"/>
                <w:sz w:val="14"/>
              </w:rPr>
              <w:t>USD/EGP path. Raises the EGP cost of imported fuel AND the EGP value of export revenue; the legs partly offset</w:t>
            </w:r>
          </w:p>
        </w:tc>
        <w:tc>
          <w:tcPr>
            <w:tcW w:type="dxa" w:w="1210"/>
          </w:tcPr>
          <w:p>
            <w:pPr>
              <w:spacing w:after="20"/>
            </w:pPr>
            <w:r>
              <w:rPr>
                <w:color w:val="1C3A36"/>
                <w:sz w:val="14"/>
              </w:rPr>
              <w:t>2026-08-06</w:t>
            </w:r>
          </w:p>
        </w:tc>
      </w:tr>
      <w:tr>
        <w:tc>
          <w:tcPr>
            <w:tcW w:type="dxa" w:w="432"/>
          </w:tcPr>
          <w:p>
            <w:pPr>
              <w:spacing w:after="20"/>
            </w:pPr>
            <w:r>
              <w:rPr>
                <w:color w:val="1C3A36"/>
                <w:sz w:val="14"/>
              </w:rPr>
              <w:t>67</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5% nominal against a terminal risk-free rate embedding disinflation — approximately zero real. Held at 5% rather than raised with the inflation target: 7% would put terminal growth above the disinflation path the same model assumes</w:t>
            </w:r>
          </w:p>
        </w:tc>
        <w:tc>
          <w:tcPr>
            <w:tcW w:type="dxa" w:w="1210"/>
          </w:tcPr>
          <w:p>
            <w:pPr>
              <w:spacing w:after="20"/>
            </w:pPr>
            <w:r>
              <w:rPr>
                <w:color w:val="1C3A36"/>
                <w:sz w:val="14"/>
              </w:rPr>
              <w:t>2026-08-06</w:t>
            </w:r>
          </w:p>
        </w:tc>
      </w:tr>
      <w:tr>
        <w:tc>
          <w:tcPr>
            <w:tcW w:type="dxa" w:w="432"/>
          </w:tcPr>
          <w:p>
            <w:pPr>
              <w:spacing w:after="20"/>
            </w:pPr>
            <w:r>
              <w:rPr>
                <w:color w:val="1C3A36"/>
                <w:sz w:val="14"/>
              </w:rPr>
              <w:t>68</w:t>
            </w:r>
          </w:p>
        </w:tc>
        <w:tc>
          <w:tcPr>
            <w:tcW w:type="dxa" w:w="2448"/>
          </w:tcPr>
          <w:p>
            <w:pPr>
              <w:spacing w:after="20"/>
            </w:pPr>
            <w:r>
              <w:rPr>
                <w:color w:val="1C3A36"/>
                <w:sz w:val="14"/>
              </w:rPr>
              <w:t>kd</w:t>
            </w:r>
          </w:p>
        </w:tc>
        <w:tc>
          <w:tcPr>
            <w:tcW w:type="dxa" w:w="1325"/>
          </w:tcPr>
          <w:p>
            <w:pPr>
              <w:spacing w:after="20"/>
            </w:pPr>
            <w:r>
              <w:rPr>
                <w:color w:val="1C3A36"/>
                <w:sz w:val="14"/>
              </w:rPr>
              <w:t>0.215</w:t>
            </w:r>
          </w:p>
        </w:tc>
        <w:tc>
          <w:tcPr>
            <w:tcW w:type="dxa" w:w="1066"/>
          </w:tcPr>
          <w:p>
            <w:pPr>
              <w:spacing w:after="20"/>
            </w:pPr>
            <w:r>
              <w:rPr>
                <w:color w:val="1C3A36"/>
                <w:sz w:val="14"/>
              </w:rPr>
              <w:t>House</w:t>
            </w:r>
          </w:p>
        </w:tc>
        <w:tc>
          <w:tcPr>
            <w:tcW w:type="dxa" w:w="7171"/>
          </w:tcPr>
          <w:p>
            <w:pPr>
              <w:spacing w:after="20"/>
            </w:pPr>
            <w:r>
              <w:rPr>
                <w:color w:val="1C3A36"/>
                <w:sz w:val="14"/>
              </w:rPr>
              <w:t>Marginal pre-tax cost of debt. Debt is 0.18% of capital, so a +/-700bp error moves the WACC by under 2bp</w:t>
            </w:r>
          </w:p>
        </w:tc>
        <w:tc>
          <w:tcPr>
            <w:tcW w:type="dxa" w:w="1210"/>
          </w:tcPr>
          <w:p>
            <w:pPr>
              <w:spacing w:after="20"/>
            </w:pPr>
            <w:r>
              <w:rPr>
                <w:color w:val="1C3A36"/>
                <w:sz w:val="14"/>
              </w:rPr>
              <w:t>2026-08-06</w:t>
            </w:r>
          </w:p>
        </w:tc>
      </w:tr>
      <w:tr>
        <w:tc>
          <w:tcPr>
            <w:tcW w:type="dxa" w:w="432"/>
          </w:tcPr>
          <w:p>
            <w:pPr>
              <w:spacing w:after="20"/>
            </w:pPr>
            <w:r>
              <w:rPr>
                <w:color w:val="1C3A36"/>
                <w:sz w:val="14"/>
              </w:rPr>
              <w:t>69</w:t>
            </w:r>
          </w:p>
        </w:tc>
        <w:tc>
          <w:tcPr>
            <w:tcW w:type="dxa" w:w="2448"/>
          </w:tcPr>
          <w:p>
            <w:pPr>
              <w:spacing w:after="20"/>
            </w:pPr>
            <w:r>
              <w:rPr>
                <w:color w:val="1C3A36"/>
                <w:sz w:val="14"/>
              </w:rPr>
              <w:t>kd_path</w:t>
            </w:r>
          </w:p>
        </w:tc>
        <w:tc>
          <w:tcPr>
            <w:tcW w:type="dxa" w:w="1325"/>
          </w:tcPr>
          <w:p>
            <w:pPr>
              <w:spacing w:after="20"/>
            </w:pPr>
            <w:r>
              <w:rPr>
                <w:color w:val="1C3A36"/>
                <w:sz w:val="14"/>
              </w:rPr>
              <w:t>0.215, 0.195, 0.18, 0.168, 0.16</w:t>
            </w:r>
          </w:p>
        </w:tc>
        <w:tc>
          <w:tcPr>
            <w:tcW w:type="dxa" w:w="1066"/>
          </w:tcPr>
          <w:p>
            <w:pPr>
              <w:spacing w:after="20"/>
            </w:pPr>
            <w:r>
              <w:rPr>
                <w:color w:val="1C3A36"/>
                <w:sz w:val="14"/>
              </w:rPr>
              <w:t>House</w:t>
            </w:r>
          </w:p>
        </w:tc>
        <w:tc>
          <w:tcPr>
            <w:tcW w:type="dxa" w:w="7171"/>
          </w:tcPr>
          <w:p>
            <w:pPr>
              <w:spacing w:after="20"/>
            </w:pPr>
            <w:r>
              <w:rPr>
                <w:color w:val="1C3A36"/>
                <w:sz w:val="14"/>
              </w:rPr>
              <w:t>Cost-of-debt path; the WACC glide inherits its SHAPE from this</w:t>
            </w:r>
          </w:p>
        </w:tc>
        <w:tc>
          <w:tcPr>
            <w:tcW w:type="dxa" w:w="1210"/>
          </w:tcPr>
          <w:p>
            <w:pPr>
              <w:spacing w:after="20"/>
            </w:pPr>
            <w:r>
              <w:rPr>
                <w:color w:val="1C3A36"/>
                <w:sz w:val="14"/>
              </w:rPr>
              <w:t>2026-08-06</w:t>
            </w:r>
          </w:p>
        </w:tc>
      </w:tr>
      <w:tr>
        <w:tc>
          <w:tcPr>
            <w:tcW w:type="dxa" w:w="432"/>
          </w:tcPr>
          <w:p>
            <w:pPr>
              <w:spacing w:after="20"/>
            </w:pPr>
            <w:r>
              <w:rPr>
                <w:color w:val="1C3A36"/>
                <w:sz w:val="14"/>
              </w:rPr>
              <w:t>70</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the Egyptian long-run corporate norm</w:t>
            </w:r>
          </w:p>
        </w:tc>
        <w:tc>
          <w:tcPr>
            <w:tcW w:type="dxa" w:w="1210"/>
          </w:tcPr>
          <w:p>
            <w:pPr>
              <w:spacing w:after="20"/>
            </w:pPr>
            <w:r>
              <w:rPr>
                <w:color w:val="1C3A36"/>
                <w:sz w:val="14"/>
              </w:rPr>
              <w:t>2026-08-06</w:t>
            </w:r>
          </w:p>
        </w:tc>
      </w:tr>
      <w:tr>
        <w:tc>
          <w:tcPr>
            <w:tcW w:type="dxa" w:w="432"/>
          </w:tcPr>
          <w:p>
            <w:pPr>
              <w:spacing w:after="20"/>
            </w:pPr>
            <w:r>
              <w:rPr>
                <w:color w:val="1C3A36"/>
                <w:sz w:val="14"/>
              </w:rPr>
              <w:t>71</w:t>
            </w:r>
          </w:p>
        </w:tc>
        <w:tc>
          <w:tcPr>
            <w:tcW w:type="dxa" w:w="2448"/>
          </w:tcPr>
          <w:p>
            <w:pPr>
              <w:spacing w:after="20"/>
            </w:pPr>
            <w:r>
              <w:rPr>
                <w:color w:val="1C3A36"/>
                <w:sz w:val="14"/>
              </w:rPr>
              <w:t>kiln_util</w:t>
            </w:r>
          </w:p>
        </w:tc>
        <w:tc>
          <w:tcPr>
            <w:tcW w:type="dxa" w:w="1325"/>
          </w:tcPr>
          <w:p>
            <w:pPr>
              <w:spacing w:after="20"/>
            </w:pPr>
            <w:r>
              <w:rPr>
                <w:color w:val="1C3A36"/>
                <w:sz w:val="14"/>
              </w:rPr>
              <w:t>0.71, 0.717, 0.735, 0.753, 0.772, 0.791</w:t>
            </w:r>
          </w:p>
        </w:tc>
        <w:tc>
          <w:tcPr>
            <w:tcW w:type="dxa" w:w="1066"/>
          </w:tcPr>
          <w:p>
            <w:pPr>
              <w:spacing w:after="20"/>
            </w:pPr>
            <w:r>
              <w:rPr>
                <w:color w:val="1C3A36"/>
                <w:sz w:val="14"/>
              </w:rPr>
              <w:t>House</w:t>
            </w:r>
          </w:p>
        </w:tc>
        <w:tc>
          <w:tcPr>
            <w:tcW w:type="dxa" w:w="7171"/>
          </w:tcPr>
          <w:p>
            <w:pPr>
              <w:spacing w:after="20"/>
            </w:pPr>
            <w:r>
              <w:rPr>
                <w:color w:val="1C3A36"/>
                <w:sz w:val="14"/>
              </w:rPr>
              <w:t>Kiln utilisation FY2025A then FY2026E-FY2030E</w:t>
            </w:r>
          </w:p>
        </w:tc>
        <w:tc>
          <w:tcPr>
            <w:tcW w:type="dxa" w:w="1210"/>
          </w:tcPr>
          <w:p>
            <w:pPr>
              <w:spacing w:after="20"/>
            </w:pPr>
            <w:r>
              <w:rPr>
                <w:color w:val="1C3A36"/>
                <w:sz w:val="14"/>
              </w:rPr>
              <w:t>2026-08-06</w:t>
            </w:r>
          </w:p>
        </w:tc>
      </w:tr>
      <w:tr>
        <w:tc>
          <w:tcPr>
            <w:tcW w:type="dxa" w:w="432"/>
          </w:tcPr>
          <w:p>
            <w:pPr>
              <w:spacing w:after="20"/>
            </w:pPr>
            <w:r>
              <w:rPr>
                <w:color w:val="1C3A36"/>
                <w:sz w:val="14"/>
              </w:rPr>
              <w:t>72</w:t>
            </w:r>
          </w:p>
        </w:tc>
        <w:tc>
          <w:tcPr>
            <w:tcW w:type="dxa" w:w="2448"/>
          </w:tcPr>
          <w:p>
            <w:pPr>
              <w:spacing w:after="20"/>
            </w:pPr>
            <w:r>
              <w:rPr>
                <w:color w:val="1C3A36"/>
                <w:sz w:val="14"/>
              </w:rPr>
              <w:t>nci</w:t>
            </w:r>
          </w:p>
        </w:tc>
        <w:tc>
          <w:tcPr>
            <w:tcW w:type="dxa" w:w="1325"/>
          </w:tcPr>
          <w:p>
            <w:pPr>
              <w:spacing w:after="20"/>
            </w:pPr>
            <w:r>
              <w:rPr>
                <w:color w:val="1C3A36"/>
                <w:sz w:val="14"/>
              </w:rPr>
              <w:t>120</w:t>
            </w:r>
          </w:p>
        </w:tc>
        <w:tc>
          <w:tcPr>
            <w:tcW w:type="dxa" w:w="1066"/>
          </w:tcPr>
          <w:p>
            <w:pPr>
              <w:spacing w:after="20"/>
            </w:pPr>
            <w:r>
              <w:rPr>
                <w:color w:val="1C3A36"/>
                <w:sz w:val="14"/>
              </w:rPr>
              <w:t>House</w:t>
            </w:r>
          </w:p>
        </w:tc>
        <w:tc>
          <w:tcPr>
            <w:tcW w:type="dxa" w:w="7171"/>
          </w:tcPr>
          <w:p>
            <w:pPr>
              <w:spacing w:after="20"/>
            </w:pPr>
            <w:r>
              <w:rPr>
                <w:color w:val="1C3A36"/>
                <w:sz w:val="14"/>
              </w:rPr>
              <w:t>Non-controlling interests deducted in the bridge. Revision 1 omitted them. One reviewer proposed 2,008 (15% of enterprise value) but derived it from nothing; the disclosed evidence — FY2023 group loss 121.42 against an attributable loss of ~117, and FY2024 attributable EPS 23.13 against group profit 3,070 — puts the minority share of profit BELOW 1%. Set at 120 and sensitised</w:t>
            </w:r>
          </w:p>
        </w:tc>
        <w:tc>
          <w:tcPr>
            <w:tcW w:type="dxa" w:w="1210"/>
          </w:tcPr>
          <w:p>
            <w:pPr>
              <w:spacing w:after="20"/>
            </w:pPr>
            <w:r>
              <w:rPr>
                <w:color w:val="1C3A36"/>
                <w:sz w:val="14"/>
              </w:rPr>
              <w:t>2026-08-06</w:t>
            </w:r>
          </w:p>
        </w:tc>
      </w:tr>
      <w:tr>
        <w:tc>
          <w:tcPr>
            <w:tcW w:type="dxa" w:w="432"/>
          </w:tcPr>
          <w:p>
            <w:pPr>
              <w:spacing w:after="20"/>
            </w:pPr>
            <w:r>
              <w:rPr>
                <w:color w:val="1C3A36"/>
                <w:sz w:val="14"/>
              </w:rPr>
              <w:t>73</w:t>
            </w:r>
          </w:p>
        </w:tc>
        <w:tc>
          <w:tcPr>
            <w:tcW w:type="dxa" w:w="2448"/>
          </w:tcPr>
          <w:p>
            <w:pPr>
              <w:spacing w:after="20"/>
            </w:pPr>
            <w:r>
              <w:rPr>
                <w:color w:val="1C3A36"/>
                <w:sz w:val="14"/>
              </w:rPr>
              <w:t>norm_mgn</w:t>
            </w:r>
          </w:p>
        </w:tc>
        <w:tc>
          <w:tcPr>
            <w:tcW w:type="dxa" w:w="1325"/>
          </w:tcPr>
          <w:p>
            <w:pPr>
              <w:spacing w:after="20"/>
            </w:pPr>
            <w:r>
              <w:rPr>
                <w:color w:val="1C3A36"/>
                <w:sz w:val="14"/>
              </w:rPr>
              <w:t>0.278</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FY2024 outturn (24.8%) and the corrected FY2025 peak (30.9%). Revision 1 struck 26.5% off an FY2025 margin understated by the statutory-rate error</w:t>
            </w:r>
          </w:p>
        </w:tc>
        <w:tc>
          <w:tcPr>
            <w:tcW w:type="dxa" w:w="1210"/>
          </w:tcPr>
          <w:p>
            <w:pPr>
              <w:spacing w:after="20"/>
            </w:pPr>
            <w:r>
              <w:rPr>
                <w:color w:val="1C3A36"/>
                <w:sz w:val="14"/>
              </w:rPr>
              <w:t>2026-08-06</w:t>
            </w:r>
          </w:p>
        </w:tc>
      </w:tr>
      <w:tr>
        <w:tc>
          <w:tcPr>
            <w:tcW w:type="dxa" w:w="432"/>
          </w:tcPr>
          <w:p>
            <w:pPr>
              <w:spacing w:after="20"/>
            </w:pPr>
            <w:r>
              <w:rPr>
                <w:color w:val="1C3A36"/>
                <w:sz w:val="14"/>
              </w:rPr>
              <w:t>74</w:t>
            </w:r>
          </w:p>
        </w:tc>
        <w:tc>
          <w:tcPr>
            <w:tcW w:type="dxa" w:w="2448"/>
          </w:tcPr>
          <w:p>
            <w:pPr>
              <w:spacing w:after="20"/>
            </w:pPr>
            <w:r>
              <w:rPr>
                <w:color w:val="1C3A36"/>
                <w:sz w:val="14"/>
              </w:rPr>
              <w:t>norm_rev_haircut</w:t>
            </w:r>
          </w:p>
        </w:tc>
        <w:tc>
          <w:tcPr>
            <w:tcW w:type="dxa" w:w="1325"/>
          </w:tcPr>
          <w:p>
            <w:pPr>
              <w:spacing w:after="20"/>
            </w:pPr>
            <w:r>
              <w:rPr>
                <w:color w:val="1C3A36"/>
                <w:sz w:val="14"/>
              </w:rPr>
              <w:t>0.92</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 Revision 1 applied a mid-cycle MARGIN to a PEAK revenue base — half a normalisation, in the lens whose stated purpose is refusing to capitalise a peak</w:t>
            </w:r>
          </w:p>
        </w:tc>
        <w:tc>
          <w:tcPr>
            <w:tcW w:type="dxa" w:w="1210"/>
          </w:tcPr>
          <w:p>
            <w:pPr>
              <w:spacing w:after="20"/>
            </w:pPr>
            <w:r>
              <w:rPr>
                <w:color w:val="1C3A36"/>
                <w:sz w:val="14"/>
              </w:rPr>
              <w:t>2026-08-06</w:t>
            </w:r>
          </w:p>
        </w:tc>
      </w:tr>
      <w:tr>
        <w:tc>
          <w:tcPr>
            <w:tcW w:type="dxa" w:w="432"/>
          </w:tcPr>
          <w:p>
            <w:pPr>
              <w:spacing w:after="20"/>
            </w:pPr>
            <w:r>
              <w:rPr>
                <w:color w:val="1C3A36"/>
                <w:sz w:val="14"/>
              </w:rPr>
              <w:t>75</w:t>
            </w:r>
          </w:p>
        </w:tc>
        <w:tc>
          <w:tcPr>
            <w:tcW w:type="dxa" w:w="2448"/>
          </w:tcPr>
          <w:p>
            <w:pPr>
              <w:spacing w:after="20"/>
            </w:pPr>
            <w:r>
              <w:rPr>
                <w:color w:val="1C3A36"/>
                <w:sz w:val="14"/>
              </w:rPr>
              <w:t>payout</w:t>
            </w:r>
          </w:p>
        </w:tc>
        <w:tc>
          <w:tcPr>
            <w:tcW w:type="dxa" w:w="1325"/>
          </w:tcPr>
          <w:p>
            <w:pPr>
              <w:spacing w:after="20"/>
            </w:pPr>
            <w:r>
              <w:rPr>
                <w:color w:val="1C3A36"/>
                <w:sz w:val="14"/>
              </w:rPr>
              <w:t>0.6</w:t>
            </w:r>
          </w:p>
        </w:tc>
        <w:tc>
          <w:tcPr>
            <w:tcW w:type="dxa" w:w="1066"/>
          </w:tcPr>
          <w:p>
            <w:pPr>
              <w:spacing w:after="20"/>
            </w:pPr>
            <w:r>
              <w:rPr>
                <w:color w:val="1C3A36"/>
                <w:sz w:val="14"/>
              </w:rPr>
              <w:t>House</w:t>
            </w:r>
          </w:p>
        </w:tc>
        <w:tc>
          <w:tcPr>
            <w:tcW w:type="dxa" w:w="7171"/>
          </w:tcPr>
          <w:p>
            <w:pPr>
              <w:spacing w:after="20"/>
            </w:pPr>
            <w:r>
              <w:rPr>
                <w:color w:val="1C3A36"/>
                <w:sz w:val="14"/>
              </w:rPr>
              <w:t>Dividend payout from FY2026E</w:t>
            </w:r>
          </w:p>
        </w:tc>
        <w:tc>
          <w:tcPr>
            <w:tcW w:type="dxa" w:w="1210"/>
          </w:tcPr>
          <w:p>
            <w:pPr>
              <w:spacing w:after="20"/>
            </w:pPr>
            <w:r>
              <w:rPr>
                <w:color w:val="1C3A36"/>
                <w:sz w:val="14"/>
              </w:rPr>
              <w:t>2026-08-06</w:t>
            </w:r>
          </w:p>
        </w:tc>
      </w:tr>
      <w:tr>
        <w:tc>
          <w:tcPr>
            <w:tcW w:type="dxa" w:w="432"/>
          </w:tcPr>
          <w:p>
            <w:pPr>
              <w:spacing w:after="20"/>
            </w:pPr>
            <w:r>
              <w:rPr>
                <w:color w:val="1C3A36"/>
                <w:sz w:val="14"/>
              </w:rPr>
              <w:t>76</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price/earnings on normalised OPERATING earnings</w:t>
            </w:r>
          </w:p>
        </w:tc>
        <w:tc>
          <w:tcPr>
            <w:tcW w:type="dxa" w:w="1210"/>
          </w:tcPr>
          <w:p>
            <w:pPr>
              <w:spacing w:after="20"/>
            </w:pPr>
            <w:r>
              <w:rPr>
                <w:color w:val="1C3A36"/>
                <w:sz w:val="14"/>
              </w:rPr>
              <w:t>2026-08-06</w:t>
            </w:r>
          </w:p>
        </w:tc>
      </w:tr>
      <w:tr>
        <w:tc>
          <w:tcPr>
            <w:tcW w:type="dxa" w:w="432"/>
          </w:tcPr>
          <w:p>
            <w:pPr>
              <w:spacing w:after="20"/>
            </w:pPr>
            <w:r>
              <w:rPr>
                <w:color w:val="1C3A36"/>
                <w:sz w:val="14"/>
              </w:rPr>
              <w:t>77</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CBE's OPERATIVE Q4-2026 inflation target of 7% plus a ~5.5pp emerging-market real-rate convention. Revision 1 used the later 5% target while its own text cited 'the 7% and then 5% targets'. REVIEWABLE CHOICE: reverting to 10.5% adds ~1.8%</w:t>
            </w:r>
          </w:p>
        </w:tc>
        <w:tc>
          <w:tcPr>
            <w:tcW w:type="dxa" w:w="1210"/>
          </w:tcPr>
          <w:p>
            <w:pPr>
              <w:spacing w:after="20"/>
            </w:pPr>
            <w:r>
              <w:rPr>
                <w:color w:val="1C3A36"/>
                <w:sz w:val="14"/>
              </w:rPr>
              <w:t>2026-08-06</w:t>
            </w:r>
          </w:p>
        </w:tc>
      </w:tr>
      <w:tr>
        <w:tc>
          <w:tcPr>
            <w:tcW w:type="dxa" w:w="432"/>
          </w:tcPr>
          <w:p>
            <w:pPr>
              <w:spacing w:after="20"/>
            </w:pPr>
            <w:r>
              <w:rPr>
                <w:color w:val="1C3A36"/>
                <w:sz w:val="14"/>
              </w:rPr>
              <w:t>78</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(7 months). Revision 1 discounted FY2026 a full year from a 6-Aug-2026 valuation date and added a 31-Dec-2025 cash balance</w:t>
            </w:r>
          </w:p>
        </w:tc>
        <w:tc>
          <w:tcPr>
            <w:tcW w:type="dxa" w:w="1210"/>
          </w:tcPr>
          <w:p>
            <w:pPr>
              <w:spacing w:after="20"/>
            </w:pPr>
            <w:r>
              <w:rPr>
                <w:color w:val="1C3A36"/>
                <w:sz w:val="14"/>
              </w:rPr>
              <w:t>2026-08-06</w:t>
            </w:r>
          </w:p>
        </w:tc>
      </w:tr>
      <w:tr>
        <w:tc>
          <w:tcPr>
            <w:tcW w:type="dxa" w:w="432"/>
          </w:tcPr>
          <w:p>
            <w:pPr>
              <w:spacing w:after="20"/>
            </w:pPr>
            <w:r>
              <w:rPr>
                <w:color w:val="1C3A36"/>
                <w:sz w:val="14"/>
              </w:rPr>
              <w:t>79</w:t>
            </w:r>
          </w:p>
        </w:tc>
        <w:tc>
          <w:tcPr>
            <w:tcW w:type="dxa" w:w="2448"/>
          </w:tcPr>
          <w:p>
            <w:pPr>
              <w:spacing w:after="20"/>
            </w:pPr>
            <w:r>
              <w:rPr>
                <w:color w:val="1C3A36"/>
                <w:sz w:val="14"/>
              </w:rPr>
              <w:t>swcc_book</w:t>
            </w:r>
          </w:p>
        </w:tc>
        <w:tc>
          <w:tcPr>
            <w:tcW w:type="dxa" w:w="1325"/>
          </w:tcPr>
          <w:p>
            <w:pPr>
              <w:spacing w:after="20"/>
            </w:pPr>
            <w:r>
              <w:rPr>
                <w:color w:val="1C3A36"/>
                <w:sz w:val="14"/>
              </w:rPr>
              <w:t>100</w:t>
            </w:r>
          </w:p>
        </w:tc>
        <w:tc>
          <w:tcPr>
            <w:tcW w:type="dxa" w:w="1066"/>
          </w:tcPr>
          <w:p>
            <w:pPr>
              <w:spacing w:after="20"/>
            </w:pPr>
            <w:r>
              <w:rPr>
                <w:color w:val="1C3A36"/>
                <w:sz w:val="14"/>
              </w:rPr>
              <w:t>House</w:t>
            </w:r>
          </w:p>
        </w:tc>
        <w:tc>
          <w:tcPr>
            <w:tcW w:type="dxa" w:w="7171"/>
          </w:tcPr>
          <w:p>
            <w:pPr>
              <w:spacing w:after="20"/>
            </w:pPr>
            <w:r>
              <w:rPr>
                <w:color w:val="1C3A36"/>
                <w:sz w:val="14"/>
              </w:rPr>
              <w:t>Carrying value of the 25.4% stake. Revision 1 asserted the profit bridge was 'insensitive to it within a +/-EGP 200mn range'. That was FALSE and untested: in revision 1 the chain ran book value -&gt; gain -&gt; SOLVED treasury income -&gt; cash -&gt; every lens, and a +/-200mn move was worth -4.9% to +9.8%. Revision 2 takes cash from the reported balance sheet instead, so this input now touches only the FY2024 gain/treasury split and nothing downstream</w:t>
            </w:r>
          </w:p>
        </w:tc>
        <w:tc>
          <w:tcPr>
            <w:tcW w:type="dxa" w:w="1210"/>
          </w:tcPr>
          <w:p>
            <w:pPr>
              <w:spacing w:after="20"/>
            </w:pPr>
            <w:r>
              <w:rPr>
                <w:color w:val="1C3A36"/>
                <w:sz w:val="14"/>
              </w:rPr>
              <w:t>2026-08-06</w:t>
            </w:r>
          </w:p>
        </w:tc>
      </w:tr>
      <w:tr>
        <w:tc>
          <w:tcPr>
            <w:tcW w:type="dxa" w:w="432"/>
          </w:tcPr>
          <w:p>
            <w:pPr>
              <w:spacing w:after="20"/>
            </w:pPr>
            <w:r>
              <w:rPr>
                <w:color w:val="1C3A36"/>
                <w:sz w:val="14"/>
              </w:rPr>
              <w:t>80</w:t>
            </w:r>
          </w:p>
        </w:tc>
        <w:tc>
          <w:tcPr>
            <w:tcW w:type="dxa" w:w="2448"/>
          </w:tcPr>
          <w:p>
            <w:pPr>
              <w:spacing w:after="20"/>
            </w:pPr>
            <w:r>
              <w:rPr>
                <w:color w:val="1C3A36"/>
                <w:sz w:val="14"/>
              </w:rPr>
              <w:t>treas_fy23</w:t>
            </w:r>
          </w:p>
        </w:tc>
        <w:tc>
          <w:tcPr>
            <w:tcW w:type="dxa" w:w="1325"/>
          </w:tcPr>
          <w:p>
            <w:pPr>
              <w:spacing w:after="20"/>
            </w:pPr>
            <w:r>
              <w:rPr>
                <w:color w:val="1C3A36"/>
                <w:sz w:val="14"/>
              </w:rPr>
              <w:t>198</w:t>
            </w:r>
          </w:p>
        </w:tc>
        <w:tc>
          <w:tcPr>
            <w:tcW w:type="dxa" w:w="1066"/>
          </w:tcPr>
          <w:p>
            <w:pPr>
              <w:spacing w:after="20"/>
            </w:pPr>
            <w:r>
              <w:rPr>
                <w:color w:val="1C3A36"/>
                <w:sz w:val="14"/>
              </w:rPr>
              <w:t>House</w:t>
            </w:r>
          </w:p>
        </w:tc>
        <w:tc>
          <w:tcPr>
            <w:tcW w:type="dxa" w:w="7171"/>
          </w:tcPr>
          <w:p>
            <w:pPr>
              <w:spacing w:after="20"/>
            </w:pPr>
            <w:r>
              <w:rPr>
                <w:color w:val="1C3A36"/>
                <w:sz w:val="14"/>
              </w:rPr>
              <w:t>FY2023 treasury income on its own smaller cash balance</w:t>
            </w:r>
          </w:p>
        </w:tc>
        <w:tc>
          <w:tcPr>
            <w:tcW w:type="dxa" w:w="1210"/>
          </w:tcPr>
          <w:p>
            <w:pPr>
              <w:spacing w:after="20"/>
            </w:pPr>
            <w:r>
              <w:rPr>
                <w:color w:val="1C3A36"/>
                <w:sz w:val="14"/>
              </w:rPr>
              <w:t>2026-08-06</w:t>
            </w:r>
          </w:p>
        </w:tc>
      </w:tr>
      <w:tr>
        <w:tc>
          <w:tcPr>
            <w:tcW w:type="dxa" w:w="432"/>
          </w:tcPr>
          <w:p>
            <w:pPr>
              <w:spacing w:after="20"/>
            </w:pPr>
            <w:r>
              <w:rPr>
                <w:color w:val="1C3A36"/>
                <w:sz w:val="14"/>
              </w:rPr>
              <w:t>81</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Revision 1 gave it 15% while arguing in the same document that restarted lines cost 'a fraction' of new build and that the asset lens 'should not be read as a floor'. Cut to 8%. REVIEWABLE CHOICE: 15% adds ~3.6%, zero subtracts ~2.6%</w:t>
            </w:r>
          </w:p>
        </w:tc>
        <w:tc>
          <w:tcPr>
            <w:tcW w:type="dxa" w:w="1210"/>
          </w:tcPr>
          <w:p>
            <w:pPr>
              <w:spacing w:after="20"/>
            </w:pPr>
            <w:r>
              <w:rPr>
                <w:color w:val="1C3A36"/>
                <w:sz w:val="14"/>
              </w:rPr>
              <w:t>2026-08-06</w:t>
            </w:r>
          </w:p>
        </w:tc>
      </w:tr>
      <w:tr>
        <w:tc>
          <w:tcPr>
            <w:tcW w:type="dxa" w:w="432"/>
          </w:tcPr>
          <w:p>
            <w:pPr>
              <w:spacing w:after="20"/>
            </w:pPr>
            <w:r>
              <w:rPr>
                <w:color w:val="1C3A36"/>
                <w:sz w:val="14"/>
              </w:rPr>
              <w:t>82</w:t>
            </w:r>
          </w:p>
        </w:tc>
        <w:tc>
          <w:tcPr>
            <w:tcW w:type="dxa" w:w="2448"/>
          </w:tcPr>
          <w:p>
            <w:pPr>
              <w:spacing w:after="20"/>
            </w:pPr>
            <w:r>
              <w:rPr>
                <w:color w:val="1C3A36"/>
                <w:sz w:val="14"/>
              </w:rPr>
              <w:t>w_dcf</w:t>
            </w:r>
          </w:p>
        </w:tc>
        <w:tc>
          <w:tcPr>
            <w:tcW w:type="dxa" w:w="1325"/>
          </w:tcPr>
          <w:p>
            <w:pPr>
              <w:spacing w:after="20"/>
            </w:pPr>
            <w:r>
              <w:rPr>
                <w:color w:val="1C3A36"/>
                <w:sz w:val="14"/>
              </w:rPr>
              <w:t>0.48</w:t>
            </w:r>
          </w:p>
        </w:tc>
        <w:tc>
          <w:tcPr>
            <w:tcW w:type="dxa" w:w="1066"/>
          </w:tcPr>
          <w:p>
            <w:pPr>
              <w:spacing w:after="20"/>
            </w:pPr>
            <w:r>
              <w:rPr>
                <w:color w:val="1C3A36"/>
                <w:sz w:val="14"/>
              </w:rPr>
              <w:t>House</w:t>
            </w:r>
          </w:p>
        </w:tc>
        <w:tc>
          <w:tcPr>
            <w:tcW w:type="dxa" w:w="7171"/>
          </w:tcPr>
          <w:p>
            <w:pPr>
              <w:spacing w:after="20"/>
            </w:pPr>
            <w:r>
              <w:rPr>
                <w:color w:val="1C3A36"/>
                <w:sz w:val="14"/>
              </w:rPr>
              <w:t>Weight, cash-flow lens</w:t>
            </w:r>
          </w:p>
        </w:tc>
        <w:tc>
          <w:tcPr>
            <w:tcW w:type="dxa" w:w="1210"/>
          </w:tcPr>
          <w:p>
            <w:pPr>
              <w:spacing w:after="20"/>
            </w:pPr>
            <w:r>
              <w:rPr>
                <w:color w:val="1C3A36"/>
                <w:sz w:val="14"/>
              </w:rPr>
              <w:t>2026-08-06</w:t>
            </w:r>
          </w:p>
        </w:tc>
      </w:tr>
      <w:tr>
        <w:tc>
          <w:tcPr>
            <w:tcW w:type="dxa" w:w="432"/>
          </w:tcPr>
          <w:p>
            <w:pPr>
              <w:spacing w:after="20"/>
            </w:pPr>
            <w:r>
              <w:rPr>
                <w:color w:val="1C3A36"/>
                <w:sz w:val="14"/>
              </w:rPr>
              <w:t>83</w:t>
            </w:r>
          </w:p>
        </w:tc>
        <w:tc>
          <w:tcPr>
            <w:tcW w:type="dxa" w:w="2448"/>
          </w:tcPr>
          <w:p>
            <w:pPr>
              <w:spacing w:after="20"/>
            </w:pPr>
            <w:r>
              <w:rPr>
                <w:color w:val="1C3A36"/>
                <w:sz w:val="14"/>
              </w:rPr>
              <w:t>w_norm</w:t>
            </w:r>
          </w:p>
        </w:tc>
        <w:tc>
          <w:tcPr>
            <w:tcW w:type="dxa" w:w="1325"/>
          </w:tcPr>
          <w:p>
            <w:pPr>
              <w:spacing w:after="20"/>
            </w:pPr>
            <w:r>
              <w:rPr>
                <w:color w:val="1C3A36"/>
                <w:sz w:val="14"/>
              </w:rPr>
              <w:t>0.23</w:t>
            </w:r>
          </w:p>
        </w:tc>
        <w:tc>
          <w:tcPr>
            <w:tcW w:type="dxa" w:w="1066"/>
          </w:tcPr>
          <w:p>
            <w:pPr>
              <w:spacing w:after="20"/>
            </w:pPr>
            <w:r>
              <w:rPr>
                <w:color w:val="1C3A36"/>
                <w:sz w:val="14"/>
              </w:rPr>
              <w:t>House</w:t>
            </w:r>
          </w:p>
        </w:tc>
        <w:tc>
          <w:tcPr>
            <w:tcW w:type="dxa" w:w="7171"/>
          </w:tcPr>
          <w:p>
            <w:pPr>
              <w:spacing w:after="20"/>
            </w:pPr>
            <w:r>
              <w:rPr>
                <w:color w:val="1C3A36"/>
                <w:sz w:val="14"/>
              </w:rPr>
              <w:t>Weight, normalised lens</w:t>
            </w:r>
          </w:p>
        </w:tc>
        <w:tc>
          <w:tcPr>
            <w:tcW w:type="dxa" w:w="1210"/>
          </w:tcPr>
          <w:p>
            <w:pPr>
              <w:spacing w:after="20"/>
            </w:pPr>
            <w:r>
              <w:rPr>
                <w:color w:val="1C3A36"/>
                <w:sz w:val="14"/>
              </w:rPr>
              <w:t>2026-08-06</w:t>
            </w:r>
          </w:p>
        </w:tc>
      </w:tr>
      <w:tr>
        <w:tc>
          <w:tcPr>
            <w:tcW w:type="dxa" w:w="432"/>
          </w:tcPr>
          <w:p>
            <w:pPr>
              <w:spacing w:after="20"/>
            </w:pPr>
            <w:r>
              <w:rPr>
                <w:color w:val="1C3A36"/>
                <w:sz w:val="14"/>
              </w:rPr>
              <w:t>84</w:t>
            </w:r>
          </w:p>
        </w:tc>
        <w:tc>
          <w:tcPr>
            <w:tcW w:type="dxa" w:w="2448"/>
          </w:tcPr>
          <w:p>
            <w:pPr>
              <w:spacing w:after="20"/>
            </w:pPr>
            <w:r>
              <w:rPr>
                <w:color w:val="1C3A36"/>
                <w:sz w:val="14"/>
              </w:rPr>
              <w:t>w_rel</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171"/>
          </w:tcPr>
          <w:p>
            <w:pPr>
              <w:spacing w:after="20"/>
            </w:pPr>
            <w:r>
              <w:rPr>
                <w:color w:val="1C3A36"/>
                <w:sz w:val="14"/>
              </w:rPr>
              <w:t>Weight, relative lens</w:t>
            </w:r>
          </w:p>
        </w:tc>
        <w:tc>
          <w:tcPr>
            <w:tcW w:type="dxa" w:w="1210"/>
          </w:tcPr>
          <w:p>
            <w:pPr>
              <w:spacing w:after="20"/>
            </w:pPr>
            <w:r>
              <w:rPr>
                <w:color w:val="1C3A36"/>
                <w:sz w:val="14"/>
              </w:rPr>
              <w:t>2026-08-06</w:t>
            </w:r>
          </w:p>
        </w:tc>
      </w:tr>
      <w:tr>
        <w:tc>
          <w:tcPr>
            <w:tcW w:type="dxa" w:w="432"/>
          </w:tcPr>
          <w:p>
            <w:pPr>
              <w:spacing w:after="20"/>
            </w:pPr>
            <w:r>
              <w:rPr>
                <w:color w:val="1C3A36"/>
                <w:sz w:val="14"/>
              </w:rPr>
              <w:t>85</w:t>
            </w:r>
          </w:p>
        </w:tc>
        <w:tc>
          <w:tcPr>
            <w:tcW w:type="dxa" w:w="2448"/>
          </w:tcPr>
          <w:p>
            <w:pPr>
              <w:spacing w:after="20"/>
            </w:pPr>
            <w:r>
              <w:rPr>
                <w:color w:val="1C3A36"/>
                <w:sz w:val="14"/>
              </w:rPr>
              <w:t>wc_pct_drev</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432"/>
          </w:tcPr>
          <w:p>
            <w:pPr>
              <w:spacing w:after="20"/>
            </w:pPr>
            <w:r>
              <w:rPr>
                <w:color w:val="1C3A36"/>
                <w:sz w:val="14"/>
              </w:rPr>
              <w:t>86</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 normalised</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Sinai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FY2023, FY2024 and FY2025 consolidated results; 9M-2025 results; EGM resolutions on the 2024 capital increase; issued-capital and share-count disclosures.</w:t>
            </w:r>
          </w:p>
        </w:tc>
        <w:tc>
          <w:tcPr>
            <w:tcW w:type="dxa" w:w="2880"/>
          </w:tcPr>
          <w:p>
            <w:pPr>
              <w:spacing w:after="20"/>
            </w:pPr>
            <w:r>
              <w:rPr>
                <w:color w:val="1C3A36"/>
                <w:sz w:val="16"/>
              </w:rPr>
              <w:t>Accessed indirectly through the press outlets below; the primary documents could not be retrieved from the company website or the exchange portal.</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FY2024 turnaround (net profit EGP 3.07bn against a EGP 121.42mn FY2023 loss; sales EGP 6.42bn from EGP 4.28bn); Egyptian production, consumption, capacity and export volumes; the dormant-capacity revival programme.</w:t>
            </w:r>
          </w:p>
        </w:tc>
        <w:tc>
          <w:tcPr>
            <w:tcW w:type="dxa" w:w="2880"/>
          </w:tcPr>
          <w:p>
            <w:pPr>
              <w:spacing w:after="20"/>
            </w:pPr>
            <w:r>
              <w:rPr>
                <w:color w:val="1C3A36"/>
                <w:sz w:val="16"/>
              </w:rPr>
              <w:t>globalcement.com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2025 production up 18% to ~65Mt; 9M-2025 results; the Cementir acquisition of the Sinai White stake.</w:t>
            </w:r>
          </w:p>
        </w:tc>
        <w:tc>
          <w:tcPr>
            <w:tcW w:type="dxa" w:w="2880"/>
          </w:tcPr>
          <w:p>
            <w:pPr>
              <w:spacing w:after="20"/>
            </w:pPr>
            <w:r>
              <w:rPr>
                <w:color w:val="1C3A36"/>
                <w:sz w:val="16"/>
              </w:rPr>
              <w:t>cemnet.com</w:t>
            </w:r>
          </w:p>
        </w:tc>
      </w:tr>
      <w:tr>
        <w:tc>
          <w:tcPr>
            <w:tcW w:type="dxa" w:w="2664"/>
          </w:tcPr>
          <w:p>
            <w:pPr>
              <w:spacing w:after="20"/>
            </w:pPr>
            <w:r>
              <w:rPr>
                <w:color w:val="1C3A36"/>
                <w:sz w:val="16"/>
              </w:rPr>
              <w:t>Cementir Holding N.V. / Aalborg Portland Holding A/S</w:t>
            </w:r>
          </w:p>
        </w:tc>
        <w:tc>
          <w:tcPr>
            <w:tcW w:type="dxa" w:w="2333"/>
          </w:tcPr>
          <w:p>
            <w:pPr>
              <w:spacing w:after="20"/>
            </w:pPr>
            <w:r>
              <w:rPr>
                <w:color w:val="1C3A36"/>
                <w:sz w:val="16"/>
              </w:rPr>
              <w:t>Counterparty disclosure</w:t>
            </w:r>
          </w:p>
        </w:tc>
        <w:tc>
          <w:tcPr>
            <w:tcW w:type="dxa" w:w="5803"/>
          </w:tcPr>
          <w:p>
            <w:pPr>
              <w:spacing w:after="20"/>
            </w:pPr>
            <w:r>
              <w:rPr>
                <w:color w:val="1C3A36"/>
                <w:sz w:val="16"/>
              </w:rPr>
              <w:t>Acquisition of an additional 25.40% of Sinai White Portland Cement from Sinai Cement for EUR 30 million, completed 13 August 2024, taking Cementir to 96.5%. This is the transaction that resets the FY2024 base.</w:t>
            </w:r>
          </w:p>
        </w:tc>
        <w:tc>
          <w:tcPr>
            <w:tcW w:type="dxa" w:w="2880"/>
          </w:tcPr>
          <w:p>
            <w:pPr>
              <w:spacing w:after="20"/>
            </w:pPr>
            <w:r>
              <w:rPr>
                <w:color w:val="1C3A36"/>
                <w:sz w:val="16"/>
              </w:rPr>
              <w:t>cementirholding.com</w:t>
            </w:r>
          </w:p>
        </w:tc>
      </w:tr>
      <w:tr>
        <w:tc>
          <w:tcPr>
            <w:tcW w:type="dxa" w:w="2664"/>
          </w:tcPr>
          <w:p>
            <w:pPr>
              <w:spacing w:after="20"/>
            </w:pPr>
            <w:r>
              <w:rPr>
                <w:color w:val="1C3A36"/>
                <w:sz w:val="16"/>
              </w:rPr>
              <w:t>Vicat S.A. — results and regulatory filings</w:t>
            </w:r>
          </w:p>
        </w:tc>
        <w:tc>
          <w:tcPr>
            <w:tcW w:type="dxa" w:w="2333"/>
          </w:tcPr>
          <w:p>
            <w:pPr>
              <w:spacing w:after="20"/>
            </w:pPr>
            <w:r>
              <w:rPr>
                <w:color w:val="1C3A36"/>
                <w:sz w:val="16"/>
              </w:rPr>
              <w:t>Shareholder disclosure</w:t>
            </w:r>
          </w:p>
        </w:tc>
        <w:tc>
          <w:tcPr>
            <w:tcW w:type="dxa" w:w="5803"/>
          </w:tcPr>
          <w:p>
            <w:pPr>
              <w:spacing w:after="20"/>
            </w:pPr>
            <w:r>
              <w:rPr>
                <w:color w:val="1C3A36"/>
                <w:sz w:val="16"/>
              </w:rPr>
              <w:t>The 77.6% holding through Vicat Egypt Cement Industries; the July 2025 mandatory tender offer for 58,416,664 shares (22.4%) at EGP 41.00 per share, filed with the Financial Regulatory Authority.</w:t>
            </w:r>
          </w:p>
        </w:tc>
        <w:tc>
          <w:tcPr>
            <w:tcW w:type="dxa" w:w="2880"/>
          </w:tcPr>
          <w:p>
            <w:pPr>
              <w:spacing w:after="20"/>
            </w:pPr>
            <w:r>
              <w:rPr>
                <w:color w:val="1C3A36"/>
                <w:sz w:val="16"/>
              </w:rPr>
              <w:t>Reported via Reuters and Vicat H1-2025 results</w:t>
            </w:r>
          </w:p>
        </w:tc>
      </w:tr>
      <w:tr>
        <w:tc>
          <w:tcPr>
            <w:tcW w:type="dxa" w:w="2664"/>
          </w:tcPr>
          <w:p>
            <w:pPr>
              <w:spacing w:after="20"/>
            </w:pPr>
            <w:r>
              <w:rPr>
                <w:color w:val="1C3A36"/>
                <w:sz w:val="16"/>
              </w:rPr>
              <w:t>Daily News Egypt</w:t>
            </w:r>
          </w:p>
        </w:tc>
        <w:tc>
          <w:tcPr>
            <w:tcW w:type="dxa" w:w="2333"/>
          </w:tcPr>
          <w:p>
            <w:pPr>
              <w:spacing w:after="20"/>
            </w:pPr>
            <w:r>
              <w:rPr>
                <w:color w:val="1C3A36"/>
                <w:sz w:val="16"/>
              </w:rPr>
              <w:t>National press</w:t>
            </w:r>
          </w:p>
        </w:tc>
        <w:tc>
          <w:tcPr>
            <w:tcW w:type="dxa" w:w="5803"/>
          </w:tcPr>
          <w:p>
            <w:pPr>
              <w:spacing w:after="20"/>
            </w:pPr>
            <w:r>
              <w:rPr>
                <w:color w:val="1C3A36"/>
                <w:sz w:val="16"/>
              </w:rPr>
              <w:t>FY2024 results commentary including the ~5% market-share figure; central bank inflation projections and the May-2026 inflation print.</w:t>
            </w:r>
          </w:p>
        </w:tc>
        <w:tc>
          <w:tcPr>
            <w:tcW w:type="dxa" w:w="2880"/>
          </w:tcPr>
          <w:p>
            <w:pPr>
              <w:spacing w:after="20"/>
            </w:pPr>
            <w:r>
              <w:rPr>
                <w:color w:val="1C3A36"/>
                <w:sz w:val="16"/>
              </w:rPr>
              <w:t>dailynewsegypt.com</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results; peer results for Misr Beni Suef Cement and Arabian Cement.</w:t>
            </w:r>
          </w:p>
        </w:tc>
        <w:tc>
          <w:tcPr>
            <w:tcW w:type="dxa" w:w="2880"/>
          </w:tcPr>
          <w:p>
            <w:pPr>
              <w:spacing w:after="20"/>
            </w:pPr>
            <w:r>
              <w:rPr>
                <w:color w:val="1C3A36"/>
                <w:sz w:val="16"/>
              </w:rPr>
              <w:t>arabfinance.com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Egyptian cement pricing through 2025 and the 2026 estimate; the Egyptian Competition Authority's permanent removal of production quotas in July 2025.</w:t>
            </w:r>
          </w:p>
        </w:tc>
        <w:tc>
          <w:tcPr>
            <w:tcW w:type="dxa" w:w="2880"/>
          </w:tcPr>
          <w:p>
            <w:pPr>
              <w:spacing w:after="20"/>
            </w:pPr>
            <w:r>
              <w:rPr>
                <w:color w:val="1C3A36"/>
                <w:sz w:val="16"/>
              </w:rPr>
              <w:t>enterpriseam.com</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since 2 April 2026; the Q1-2026 Monetary Policy Report; the medium-term inflation target of 7% (±2pp) for Q4-2026 easing to 5%; the headline and core inflation series.</w:t>
            </w:r>
          </w:p>
        </w:tc>
        <w:tc>
          <w:tcPr>
            <w:tcW w:type="dxa" w:w="2880"/>
          </w:tcPr>
          <w:p>
            <w:pPr>
              <w:spacing w:after="20"/>
            </w:pPr>
            <w:r>
              <w:rPr>
                <w:color w:val="1C3A36"/>
                <w:sz w:val="16"/>
              </w:rPr>
              <w:t>cbe.org.eg</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both the credit-default-swap and credit-rating bases,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PwC Worldwide Tax Summaries</w:t>
            </w:r>
          </w:p>
        </w:tc>
        <w:tc>
          <w:tcPr>
            <w:tcW w:type="dxa" w:w="2333"/>
          </w:tcPr>
          <w:p>
            <w:pPr>
              <w:spacing w:after="20"/>
            </w:pPr>
            <w:r>
              <w:rPr>
                <w:color w:val="1C3A36"/>
                <w:sz w:val="16"/>
              </w:rPr>
              <w:t>Tax reference</w:t>
            </w:r>
          </w:p>
        </w:tc>
        <w:tc>
          <w:tcPr>
            <w:tcW w:type="dxa" w:w="5803"/>
          </w:tcPr>
          <w:p>
            <w:pPr>
              <w:spacing w:after="20"/>
            </w:pPr>
            <w:r>
              <w:rPr>
                <w:color w:val="1C3A36"/>
                <w:sz w:val="16"/>
              </w:rPr>
              <w:t>Egyptian corporate income tax rate of 22.5%, unchanged for 2025-26.</w:t>
            </w:r>
          </w:p>
        </w:tc>
        <w:tc>
          <w:tcPr>
            <w:tcW w:type="dxa" w:w="2880"/>
          </w:tcPr>
          <w:p>
            <w:pPr>
              <w:spacing w:after="20"/>
            </w:pPr>
            <w:r>
              <w:rPr>
                <w:color w:val="1C3A36"/>
                <w:sz w:val="16"/>
              </w:rPr>
              <w:t>taxsummaries.pwc.com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3,626 daily open, high, low, close and volume records from 2 January 2011 to 6 August 2026, supplied with the engagement. This series is the basis of the price chart, the volatility estimate, the beta regression and the liquidity diagnostics.</w:t>
            </w:r>
          </w:p>
        </w:tc>
        <w:tc>
          <w:tcPr>
            <w:tcW w:type="dxa" w:w="2880"/>
          </w:tcPr>
          <w:p>
            <w:pPr>
              <w:spacing w:after="20"/>
            </w:pPr>
            <w:r>
              <w:rPr>
                <w:color w:val="1C3A36"/>
                <w:sz w:val="16"/>
              </w:rPr>
              <w:t>Supplied as a file</w:t>
            </w:r>
          </w:p>
        </w:tc>
      </w:tr>
      <w:tr>
        <w:tc>
          <w:tcPr>
            <w:tcW w:type="dxa" w:w="2664"/>
          </w:tcPr>
          <w:p>
            <w:pPr>
              <w:spacing w:after="20"/>
            </w:pPr>
            <w:r>
              <w:rPr>
                <w:color w:val="1C3A36"/>
                <w:sz w:val="16"/>
              </w:rPr>
              <w:t>Global Energy Monitor plant register</w:t>
            </w:r>
          </w:p>
        </w:tc>
        <w:tc>
          <w:tcPr>
            <w:tcW w:type="dxa" w:w="2333"/>
          </w:tcPr>
          <w:p>
            <w:pPr>
              <w:spacing w:after="20"/>
            </w:pPr>
            <w:r>
              <w:rPr>
                <w:color w:val="1C3A36"/>
                <w:sz w:val="16"/>
              </w:rPr>
              <w:t>Sector database</w:t>
            </w:r>
          </w:p>
        </w:tc>
        <w:tc>
          <w:tcPr>
            <w:tcW w:type="dxa" w:w="5803"/>
          </w:tcPr>
          <w:p>
            <w:pPr>
              <w:spacing w:after="20"/>
            </w:pPr>
            <w:r>
              <w:rPr>
                <w:color w:val="1C3A36"/>
                <w:sz w:val="16"/>
              </w:rPr>
              <w:t>El Hassana plant configuration: two lines, approximately 3.8 million tonnes a year of cement capacity, commissioned from 1997.</w:t>
            </w:r>
          </w:p>
        </w:tc>
        <w:tc>
          <w:tcPr>
            <w:tcW w:type="dxa" w:w="2880"/>
          </w:tcPr>
          <w:p>
            <w:pPr>
              <w:spacing w:after="20"/>
            </w:pPr>
            <w:r>
              <w:rPr>
                <w:color w:val="1C3A36"/>
                <w:sz w:val="16"/>
              </w:rPr>
              <w:t>gem.wiki</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260,812,477</w:t>
            </w:r>
          </w:p>
        </w:tc>
        <w:tc>
          <w:tcPr>
            <w:tcW w:type="dxa" w:w="10224"/>
          </w:tcPr>
          <w:p>
            <w:pPr>
              <w:spacing w:after="20"/>
            </w:pPr>
            <w:r>
              <w:rPr>
                <w:color w:val="1C3A36"/>
                <w:sz w:val="16"/>
              </w:rPr>
              <w:t>Triangulated three ways and cross-checked: issued capital of EGP 2,608,124,770 at EGP 10 par gives 261; the tender offer of 58,416,664 shares described as 22.4% back-solves to 261; quoted market capitalisation divided by the closing price gives 261. The three agree to within 0.01%. Aggregator prints of 141.46 million are irreconcilable with the market capitalisation printed beside them and are rejected.</w:t>
            </w:r>
          </w:p>
        </w:tc>
      </w:tr>
      <w:tr>
        <w:tc>
          <w:tcPr>
            <w:tcW w:type="dxa" w:w="3456"/>
          </w:tcPr>
          <w:p>
            <w:pPr>
              <w:spacing w:after="20"/>
            </w:pPr>
            <w:r>
              <w:rPr>
                <w:color w:val="1C3A36"/>
                <w:sz w:val="16"/>
              </w:rPr>
              <w:t>FY2024 EBIT, treasury income and the disposal gain</w:t>
            </w:r>
          </w:p>
        </w:tc>
        <w:tc>
          <w:tcPr>
            <w:tcW w:type="dxa" w:w="10224"/>
          </w:tcPr>
          <w:p>
            <w:pPr>
              <w:spacing w:after="20"/>
            </w:pPr>
            <w:r>
              <w:rPr>
                <w:color w:val="1C3A36"/>
                <w:sz w:val="16"/>
              </w:rPr>
              <w:t>The FY2024 profit bridge is closed against the one disclosed EBITDA figure. Depreciation is taken at 6.2% of revenue, giving EBIT; the disposal gain is EUR 30 million at the August-2024 exchange rate less an estimated EGP 100 million carrying value; treasury income is then whatever remains once disclosed profit after tax is grossed up at the statutory rate.</w:t>
            </w:r>
          </w:p>
        </w:tc>
      </w:tr>
      <w:tr>
        <w:tc>
          <w:tcPr>
            <w:tcW w:type="dxa" w:w="3456"/>
          </w:tcPr>
          <w:p>
            <w:pPr>
              <w:spacing w:after="20"/>
            </w:pPr>
            <w:r>
              <w:rPr>
                <w:color w:val="1C3A36"/>
                <w:sz w:val="16"/>
              </w:rPr>
              <w:t>FY2025 EBIT and EBITDA</w:t>
            </w:r>
          </w:p>
        </w:tc>
        <w:tc>
          <w:tcPr>
            <w:tcW w:type="dxa" w:w="10224"/>
          </w:tcPr>
          <w:p>
            <w:pPr>
              <w:spacing w:after="20"/>
            </w:pPr>
            <w:r>
              <w:rPr>
                <w:color w:val="1C3A36"/>
                <w:sz w:val="16"/>
              </w:rPr>
              <w:t>Disclosed profit after tax is grossed up at the statutory rate to give pre-tax profit; treasury income on the derived cash balance is deducted to give EBIT; depreciation at 4.6% of revenue is added back to give EBITDA.</w:t>
            </w:r>
          </w:p>
        </w:tc>
      </w:tr>
      <w:tr>
        <w:tc>
          <w:tcPr>
            <w:tcW w:type="dxa" w:w="3456"/>
          </w:tcPr>
          <w:p>
            <w:pPr>
              <w:spacing w:after="20"/>
            </w:pPr>
            <w:r>
              <w:rPr>
                <w:color w:val="1C3A36"/>
                <w:sz w:val="16"/>
              </w:rPr>
              <w:t>The cash balance</w:t>
            </w:r>
          </w:p>
        </w:tc>
        <w:tc>
          <w:tcPr>
            <w:tcW w:type="dxa" w:w="10224"/>
          </w:tcPr>
          <w:p>
            <w:pPr>
              <w:spacing w:after="20"/>
            </w:pPr>
            <w:r>
              <w:rPr>
                <w:color w:val="1C3A36"/>
                <w:sz w:val="16"/>
              </w:rPr>
              <w:t>No cash figure is separately obtainable. FY2024 cash is inferred as the derived FY2024 treasury income divided by the prevailing deposit yield; FY2025 cash is that balance grown by a stated multiple. This is the least well-evidenced material figure in the valuation and net cash is 37% of the equity value.</w:t>
            </w:r>
          </w:p>
        </w:tc>
      </w:tr>
      <w:tr>
        <w:tc>
          <w:tcPr>
            <w:tcW w:type="dxa" w:w="3456"/>
          </w:tcPr>
          <w:p>
            <w:pPr>
              <w:spacing w:after="20"/>
            </w:pPr>
            <w:r>
              <w:rPr>
                <w:color w:val="1C3A36"/>
                <w:sz w:val="16"/>
              </w:rPr>
              <w:t>Sales volume and realised price</w:t>
            </w:r>
          </w:p>
        </w:tc>
        <w:tc>
          <w:tcPr>
            <w:tcW w:type="dxa" w:w="10224"/>
          </w:tcPr>
          <w:p>
            <w:pPr>
              <w:spacing w:after="20"/>
            </w:pPr>
            <w:r>
              <w:rPr>
                <w:color w:val="1C3A36"/>
                <w:sz w:val="16"/>
              </w:rPr>
              <w:t>Volume is the Egyptian market size multiplied by the company's share; realised price is then disclosed revenue divided by that volume, so the build reproduces the reported top line exactly in all three historical years.</w:t>
            </w:r>
          </w:p>
        </w:tc>
      </w:tr>
      <w:tr>
        <w:tc>
          <w:tcPr>
            <w:tcW w:type="dxa" w:w="3456"/>
          </w:tcPr>
          <w:p>
            <w:pPr>
              <w:spacing w:after="20"/>
            </w:pPr>
            <w:r>
              <w:rPr>
                <w:color w:val="1C3A36"/>
                <w:sz w:val="16"/>
              </w:rPr>
              <w:t>Terminal return on invested capital</w:t>
            </w:r>
          </w:p>
        </w:tc>
        <w:tc>
          <w:tcPr>
            <w:tcW w:type="dxa" w:w="10224"/>
          </w:tcPr>
          <w:p>
            <w:pPr>
              <w:spacing w:after="20"/>
            </w:pPr>
            <w:r>
              <w:rPr>
                <w:color w:val="1C3A36"/>
                <w:sz w:val="16"/>
              </w:rPr>
              <w:t>Struck on replacement cost — 3.8Mt at USD 130 per annual tonne — rather than on book invested capital, which implies a nan% return because the plant is carried at 1997 cost through a five-fold devaluation.</w:t>
            </w:r>
          </w:p>
        </w:tc>
      </w:tr>
      <w:tr>
        <w:tc>
          <w:tcPr>
            <w:tcW w:type="dxa" w:w="3456"/>
          </w:tcPr>
          <w:p>
            <w:pPr>
              <w:spacing w:after="20"/>
            </w:pPr>
            <w:r>
              <w:rPr>
                <w:color w:val="1C3A36"/>
                <w:sz w:val="16"/>
              </w:rPr>
              <w:t>Beta — 1.00 adopted</w:t>
            </w:r>
          </w:p>
        </w:tc>
        <w:tc>
          <w:tcPr>
            <w:tcW w:type="dxa" w:w="10224"/>
          </w:tcPr>
          <w:p>
            <w:pPr>
              <w:spacing w:after="20"/>
            </w:pPr>
            <w:r>
              <w:rPr>
                <w:color w:val="1C3A36"/>
                <w:sz w:val="16"/>
              </w:rPr>
              <w:t>A five-year weekly regression of the shares against a 32-name equal-weight Egyptian composite returns 0.485 with an R-squared of 0.038 over 256 observations. That R-squared is below the 5% usability floor, so the regression result is NOT used. No Egyptian listed cement peer carries a price history in the covered library, so a re-levered peer beta is unavailable. 1.00 is adopted and corroborated: a lead-and-lag estimator correcting for the 29.3% of sessions that close unchanged gives 0.837, whose 90% interval contains 1.00.</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23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&amp; USD/FX regime</w:t>
            </w:r>
          </w:p>
        </w:tc>
        <w:tc>
          <w:tcPr>
            <w:tcW w:type="dxa" w:w="5846"/>
          </w:tcPr>
          <w:p>
            <w:pPr>
              <w:spacing w:after="20"/>
            </w:pPr>
            <w:r>
              <w:rPr>
                <w:color w:val="1C3A36"/>
                <w:sz w:val="14"/>
              </w:rPr>
              <w:t>Global easing cycle underway; Fed funds midpoint 3.63% (Jun-2026), which sets the backdrop against which Egypt's own 19.50% policy rate normalises</w:t>
            </w:r>
          </w:p>
        </w:tc>
        <w:tc>
          <w:tcPr>
            <w:tcW w:type="dxa" w:w="3053"/>
          </w:tcPr>
          <w:p>
            <w:pPr>
              <w:spacing w:after="20"/>
            </w:pPr>
            <w:r>
              <w:rPr>
                <w:color w:val="1C3A36"/>
                <w:sz w:val="14"/>
              </w:rPr>
              <w:t>US Federal Reserve policy history (house FED_SCHEDULE, engine/market_profiles.py)</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(input/output)</w:t>
            </w:r>
          </w:p>
        </w:tc>
        <w:tc>
          <w:tcPr>
            <w:tcW w:type="dxa" w:w="5846"/>
          </w:tcPr>
          <w:p>
            <w:pPr>
              <w:spacing w:after="20"/>
            </w:pPr>
            <w:r>
              <w:rPr>
                <w:color w:val="1C3A36"/>
                <w:sz w:val="14"/>
              </w:rPr>
              <w:t>Cement is an energy-conversion business: coal/petcoke and electricity are the dominant cash cost. Egypt's phased energy-subsidy reform keeps raising the local energy bill independent of the global fuel price</w:t>
            </w:r>
          </w:p>
        </w:tc>
        <w:tc>
          <w:tcPr>
            <w:tcW w:type="dxa" w:w="3053"/>
          </w:tcPr>
          <w:p>
            <w:pPr>
              <w:spacing w:after="20"/>
            </w:pPr>
            <w:r>
              <w:rPr>
                <w:color w:val="1C3A36"/>
                <w:sz w:val="14"/>
              </w:rPr>
              <w:t>Egypt Cement Industry Market Size &amp; Forecast Report 2020-2029 (production faces pressure from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global sector demand</w:t>
            </w:r>
          </w:p>
        </w:tc>
        <w:tc>
          <w:tcPr>
            <w:tcW w:type="dxa" w:w="5846"/>
          </w:tcPr>
          <w:p>
            <w:pPr>
              <w:spacing w:after="20"/>
            </w:pPr>
            <w:r>
              <w:rPr>
                <w:color w:val="1C3A36"/>
                <w:sz w:val="14"/>
              </w:rPr>
              <w:t>Cement is a non-traded-at-distance commodity — bulk sea freight limits the economic export radius, so global demand reaches SCEM only through the Mediterranean/East-African export basin, not through a world price</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Global</w:t>
            </w:r>
          </w:p>
        </w:tc>
        <w:tc>
          <w:tcPr>
            <w:tcW w:type="dxa" w:w="2275"/>
          </w:tcPr>
          <w:p>
            <w:pPr>
              <w:spacing w:after="20"/>
            </w:pPr>
            <w:r>
              <w:rPr>
                <w:color w:val="1C3A36"/>
                <w:sz w:val="14"/>
              </w:rPr>
              <w:t>trade / sanctions / supply chains</w:t>
            </w:r>
          </w:p>
        </w:tc>
        <w:tc>
          <w:tcPr>
            <w:tcW w:type="dxa" w:w="5846"/>
          </w:tcPr>
          <w:p>
            <w:pPr>
              <w:spacing w:after="20"/>
            </w:pPr>
            <w:r>
              <w:rPr>
                <w:color w:val="1C3A36"/>
                <w:sz w:val="14"/>
              </w:rPr>
              <w:t>Egyptian cement exports fell ~6% y/y to 18.5Mt in 2025, but the MIX inverted: finished-cement exports +66.6% to 12.5Mt while clinker exports fell ~38%</w:t>
            </w:r>
          </w:p>
        </w:tc>
        <w:tc>
          <w:tcPr>
            <w:tcW w:type="dxa" w:w="3053"/>
          </w:tcPr>
          <w:p>
            <w:pPr>
              <w:spacing w:after="20"/>
            </w:pPr>
            <w:r>
              <w:rPr>
                <w:color w:val="1C3A36"/>
                <w:sz w:val="14"/>
              </w:rPr>
              <w:t>Global Cement — Egyptian cement exports decline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CBE main operation rate 19.50%, held since 2 Apr 2026. Headline inflation eased to 14.6% in May-2026 (core 13.8%); CBE's own Q4-2026 target is 7% (+/-2pp) and it expects the target to be missed on average in Q4-2026 before declining from Q1-2027</w:t>
            </w:r>
          </w:p>
        </w:tc>
        <w:tc>
          <w:tcPr>
            <w:tcW w:type="dxa" w:w="3053"/>
          </w:tcPr>
          <w:p>
            <w:pPr>
              <w:spacing w:after="20"/>
            </w:pPr>
            <w:r>
              <w:rPr>
                <w:color w:val="1C3A36"/>
                <w:sz w:val="14"/>
              </w:rPr>
              <w:t>Central Bank of Egypt — policy rate and Monetary Policy Report Q1-2026; CPI release</w:t>
            </w:r>
          </w:p>
        </w:tc>
        <w:tc>
          <w:tcPr>
            <w:tcW w:type="dxa" w:w="1267"/>
          </w:tcPr>
          <w:p>
            <w:pPr>
              <w:spacing w:after="20"/>
            </w:pPr>
            <w:r>
              <w:rPr>
                <w:color w:val="1C3A36"/>
                <w:sz w:val="14"/>
              </w:rPr>
              <w:t>2026-06-10</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 (inflation, policy rate, FX/deval risk)</w:t>
            </w:r>
          </w:p>
        </w:tc>
        <w:tc>
          <w:tcPr>
            <w:tcW w:type="dxa" w:w="5846"/>
          </w:tcPr>
          <w:p>
            <w:pPr>
              <w:spacing w:after="20"/>
            </w:pPr>
            <w:r>
              <w:rPr>
                <w:color w:val="1C3A36"/>
                <w:sz w:val="14"/>
              </w:rPr>
              <w:t>Egypt 5-year CDS ~330bp (May-2026), materially tighter than the 2024 crisis peak</w:t>
            </w:r>
          </w:p>
        </w:tc>
        <w:tc>
          <w:tcPr>
            <w:tcW w:type="dxa" w:w="3053"/>
          </w:tcPr>
          <w:p>
            <w:pPr>
              <w:spacing w:after="20"/>
            </w:pPr>
            <w:r>
              <w:rPr>
                <w:color w:val="1C3A36"/>
                <w:sz w:val="14"/>
              </w:rPr>
              <w:t>Egypt 5Y CDS series</w:t>
            </w:r>
          </w:p>
        </w:tc>
        <w:tc>
          <w:tcPr>
            <w:tcW w:type="dxa" w:w="1267"/>
          </w:tcPr>
          <w:p>
            <w:pPr>
              <w:spacing w:after="20"/>
            </w:pPr>
            <w:r>
              <w:rPr>
                <w:color w:val="1C3A36"/>
                <w:sz w:val="14"/>
              </w:rPr>
              <w:t>2026-05-31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The Egyptian Competition Authority PERMANENTLY lifted cement production quotas in July 2025 (suspended from May 2025). The quota regime had capped output since 2021</w:t>
            </w:r>
          </w:p>
        </w:tc>
        <w:tc>
          <w:tcPr>
            <w:tcW w:type="dxa" w:w="3053"/>
          </w:tcPr>
          <w:p>
            <w:pPr>
              <w:spacing w:after="20"/>
            </w:pPr>
            <w:r>
              <w:rPr>
                <w:color w:val="1C3A36"/>
                <w:sz w:val="14"/>
              </w:rPr>
              <w:t>Egyptian Competition Authority, reported via EnterpriseAM / Global Cement</w:t>
            </w:r>
          </w:p>
        </w:tc>
        <w:tc>
          <w:tcPr>
            <w:tcW w:type="dxa" w:w="1267"/>
          </w:tcPr>
          <w:p>
            <w:pPr>
              <w:spacing w:after="20"/>
            </w:pPr>
            <w:r>
              <w:rPr>
                <w:color w:val="1C3A36"/>
                <w:sz w:val="14"/>
              </w:rPr>
              <w:t>2025-07-01</w:t>
            </w:r>
          </w:p>
        </w:tc>
      </w:tr>
      <w:tr>
        <w:tc>
          <w:tcPr>
            <w:tcW w:type="dxa" w:w="1094"/>
          </w:tcPr>
          <w:p>
            <w:pPr>
              <w:spacing w:after="20"/>
            </w:pPr>
            <w:r>
              <w:rPr>
                <w:color w:val="1C3A36"/>
                <w:sz w:val="14"/>
              </w:rPr>
              <w:t>Country</w:t>
            </w:r>
          </w:p>
        </w:tc>
        <w:tc>
          <w:tcPr>
            <w:tcW w:type="dxa" w:w="2275"/>
          </w:tcPr>
          <w:p>
            <w:pPr>
              <w:spacing w:after="20"/>
            </w:pPr>
            <w:r>
              <w:rPr>
                <w:color w:val="1C3A36"/>
                <w:sz w:val="14"/>
              </w:rPr>
              <w:t>regulatory environment (regulator, caps, tariffs, tax/subsidy)</w:t>
            </w:r>
          </w:p>
        </w:tc>
        <w:tc>
          <w:tcPr>
            <w:tcW w:type="dxa" w:w="5846"/>
          </w:tcPr>
          <w:p>
            <w:pPr>
              <w:spacing w:after="20"/>
            </w:pPr>
            <w:r>
              <w:rPr>
                <w:color w:val="1C3A36"/>
                <w:sz w:val="14"/>
              </w:rPr>
              <w:t>Egypt corporate income tax 22.5%, unchanged</w:t>
            </w:r>
          </w:p>
        </w:tc>
        <w:tc>
          <w:tcPr>
            <w:tcW w:type="dxa" w:w="3053"/>
          </w:tcPr>
          <w:p>
            <w:pPr>
              <w:spacing w:after="20"/>
            </w:pPr>
            <w:r>
              <w:rPr>
                <w:color w:val="1C3A36"/>
                <w:sz w:val="14"/>
              </w:rPr>
              <w:t>PwC Worldwide Tax Summaries (house Cost-of-Capital reference)</w:t>
            </w:r>
          </w:p>
        </w:tc>
        <w:tc>
          <w:tcPr>
            <w:tcW w:type="dxa" w:w="1267"/>
          </w:tcPr>
          <w:p>
            <w:pPr>
              <w:spacing w:after="20"/>
            </w:pPr>
            <w:r>
              <w:rPr>
                <w:color w:val="1C3A36"/>
                <w:sz w:val="14"/>
              </w:rPr>
              <w:t>2026-01-01</w:t>
            </w:r>
          </w:p>
        </w:tc>
      </w:tr>
      <w:tr>
        <w:tc>
          <w:tcPr>
            <w:tcW w:type="dxa" w:w="1094"/>
          </w:tcPr>
          <w:p>
            <w:pPr>
              <w:spacing w:after="20"/>
            </w:pPr>
            <w:r>
              <w:rPr>
                <w:color w:val="1C3A36"/>
                <w:sz w:val="14"/>
              </w:rPr>
              <w:t>Country</w:t>
            </w:r>
          </w:p>
        </w:tc>
        <w:tc>
          <w:tcPr>
            <w:tcW w:type="dxa" w:w="2275"/>
          </w:tcPr>
          <w:p>
            <w:pPr>
              <w:spacing w:after="20"/>
            </w:pPr>
            <w:r>
              <w:rPr>
                <w:color w:val="1C3A36"/>
                <w:sz w:val="14"/>
              </w:rPr>
              <w:t>fiscal / political events with sector read-through</w:t>
            </w:r>
          </w:p>
        </w:tc>
        <w:tc>
          <w:tcPr>
            <w:tcW w:type="dxa" w:w="5846"/>
          </w:tcPr>
          <w:p>
            <w:pPr>
              <w:spacing w:after="20"/>
            </w:pPr>
            <w:r>
              <w:rPr>
                <w:color w:val="1C3A36"/>
                <w:sz w:val="14"/>
              </w:rPr>
              <w:t>State-led housing, industrial and transport programmes are the marginal buyer of Egyptian cement; domestic consumption rose 13.4% to 54Mt in 2025 on that programme</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drivers &amp; capacity/supply balance</w:t>
            </w:r>
          </w:p>
        </w:tc>
        <w:tc>
          <w:tcPr>
            <w:tcW w:type="dxa" w:w="5846"/>
          </w:tcPr>
          <w:p>
            <w:pPr>
              <w:spacing w:after="20"/>
            </w:pPr>
            <w:r>
              <w:rPr>
                <w:color w:val="1C3A36"/>
                <w:sz w:val="14"/>
              </w:rPr>
              <w:t>2025 was the first year since 2008 that Egypt's cement supply-demand gap closed: domestic consumption 54Mt (+13.4% from 47.6Mt), production ~65Mt (+18% from 55Mt), operating utilisation ~98% against a nameplate 76Mt/yr across 46 lines</w:t>
            </w:r>
          </w:p>
        </w:tc>
        <w:tc>
          <w:tcPr>
            <w:tcW w:type="dxa" w:w="3053"/>
          </w:tcPr>
          <w:p>
            <w:pPr>
              <w:spacing w:after="20"/>
            </w:pPr>
            <w:r>
              <w:rPr>
                <w:color w:val="1C3A36"/>
                <w:sz w:val="14"/>
              </w:rPr>
              <w:t>Global Cement / cemnet (International Cement Review) — Egypt 2025 production</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new entrants (named-competitor level)</w:t>
            </w:r>
          </w:p>
        </w:tc>
        <w:tc>
          <w:tcPr>
            <w:tcW w:type="dxa" w:w="5846"/>
          </w:tcPr>
          <w:p>
            <w:pPr>
              <w:spacing w:after="20"/>
            </w:pPr>
            <w:r>
              <w:rPr>
                <w:color w:val="1C3A36"/>
                <w:sz w:val="14"/>
              </w:rPr>
              <w:t>Seven to nine dormant production lines are under study for revival, potentially adding 12.6Mt of supply from 2H 2026 -- ~23% of 2025 domestic consumption, landing INSIDE the explicit forecast window</w:t>
            </w:r>
          </w:p>
        </w:tc>
        <w:tc>
          <w:tcPr>
            <w:tcW w:type="dxa" w:w="3053"/>
          </w:tcPr>
          <w:p>
            <w:pPr>
              <w:spacing w:after="20"/>
            </w:pPr>
            <w:r>
              <w:rPr>
                <w:color w:val="1C3A36"/>
                <w:sz w:val="14"/>
              </w:rPr>
              <w:t>Global Cement — Update on Egypt</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pricing</w:t>
            </w:r>
          </w:p>
        </w:tc>
        <w:tc>
          <w:tcPr>
            <w:tcW w:type="dxa" w:w="5846"/>
          </w:tcPr>
          <w:p>
            <w:pPr>
              <w:spacing w:after="20"/>
            </w:pPr>
            <w:r>
              <w:rPr>
                <w:color w:val="1C3A36"/>
                <w:sz w:val="14"/>
              </w:rPr>
              <w:t>Egyptian cement prices roughly doubled to ~USD 81/t (EGP 3.9k) in 2025 from ~USD 50/t (EGP 2.1k) a year earlier, then are estimated to normalise to EGP 3,600-3,620/t in 2026e on ~1% higher demand and higher costs</w:t>
            </w:r>
          </w:p>
        </w:tc>
        <w:tc>
          <w:tcPr>
            <w:tcW w:type="dxa" w:w="3053"/>
          </w:tcPr>
          <w:p>
            <w:pPr>
              <w:spacing w:after="20"/>
            </w:pPr>
            <w:r>
              <w:rPr>
                <w:color w:val="1C3A36"/>
                <w:sz w:val="14"/>
              </w:rPr>
              <w:t>EnterpriseAM Egypt — how Egypt's cement industry fared in 2025 and what's next</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technology substitution</w:t>
            </w:r>
          </w:p>
        </w:tc>
        <w:tc>
          <w:tcPr>
            <w:tcW w:type="dxa" w:w="5846"/>
          </w:tcPr>
          <w:p>
            <w:pPr>
              <w:spacing w:after="20"/>
            </w:pPr>
            <w:r>
              <w:rPr>
                <w:color w:val="1C3A36"/>
                <w:sz w:val="14"/>
              </w:rPr>
              <w:t>No material substitution threat to Portland cement in Egyptian construction over the forecast horizon; the live technology question is decarbonisation capex (alternative fuels, clinker factor), which is a cost/capex item rather than a demand substitution</w:t>
            </w:r>
          </w:p>
        </w:tc>
        <w:tc>
          <w:tcPr>
            <w:tcW w:type="dxa" w:w="3053"/>
          </w:tcPr>
          <w:p>
            <w:pPr>
              <w:spacing w:after="20"/>
            </w:pPr>
            <w:r>
              <w:rPr>
                <w:color w:val="1C3A36"/>
                <w:sz w:val="14"/>
              </w:rPr>
              <w:t>Global Cement sector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competitor capacity / price moves (named)</w:t>
            </w:r>
          </w:p>
        </w:tc>
        <w:tc>
          <w:tcPr>
            <w:tcW w:type="dxa" w:w="5846"/>
          </w:tcPr>
          <w:p>
            <w:pPr>
              <w:spacing w:after="20"/>
            </w:pPr>
            <w:r>
              <w:rPr>
                <w:color w:val="1C3A36"/>
                <w:sz w:val="14"/>
              </w:rPr>
              <w:t>Named listed EGX peers all posted the same 2025 step-change: Misr Beni Suef (MBSC) attributable profit +373.7% to EGP 3.946bn on sales of EGP 5.700bn, EPS EGP 61.25, trailing P/E 6.44 and EV/EBITDA 5.03 on a EGP 13.73bn market cap; Arabian Cement (ARCC) FY2025 consolidated profit ~EGP 3.6bn (H1-2025 alone +305.5% to EGP 1.405bn)</w:t>
            </w:r>
          </w:p>
        </w:tc>
        <w:tc>
          <w:tcPr>
            <w:tcW w:type="dxa" w:w="3053"/>
          </w:tcPr>
          <w:p>
            <w:pPr>
              <w:spacing w:after="20"/>
            </w:pPr>
            <w:r>
              <w:rPr>
                <w:color w:val="1C3A36"/>
                <w:sz w:val="14"/>
              </w:rPr>
              <w:t>Arab Finance / EGX filings for MBSC and ARCC</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one-off base-resetting transactions</w:t>
            </w:r>
          </w:p>
        </w:tc>
        <w:tc>
          <w:tcPr>
            <w:tcW w:type="dxa" w:w="5846"/>
          </w:tcPr>
          <w:p>
            <w:pPr>
              <w:spacing w:after="20"/>
            </w:pPr>
            <w:r>
              <w:rPr>
                <w:color w:val="1C3A36"/>
                <w:sz w:val="14"/>
              </w:rPr>
              <w:t>SCEM sold its 25.40% stake in Sinai White Portland Cement to Aalborg Portland Holding (Cementir) for EUR 30m; completed 13 Aug 2024, taking Cementir to 96.5% of SWCC</w:t>
            </w:r>
          </w:p>
        </w:tc>
        <w:tc>
          <w:tcPr>
            <w:tcW w:type="dxa" w:w="3053"/>
          </w:tcPr>
          <w:p>
            <w:pPr>
              <w:spacing w:after="20"/>
            </w:pPr>
            <w:r>
              <w:rPr>
                <w:color w:val="1C3A36"/>
                <w:sz w:val="14"/>
              </w:rPr>
              <w:t>Cementir Holding N.V. corporate announcement; cemnet/ICR</w:t>
            </w:r>
          </w:p>
        </w:tc>
        <w:tc>
          <w:tcPr>
            <w:tcW w:type="dxa" w:w="1267"/>
          </w:tcPr>
          <w:p>
            <w:pPr>
              <w:spacing w:after="20"/>
            </w:pPr>
            <w:r>
              <w:rPr>
                <w:color w:val="1C3A36"/>
                <w:sz w:val="14"/>
              </w:rPr>
              <w:t>2024-08-13</w:t>
            </w:r>
          </w:p>
        </w:tc>
      </w:tr>
      <w:tr>
        <w:tc>
          <w:tcPr>
            <w:tcW w:type="dxa" w:w="1094"/>
          </w:tcPr>
          <w:p>
            <w:pPr>
              <w:spacing w:after="20"/>
            </w:pPr>
            <w:r>
              <w:rPr>
                <w:color w:val="1C3A36"/>
                <w:sz w:val="14"/>
              </w:rPr>
              <w:t>Company</w:t>
            </w:r>
          </w:p>
        </w:tc>
        <w:tc>
          <w:tcPr>
            <w:tcW w:type="dxa" w:w="2275"/>
          </w:tcPr>
          <w:p>
            <w:pPr>
              <w:spacing w:after="20"/>
            </w:pPr>
            <w:r>
              <w:rPr>
                <w:color w:val="1C3A36"/>
                <w:sz w:val="14"/>
              </w:rPr>
              <w:t>ownership / stake changes (named-transaction rule)</w:t>
            </w:r>
          </w:p>
        </w:tc>
        <w:tc>
          <w:tcPr>
            <w:tcW w:type="dxa" w:w="5846"/>
          </w:tcPr>
          <w:p>
            <w:pPr>
              <w:spacing w:after="20"/>
            </w:pPr>
            <w:r>
              <w:rPr>
                <w:color w:val="1C3A36"/>
                <w:sz w:val="14"/>
              </w:rPr>
              <w:t>Vicat, via Vicat Egypt Cement Industries, holds 77.6%; in Jul-2025 it filed a mandatory tender offer for the remaining 58,416,664 shares (22.4%) at EGP 41.00/share</w:t>
            </w:r>
          </w:p>
        </w:tc>
        <w:tc>
          <w:tcPr>
            <w:tcW w:type="dxa" w:w="3053"/>
          </w:tcPr>
          <w:p>
            <w:pPr>
              <w:spacing w:after="20"/>
            </w:pPr>
            <w:r>
              <w:rPr>
                <w:color w:val="1C3A36"/>
                <w:sz w:val="14"/>
              </w:rPr>
              <w:t>FRA filing reported via Reuters/TradingView; Vicat H1-2025 results</w:t>
            </w:r>
          </w:p>
        </w:tc>
        <w:tc>
          <w:tcPr>
            <w:tcW w:type="dxa" w:w="1267"/>
          </w:tcPr>
          <w:p>
            <w:pPr>
              <w:spacing w:after="20"/>
            </w:pPr>
            <w:r>
              <w:rPr>
                <w:color w:val="1C3A36"/>
                <w:sz w:val="14"/>
              </w:rPr>
              <w:t>2025-07-28</w:t>
            </w:r>
          </w:p>
        </w:tc>
      </w:tr>
      <w:tr>
        <w:tc>
          <w:tcPr>
            <w:tcW w:type="dxa" w:w="1094"/>
          </w:tcPr>
          <w:p>
            <w:pPr>
              <w:spacing w:after="20"/>
            </w:pPr>
            <w:r>
              <w:rPr>
                <w:color w:val="1C3A36"/>
                <w:sz w:val="14"/>
              </w:rPr>
              <w:t>Company</w:t>
            </w:r>
          </w:p>
        </w:tc>
        <w:tc>
          <w:tcPr>
            <w:tcW w:type="dxa" w:w="2275"/>
          </w:tcPr>
          <w:p>
            <w:pPr>
              <w:spacing w:after="20"/>
            </w:pPr>
            <w:r>
              <w:rPr>
                <w:color w:val="1C3A36"/>
                <w:sz w:val="14"/>
              </w:rPr>
              <w:t>management &amp; capital actions</w:t>
            </w:r>
          </w:p>
        </w:tc>
        <w:tc>
          <w:tcPr>
            <w:tcW w:type="dxa" w:w="5846"/>
          </w:tcPr>
          <w:p>
            <w:pPr>
              <w:spacing w:after="20"/>
            </w:pPr>
            <w:r>
              <w:rPr>
                <w:color w:val="1C3A36"/>
                <w:sz w:val="14"/>
              </w:rPr>
              <w:t>Feb-2024 EGM raised authorised capital to EGP 10bn and issued capital by EGP 1.68bn; 168.20m shares offered, 75.95% (127.74m) taken up by senior shareholders in phase 1. Issued capital now EGP 2,608,124,770 at EGP 10 par = 260,812,477 shares</w:t>
            </w:r>
          </w:p>
        </w:tc>
        <w:tc>
          <w:tcPr>
            <w:tcW w:type="dxa" w:w="3053"/>
          </w:tcPr>
          <w:p>
            <w:pPr>
              <w:spacing w:after="20"/>
            </w:pPr>
            <w:r>
              <w:rPr>
                <w:color w:val="1C3A36"/>
                <w:sz w:val="14"/>
              </w:rPr>
              <w:t>Sinai Cement EGM resolutions and capital-increase announcements via EGX</w:t>
            </w:r>
          </w:p>
        </w:tc>
        <w:tc>
          <w:tcPr>
            <w:tcW w:type="dxa" w:w="1267"/>
          </w:tcPr>
          <w:p>
            <w:pPr>
              <w:spacing w:after="20"/>
            </w:pPr>
            <w:r>
              <w:rPr>
                <w:color w:val="1C3A36"/>
                <w:sz w:val="14"/>
              </w:rPr>
              <w:t>2024-07-01</w:t>
            </w:r>
          </w:p>
        </w:tc>
      </w:tr>
      <w:tr>
        <w:tc>
          <w:tcPr>
            <w:tcW w:type="dxa" w:w="1094"/>
          </w:tcPr>
          <w:p>
            <w:pPr>
              <w:spacing w:after="20"/>
            </w:pPr>
            <w:r>
              <w:rPr>
                <w:color w:val="1C3A36"/>
                <w:sz w:val="14"/>
              </w:rPr>
              <w:t>Company</w:t>
            </w:r>
          </w:p>
        </w:tc>
        <w:tc>
          <w:tcPr>
            <w:tcW w:type="dxa" w:w="2275"/>
          </w:tcPr>
          <w:p>
            <w:pPr>
              <w:spacing w:after="20"/>
            </w:pPr>
            <w:r>
              <w:rPr>
                <w:color w:val="1C3A36"/>
                <w:sz w:val="14"/>
              </w:rPr>
              <w:t>official financial statements</w:t>
            </w:r>
          </w:p>
        </w:tc>
        <w:tc>
          <w:tcPr>
            <w:tcW w:type="dxa" w:w="5846"/>
          </w:tcPr>
          <w:p>
            <w:pPr>
              <w:spacing w:after="20"/>
            </w:pPr>
            <w:r>
              <w:rPr>
                <w:color w:val="1C3A36"/>
                <w:sz w:val="14"/>
              </w:rPr>
              <w:t>FY2023-FY2025 consolidated: revenue EGP 4.28bn / 6.42bn / 9.09bn; net profit after tax EGP -121.4m / +3,070m / +2,290m; FY2024 EPS attributable EGP 23.13 (FY2023 -0.88 restated); 9M-2025 net profit EGP 1.53bn</w:t>
            </w:r>
          </w:p>
        </w:tc>
        <w:tc>
          <w:tcPr>
            <w:tcW w:type="dxa" w:w="3053"/>
          </w:tcPr>
          <w:p>
            <w:pPr>
              <w:spacing w:after="20"/>
            </w:pPr>
            <w:r>
              <w:rPr>
                <w:color w:val="1C3A36"/>
                <w:sz w:val="14"/>
              </w:rPr>
              <w:t>EGX filings reported by Global Cement, cemnet/ICR, Daily News Egypt and Arab Finance</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regular disclosures</w:t>
            </w:r>
          </w:p>
        </w:tc>
        <w:tc>
          <w:tcPr>
            <w:tcW w:type="dxa" w:w="5846"/>
          </w:tcPr>
          <w:p>
            <w:pPr>
              <w:spacing w:after="20"/>
            </w:pPr>
            <w:r>
              <w:rPr>
                <w:color w:val="1C3A36"/>
                <w:sz w:val="14"/>
              </w:rPr>
              <w:t>Balance sheet: FY2024 total assets EGP 6,385.9m against total liabilities EGP 1,610.9m (equity EGP 4,775.1m -- the triple closes exactly). Latest reported total debt EGP 36.8m against ~EGP 5.2bn equity, i.e. debt/equity 0.7% and a NET CASH position</w:t>
            </w:r>
          </w:p>
        </w:tc>
        <w:tc>
          <w:tcPr>
            <w:tcW w:type="dxa" w:w="3053"/>
          </w:tcPr>
          <w:p>
            <w:pPr>
              <w:spacing w:after="20"/>
            </w:pPr>
            <w:r>
              <w:rPr>
                <w:color w:val="1C3A36"/>
                <w:sz w:val="14"/>
              </w:rPr>
              <w:t>EGX filings via aggregated financial summaries</w:t>
            </w:r>
          </w:p>
        </w:tc>
        <w:tc>
          <w:tcPr>
            <w:tcW w:type="dxa" w:w="1267"/>
          </w:tcPr>
          <w:p>
            <w:pPr>
              <w:spacing w:after="20"/>
            </w:pPr>
            <w:r>
              <w:rPr>
                <w:color w:val="1C3A36"/>
                <w:sz w:val="14"/>
              </w:rPr>
              <w:t>2026-03-10</w:t>
            </w:r>
          </w:p>
        </w:tc>
      </w:tr>
      <w:tr>
        <w:tc>
          <w:tcPr>
            <w:tcW w:type="dxa" w:w="1094"/>
          </w:tcPr>
          <w:p>
            <w:pPr>
              <w:spacing w:after="20"/>
            </w:pPr>
            <w:r>
              <w:rPr>
                <w:color w:val="1C3A36"/>
                <w:sz w:val="14"/>
              </w:rPr>
              <w:t>Company</w:t>
            </w:r>
          </w:p>
        </w:tc>
        <w:tc>
          <w:tcPr>
            <w:tcW w:type="dxa" w:w="2275"/>
          </w:tcPr>
          <w:p>
            <w:pPr>
              <w:spacing w:after="20"/>
            </w:pPr>
            <w:r>
              <w:rPr>
                <w:color w:val="1C3A36"/>
                <w:sz w:val="14"/>
              </w:rPr>
              <w:t>strategic plans &amp; guidance</w:t>
            </w:r>
          </w:p>
        </w:tc>
        <w:tc>
          <w:tcPr>
            <w:tcW w:type="dxa" w:w="5846"/>
          </w:tcPr>
          <w:p>
            <w:pPr>
              <w:spacing w:after="20"/>
            </w:pPr>
            <w:r>
              <w:rPr>
                <w:color w:val="1C3A36"/>
                <w:sz w:val="14"/>
              </w:rPr>
              <w:t>SCEM operates two lines at El Hassana, North Sinai, ~3.8Mt/yr cement capacity, and reported lifting its market share to ~5% of the Egyptian market</w:t>
            </w:r>
          </w:p>
        </w:tc>
        <w:tc>
          <w:tcPr>
            <w:tcW w:type="dxa" w:w="3053"/>
          </w:tcPr>
          <w:p>
            <w:pPr>
              <w:spacing w:after="20"/>
            </w:pPr>
            <w:r>
              <w:rPr>
                <w:color w:val="1C3A36"/>
                <w:sz w:val="14"/>
              </w:rPr>
              <w:t>Company profile and FY2024 results commentary via Daily News Egypt / Global Energy Monitor plant register</w:t>
            </w:r>
          </w:p>
        </w:tc>
        <w:tc>
          <w:tcPr>
            <w:tcW w:type="dxa" w:w="1267"/>
          </w:tcPr>
          <w:p>
            <w:pPr>
              <w:spacing w:after="20"/>
            </w:pPr>
            <w:r>
              <w:rPr>
                <w:color w:val="1C3A36"/>
                <w:sz w:val="14"/>
              </w:rPr>
              <w:t>2025-03-23</w:t>
            </w:r>
          </w:p>
        </w:tc>
      </w:tr>
    </w:tbl>
    <w:p>
      <w:pPr>
        <w:spacing w:after="40"/>
      </w:pPr>
    </w:p>
    <w:p>
      <w:pPr>
        <w:spacing w:after="80" w:before="200"/>
      </w:pPr>
      <w:r>
        <w:rPr>
          <w:b/>
          <w:i w:val="0"/>
          <w:color w:val="1C3A36"/>
          <w:sz w:val="23"/>
        </w:rPr>
        <w:t>Searches that returned nothing</w:t>
      </w:r>
    </w:p>
    <w:p>
      <w:pPr>
        <w:spacing w:after="100" w:before="0"/>
      </w:pPr>
      <w:r>
        <w:rPr>
          <w:b w:val="0"/>
          <w:i w:val="0"/>
          <w:color w:val="1C3A36"/>
          <w:sz w:val="19"/>
        </w:rPr>
        <w:t>Recorded because an absence of evidence shaped the model as much as the evidence did.</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0512"/>
      </w:tblGrid>
      <w:tr>
        <w:tc>
          <w:tcPr>
            <w:tcW w:type="dxa" w:w="3168"/>
            <w:shd w:val="clear" w:color="auto" w:fill="EAF0EE"/>
          </w:tcPr>
          <w:p>
            <w:pPr>
              <w:spacing w:after="20"/>
            </w:pPr>
            <w:r>
              <w:rPr>
                <w:b/>
                <w:color w:val="1C3A36"/>
                <w:sz w:val="16"/>
              </w:rPr>
              <w:t>Topic</w:t>
            </w:r>
          </w:p>
        </w:tc>
        <w:tc>
          <w:tcPr>
            <w:tcW w:type="dxa" w:w="10512"/>
            <w:shd w:val="clear" w:color="auto" w:fill="EAF0EE"/>
          </w:tcPr>
          <w:p>
            <w:pPr>
              <w:spacing w:after="20"/>
            </w:pPr>
            <w:r>
              <w:rPr>
                <w:b/>
                <w:color w:val="1C3A36"/>
                <w:sz w:val="16"/>
              </w:rPr>
              <w:t>What was searched for</w:t>
            </w:r>
          </w:p>
        </w:tc>
      </w:tr>
      <w:tr>
        <w:tc>
          <w:tcPr>
            <w:tcW w:type="dxa" w:w="3168"/>
          </w:tcPr>
          <w:p>
            <w:pPr>
              <w:spacing w:after="20"/>
            </w:pPr>
            <w:r>
              <w:rPr>
                <w:color w:val="1C3A36"/>
                <w:sz w:val="16"/>
              </w:rPr>
              <w:t>IR communications (calls, presentations, releases)</w:t>
            </w:r>
          </w:p>
        </w:tc>
        <w:tc>
          <w:tcPr>
            <w:tcW w:type="dxa" w:w="10512"/>
          </w:tcPr>
          <w:p>
            <w:pPr>
              <w:spacing w:after="20"/>
            </w:pPr>
            <w:r>
              <w:rPr>
                <w:color w:val="1C3A36"/>
                <w:sz w:val="16"/>
              </w:rPr>
              <w:t>sinaicement.com investor relations, EGX disclosure portal, earnings-call transcripts and results presentations for FY2024/FY2025 -- every host refused by egress policy; no transcript or presentation obtainable from search either</w:t>
            </w:r>
          </w:p>
        </w:tc>
      </w:tr>
      <w:tr>
        <w:tc>
          <w:tcPr>
            <w:tcW w:type="dxa" w:w="3168"/>
          </w:tcPr>
          <w:p>
            <w:pPr>
              <w:spacing w:after="20"/>
            </w:pPr>
            <w:r>
              <w:rPr>
                <w:color w:val="1C3A36"/>
                <w:sz w:val="16"/>
              </w:rPr>
              <w:t>regular disclosures</w:t>
            </w:r>
          </w:p>
        </w:tc>
        <w:tc>
          <w:tcPr>
            <w:tcW w:type="dxa" w:w="10512"/>
          </w:tcPr>
          <w:p>
            <w:pPr>
              <w:spacing w:after="20"/>
            </w:pPr>
            <w:r>
              <w:rPr>
                <w:color w:val="1C3A36"/>
                <w:sz w:val="16"/>
              </w:rPr>
              <w:t>'Sinai Cement other income / investment income / treasury bills / deposits EGP' and '9M 2025 operating profit gross profit cost of sales' -- no interest-income, finance-income or below-EBIT line item is disclosed in any retrievable source; the income statement between revenue and net profit is not obtainable line by line</w:t>
            </w:r>
          </w:p>
        </w:tc>
      </w:tr>
      <w:tr>
        <w:tc>
          <w:tcPr>
            <w:tcW w:type="dxa" w:w="3168"/>
          </w:tcPr>
          <w:p>
            <w:pPr>
              <w:spacing w:after="20"/>
            </w:pPr>
            <w:r>
              <w:rPr>
                <w:color w:val="1C3A36"/>
                <w:sz w:val="16"/>
              </w:rPr>
              <w:t>strategic plans &amp; guidance</w:t>
            </w:r>
          </w:p>
        </w:tc>
        <w:tc>
          <w:tcPr>
            <w:tcW w:type="dxa" w:w="10512"/>
          </w:tcPr>
          <w:p>
            <w:pPr>
              <w:spacing w:after="20"/>
            </w:pPr>
            <w:r>
              <w:rPr>
                <w:color w:val="1C3A36"/>
                <w:sz w:val="16"/>
              </w:rPr>
              <w:t>'Sinai Cement capex / capital expenditure / investment plan / maintenance capex / free cash flow 2025 2026' -- no capital-expenditure figure, guidance or investment programme is disclosed in any retrievable source</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