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Alexandria Mineral Oils Company S.A.E. (EGX: AMOC)</w:t>
      </w:r>
    </w:p>
    <w:p>
      <w:pPr>
        <w:spacing w:after="120" w:before="0"/>
      </w:pPr>
      <w:r>
        <w:rPr>
          <w:b w:val="0"/>
          <w:i w:val="0"/>
          <w:color w:val="6E7B77"/>
          <w:sz w:val="19"/>
        </w:rPr>
        <w:t>Downstream petroleum processor — base and special mineral oils, paraffin wax, gas oil, naphtha, liquefied petroleum gas and fuel oil · Egyptian Exchange · reporting currency EGP · analysis anchored on the closing price of 9.10 on 2026-08-06.</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An educational valuation study. It contains no recommendation, no rating and no price target. What it contains is a fair-value range built from the audited financial statements, a stated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THIS EDITION IS BUILT ON THE AUDITED STATEMENTS. </w:t>
            </w:r>
            <w:r>
              <w:rPr>
                <w:color w:val="1C3A36"/>
                <w:sz w:val="19"/>
              </w:rPr>
              <w:t>The consolidated financial statements for the transition period 1 July 2025 to 31 December 2025, audited by Crowe (Dr A. M. Hegazy &amp; Co) with an UNQUALIFIED opinion signed at Giza on 18 February 2026; the limited-review statements for the six months to 31 December 2024; and the reviewed statements for the three months to 31 March 2026. Every company figure in this study is read off one of those three, with the note number where the filing gives one.</w:t>
            </w:r>
          </w:p>
          <w:p>
            <w:pPr>
              <w:spacing w:after="100"/>
            </w:pPr>
            <w:r>
              <w:rPr>
                <w:b/>
                <w:color w:val="1C3A36"/>
                <w:sz w:val="19"/>
              </w:rPr>
              <w:t xml:space="preserve">What that replaced, and why it matters. </w:t>
            </w:r>
            <w:r>
              <w:rPr>
                <w:color w:val="1C3A36"/>
                <w:sz w:val="19"/>
              </w:rPr>
              <w:t>A previous edition of this study was built WITHOUT the filings, which could not be reached from the environment in which it was produced. It triangulated revenue across press reports, reconstructed the balance sheet from four disclosed lines and a set of days assumptions, and BUILT a cost stack from house estimates of yields, energy intensity and a solved feedstock differential. Twelve of its published assumptions were overturned by the filings. The fair-value estimate moved from EGP 9.38 to EGP 7.16. Section 1.1 lists every one of the twelve.</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carries no implied timeframe.</w:t>
            </w:r>
          </w:p>
        </w:tc>
      </w:tr>
    </w:tbl>
    <w:p>
      <w:pPr>
        <w:spacing w:after="40"/>
      </w:pPr>
    </w:p>
    <w:p>
      <w:pPr>
        <w:spacing w:after="80" w:before="200"/>
      </w:pPr>
      <w:r>
        <w:rPr>
          <w:b/>
          <w:i w:val="0"/>
          <w:color w:val="1C3A36"/>
          <w:sz w:val="24"/>
        </w:rPr>
        <w:t>Headline</w:t>
      </w:r>
    </w:p>
    <w:p>
      <w:pPr>
        <w:spacing w:after="120" w:before="0"/>
      </w:pPr>
      <w:r>
        <w:rPr>
          <w:b w:val="0"/>
          <w:i w:val="0"/>
          <w:color w:val="1C3A36"/>
          <w:sz w:val="21"/>
        </w:rPr>
        <w:t>Alexandria Mineral Oils is the only refinery listed on the Egyptian Exchange. It takes feedstock from the Egyptian General Petroleum Corporation and separates it into eight disclosed product lines: base and special mineral oils and paraffin wax at the high-value end, and gas oil, naphtha, liquefied petroleum gas, fuel oil and heavy fuel oil in volume. In the audited six months to December 2025 it sold 808,084 tonnes for EGP 20,736mn.</w:t>
      </w:r>
    </w:p>
    <w:p>
      <w:pPr>
        <w:spacing w:after="120" w:before="0"/>
      </w:pPr>
      <w:r>
        <w:rPr>
          <w:b w:val="0"/>
          <w:i w:val="0"/>
          <w:color w:val="1C3A36"/>
          <w:sz w:val="21"/>
        </w:rPr>
        <w:t>The economics are those of a thin-margin pass-through processor, and the audited cost note says so in one line: RAW MATERIALS ARE 90.7% OF COST OF SALES and 85.1% OF NET SALES. Salaries are 4.5% of cost of sales, energy and maintenance 4.1%, chemicals 0.3% and depreciation 0.3%. That is the whole of it. The value is not in the revenue line, which is largely feedstock passed through at world product prices, and it is not in cost control either — it is in the spread between what the feedstock costs and what the slate fetches, and in the tonnage that spread is earned on.</w:t>
      </w:r>
    </w:p>
    <w:p>
      <w:pPr>
        <w:spacing w:after="120" w:before="0"/>
      </w:pPr>
      <w:r>
        <w:rPr>
          <w:b w:val="0"/>
          <w:i w:val="0"/>
          <w:color w:val="1C3A36"/>
          <w:sz w:val="21"/>
        </w:rPr>
        <w:t>Two structural facts shape everything that follows. The first is the year-end change: the company moved from a 30 June financial year to 31 December, with July to December 2025 filed as an audited six-month transition period. There is therefore NO clean audited twelve-month period, and the base year used here is the nine contiguous audited months from 1 July 2025 to 31 March 2026, annualised. The second is the balance sheet: cash of EGP 2,464mn against loans of EGP 21.0mn, so the company is NET CASH by EGP 2,443mn — EGP 1.89 a share, 21% of the market capitalisation.</w:t>
      </w:r>
    </w:p>
    <w:p>
      <w:pPr>
        <w:spacing w:after="120" w:before="0"/>
      </w:pPr>
      <w:r>
        <w:rPr>
          <w:b w:val="0"/>
          <w:i w:val="0"/>
          <w:color w:val="1C3A36"/>
          <w:sz w:val="21"/>
        </w:rPr>
        <w:t>The third fact is the one that does most to the valuation, and it is visible only in the cash flow statement. CASH CAPITAL EXPENDITURE IS RUNNING BELOW THE DEPRECIATION CHARGE: EGP 30mn paid in the audited half against EGP 70mn charged, and EGP 65mn against EGP 41mn in the reviewed quarter. Annualised, capital expenditure is 0.86 times depreciation. The plant is being run, not renewed. That lifts free cash flow now and it makes the terminal growth rate hard to defend, and section 1.9 refuses to smooth the conflict.</w:t>
      </w:r>
    </w:p>
    <w:p>
      <w:pPr>
        <w:spacing w:after="200" w:before="0"/>
      </w:pPr>
      <w:r>
        <w:rPr>
          <w:b w:val="0"/>
          <w:i w:val="0"/>
          <w:color w:val="1C3A36"/>
          <w:sz w:val="21"/>
        </w:rPr>
        <w:t>On the primary construction the four lenses centre at EGP 7.16 a share against a market price of 9.10 — -21%. The lenses do not agree with each other and that disagreement is the finding rather than a nuisance to be averaged away: the cash-flow lens says EGP 6.85, normalised earnings power EGP 8.70, relative multiples EGP 6.41 and book value against a sustainable return EGP 7.06.</w:t>
      </w: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4176"/>
        <w:gridCol w:w="1526"/>
        <w:gridCol w:w="1037"/>
        <w:gridCol w:w="979"/>
      </w:tblGrid>
      <w:tr>
        <w:tc>
          <w:tcPr>
            <w:tcW w:type="dxa" w:w="2045"/>
            <w:shd w:val="clear" w:color="auto" w:fill="EAF0EE"/>
          </w:tcPr>
          <w:p>
            <w:pPr>
              <w:spacing w:after="20"/>
            </w:pPr>
            <w:r>
              <w:rPr>
                <w:b/>
                <w:color w:val="1C3A36"/>
                <w:sz w:val="16"/>
              </w:rPr>
              <w:t>Read</w:t>
            </w:r>
          </w:p>
        </w:tc>
        <w:tc>
          <w:tcPr>
            <w:tcW w:type="dxa" w:w="4176"/>
            <w:shd w:val="clear" w:color="auto" w:fill="EAF0EE"/>
          </w:tcPr>
          <w:p>
            <w:pPr>
              <w:spacing w:after="20"/>
            </w:pPr>
            <w:r>
              <w:rPr>
                <w:b/>
                <w:color w:val="1C3A36"/>
                <w:sz w:val="16"/>
              </w:rPr>
              <w:t>Basis</w:t>
            </w:r>
          </w:p>
        </w:tc>
        <w:tc>
          <w:tcPr>
            <w:tcW w:type="dxa" w:w="1526"/>
            <w:shd w:val="clear" w:color="auto" w:fill="EAF0EE"/>
          </w:tcPr>
          <w:p>
            <w:pPr>
              <w:spacing w:after="20"/>
            </w:pPr>
            <w:r>
              <w:rPr>
                <w:b/>
                <w:color w:val="1C3A36"/>
                <w:sz w:val="16"/>
              </w:rPr>
              <w:t>Range (EGP)</w:t>
            </w:r>
          </w:p>
        </w:tc>
        <w:tc>
          <w:tcPr>
            <w:tcW w:type="dxa" w:w="1037"/>
            <w:shd w:val="clear" w:color="auto" w:fill="EAF0EE"/>
          </w:tcPr>
          <w:p>
            <w:pPr>
              <w:spacing w:after="20"/>
            </w:pPr>
            <w:r>
              <w:rPr>
                <w:b/>
                <w:color w:val="1C3A36"/>
                <w:sz w:val="16"/>
              </w:rPr>
              <w:t>Central</w:t>
            </w:r>
          </w:p>
        </w:tc>
        <w:tc>
          <w:tcPr>
            <w:tcW w:type="dxa" w:w="979"/>
            <w:shd w:val="clear" w:color="auto" w:fill="EAF0EE"/>
          </w:tcPr>
          <w:p>
            <w:pPr>
              <w:spacing w:after="20"/>
            </w:pPr>
            <w:r>
              <w:rPr>
                <w:b/>
                <w:color w:val="1C3A36"/>
                <w:sz w:val="16"/>
              </w:rPr>
              <w:t>vs spot</w:t>
            </w:r>
          </w:p>
        </w:tc>
      </w:tr>
      <w:tr>
        <w:tc>
          <w:tcPr>
            <w:tcW w:type="dxa" w:w="2045"/>
          </w:tcPr>
          <w:p>
            <w:pPr>
              <w:spacing w:after="20"/>
            </w:pPr>
            <w:r>
              <w:rPr>
                <w:color w:val="1C3A36"/>
                <w:sz w:val="16"/>
              </w:rPr>
              <w:t>Free cash flow to the firm</w:t>
            </w:r>
          </w:p>
        </w:tc>
        <w:tc>
          <w:tcPr>
            <w:tcW w:type="dxa" w:w="4176"/>
          </w:tcPr>
          <w:p>
            <w:pPr>
              <w:spacing w:after="20"/>
            </w:pPr>
            <w:r>
              <w:rPr>
                <w:color w:val="1C3A36"/>
                <w:sz w:val="16"/>
              </w:rPr>
              <w:t>Five-year forecast off the audited base year; cost of capital gliding 31.6% → 16.5%; terminal growth 5%. TERMINAL VALUE = 58.7% OF ENTERPRISE VALUE</w:t>
            </w:r>
          </w:p>
        </w:tc>
        <w:tc>
          <w:tcPr>
            <w:tcW w:type="dxa" w:w="1526"/>
          </w:tcPr>
          <w:p>
            <w:pPr>
              <w:spacing w:after="20"/>
              <w:jc w:val="right"/>
            </w:pPr>
            <w:r>
              <w:rPr>
                <w:color w:val="1C3A36"/>
                <w:sz w:val="16"/>
              </w:rPr>
              <w:t>2.37 – 14.66</w:t>
            </w:r>
          </w:p>
        </w:tc>
        <w:tc>
          <w:tcPr>
            <w:tcW w:type="dxa" w:w="1037"/>
          </w:tcPr>
          <w:p>
            <w:pPr>
              <w:spacing w:after="20"/>
              <w:jc w:val="right"/>
            </w:pPr>
            <w:r>
              <w:rPr>
                <w:color w:val="1C3A36"/>
                <w:sz w:val="16"/>
              </w:rPr>
              <w:t>6.85</w:t>
            </w:r>
          </w:p>
        </w:tc>
        <w:tc>
          <w:tcPr>
            <w:tcW w:type="dxa" w:w="979"/>
          </w:tcPr>
          <w:p>
            <w:pPr>
              <w:spacing w:after="20"/>
              <w:jc w:val="right"/>
            </w:pPr>
            <w:r>
              <w:rPr>
                <w:color w:val="1C3A36"/>
                <w:sz w:val="16"/>
              </w:rPr>
              <w:t>-25%</w:t>
            </w:r>
          </w:p>
        </w:tc>
      </w:tr>
      <w:tr>
        <w:tc>
          <w:tcPr>
            <w:tcW w:type="dxa" w:w="2045"/>
          </w:tcPr>
          <w:p>
            <w:pPr>
              <w:spacing w:after="20"/>
            </w:pPr>
            <w:r>
              <w:rPr>
                <w:color w:val="1C3A36"/>
                <w:sz w:val="16"/>
              </w:rPr>
              <w:t>Relative multiples</w:t>
            </w:r>
          </w:p>
        </w:tc>
        <w:tc>
          <w:tcPr>
            <w:tcW w:type="dxa" w:w="4176"/>
          </w:tcPr>
          <w:p>
            <w:pPr>
              <w:spacing w:after="20"/>
            </w:pPr>
            <w:r>
              <w:rPr>
                <w:color w:val="1C3A36"/>
                <w:sz w:val="16"/>
              </w:rPr>
              <w:t>4.5× enterprise value to 2027E EBITDA, discounted back at the model's own factor, with the interim free cash flow added back</w:t>
            </w:r>
          </w:p>
        </w:tc>
        <w:tc>
          <w:tcPr>
            <w:tcW w:type="dxa" w:w="1526"/>
          </w:tcPr>
          <w:p>
            <w:pPr>
              <w:spacing w:after="20"/>
              <w:jc w:val="right"/>
            </w:pPr>
            <w:r>
              <w:rPr>
                <w:color w:val="1C3A36"/>
                <w:sz w:val="16"/>
              </w:rPr>
              <w:t>5.62 – 7.58</w:t>
            </w:r>
          </w:p>
        </w:tc>
        <w:tc>
          <w:tcPr>
            <w:tcW w:type="dxa" w:w="1037"/>
          </w:tcPr>
          <w:p>
            <w:pPr>
              <w:spacing w:after="20"/>
              <w:jc w:val="right"/>
            </w:pPr>
            <w:r>
              <w:rPr>
                <w:color w:val="1C3A36"/>
                <w:sz w:val="16"/>
              </w:rPr>
              <w:t>6.41</w:t>
            </w:r>
          </w:p>
        </w:tc>
        <w:tc>
          <w:tcPr>
            <w:tcW w:type="dxa" w:w="979"/>
          </w:tcPr>
          <w:p>
            <w:pPr>
              <w:spacing w:after="20"/>
              <w:jc w:val="right"/>
            </w:pPr>
            <w:r>
              <w:rPr>
                <w:color w:val="1C3A36"/>
                <w:sz w:val="16"/>
              </w:rPr>
              <w:t>-30%</w:t>
            </w:r>
          </w:p>
        </w:tc>
      </w:tr>
      <w:tr>
        <w:tc>
          <w:tcPr>
            <w:tcW w:type="dxa" w:w="2045"/>
          </w:tcPr>
          <w:p>
            <w:pPr>
              <w:spacing w:after="20"/>
            </w:pPr>
            <w:r>
              <w:rPr>
                <w:color w:val="1C3A36"/>
                <w:sz w:val="16"/>
              </w:rPr>
              <w:t>Normalised earnings power</w:t>
            </w:r>
          </w:p>
        </w:tc>
        <w:tc>
          <w:tcPr>
            <w:tcW w:type="dxa" w:w="4176"/>
          </w:tcPr>
          <w:p>
            <w:pPr>
              <w:spacing w:after="20"/>
            </w:pPr>
            <w:r>
              <w:rPr>
                <w:color w:val="1C3A36"/>
                <w:sz w:val="16"/>
              </w:rPr>
              <w:t>7.5× on 2028E attributable earnings of EGP 1.16 a share, struck on the AUDITED credit-interest line rather than a modelled interest path</w:t>
            </w:r>
          </w:p>
        </w:tc>
        <w:tc>
          <w:tcPr>
            <w:tcW w:type="dxa" w:w="1526"/>
          </w:tcPr>
          <w:p>
            <w:pPr>
              <w:spacing w:after="20"/>
              <w:jc w:val="right"/>
            </w:pPr>
            <w:r>
              <w:rPr>
                <w:color w:val="1C3A36"/>
                <w:sz w:val="16"/>
              </w:rPr>
              <w:t>6.38 – 11.02</w:t>
            </w:r>
          </w:p>
        </w:tc>
        <w:tc>
          <w:tcPr>
            <w:tcW w:type="dxa" w:w="1037"/>
          </w:tcPr>
          <w:p>
            <w:pPr>
              <w:spacing w:after="20"/>
              <w:jc w:val="right"/>
            </w:pPr>
            <w:r>
              <w:rPr>
                <w:color w:val="1C3A36"/>
                <w:sz w:val="16"/>
              </w:rPr>
              <w:t>8.70</w:t>
            </w:r>
          </w:p>
        </w:tc>
        <w:tc>
          <w:tcPr>
            <w:tcW w:type="dxa" w:w="979"/>
          </w:tcPr>
          <w:p>
            <w:pPr>
              <w:spacing w:after="20"/>
              <w:jc w:val="right"/>
            </w:pPr>
            <w:r>
              <w:rPr>
                <w:color w:val="1C3A36"/>
                <w:sz w:val="16"/>
              </w:rPr>
              <w:t>-4%</w:t>
            </w:r>
          </w:p>
        </w:tc>
      </w:tr>
      <w:tr>
        <w:tc>
          <w:tcPr>
            <w:tcW w:type="dxa" w:w="2045"/>
          </w:tcPr>
          <w:p>
            <w:pPr>
              <w:spacing w:after="20"/>
            </w:pPr>
            <w:r>
              <w:rPr>
                <w:color w:val="1C3A36"/>
                <w:sz w:val="16"/>
              </w:rPr>
              <w:t>Book value and sustainable return</w:t>
            </w:r>
          </w:p>
        </w:tc>
        <w:tc>
          <w:tcPr>
            <w:tcW w:type="dxa" w:w="4176"/>
          </w:tcPr>
          <w:p>
            <w:pPr>
              <w:spacing w:after="20"/>
            </w:pPr>
            <w:r>
              <w:rPr>
                <w:color w:val="1C3A36"/>
                <w:sz w:val="16"/>
              </w:rPr>
              <w:t>Justified price-to-book 1.9× on AUDITED attributable book value of EGP 3.71 a share, at a sustainable return of 28% and the perpetual cost of equity 17.1%</w:t>
            </w:r>
          </w:p>
        </w:tc>
        <w:tc>
          <w:tcPr>
            <w:tcW w:type="dxa" w:w="1526"/>
          </w:tcPr>
          <w:p>
            <w:pPr>
              <w:spacing w:after="20"/>
              <w:jc w:val="right"/>
            </w:pPr>
            <w:r>
              <w:rPr>
                <w:color w:val="1C3A36"/>
                <w:sz w:val="16"/>
              </w:rPr>
              <w:t>3.82 – 7.98</w:t>
            </w:r>
          </w:p>
        </w:tc>
        <w:tc>
          <w:tcPr>
            <w:tcW w:type="dxa" w:w="1037"/>
          </w:tcPr>
          <w:p>
            <w:pPr>
              <w:spacing w:after="20"/>
              <w:jc w:val="right"/>
            </w:pPr>
            <w:r>
              <w:rPr>
                <w:color w:val="1C3A36"/>
                <w:sz w:val="16"/>
              </w:rPr>
              <w:t>7.06</w:t>
            </w:r>
          </w:p>
        </w:tc>
        <w:tc>
          <w:tcPr>
            <w:tcW w:type="dxa" w:w="979"/>
          </w:tcPr>
          <w:p>
            <w:pPr>
              <w:spacing w:after="20"/>
              <w:jc w:val="right"/>
            </w:pPr>
            <w:r>
              <w:rPr>
                <w:color w:val="1C3A36"/>
                <w:sz w:val="16"/>
              </w:rPr>
              <w:t>-22%</w:t>
            </w:r>
          </w:p>
        </w:tc>
      </w:tr>
      <w:tr>
        <w:tc>
          <w:tcPr>
            <w:tcW w:type="dxa" w:w="2045"/>
            <w:shd w:val="clear" w:color="auto" w:fill="F6F1E6"/>
          </w:tcPr>
          <w:p>
            <w:pPr>
              <w:spacing w:after="20"/>
            </w:pPr>
            <w:r>
              <w:rPr>
                <w:b/>
                <w:color w:val="1C3A36"/>
                <w:sz w:val="16"/>
              </w:rPr>
              <w:t>WEIGHTED CENTRAL</w:t>
            </w:r>
          </w:p>
        </w:tc>
        <w:tc>
          <w:tcPr>
            <w:tcW w:type="dxa" w:w="4176"/>
            <w:shd w:val="clear" w:color="auto" w:fill="F6F1E6"/>
          </w:tcPr>
          <w:p>
            <w:pPr>
              <w:spacing w:after="20"/>
            </w:pPr>
            <w:r>
              <w:rPr>
                <w:b/>
                <w:color w:val="1C3A36"/>
                <w:sz w:val="16"/>
              </w:rPr>
              <w:t>Weights 45% / 20% / 20% / 15%</w:t>
            </w:r>
          </w:p>
        </w:tc>
        <w:tc>
          <w:tcPr>
            <w:tcW w:type="dxa" w:w="1526"/>
            <w:shd w:val="clear" w:color="auto" w:fill="F6F1E6"/>
          </w:tcPr>
          <w:p>
            <w:pPr>
              <w:spacing w:after="20"/>
              <w:jc w:val="right"/>
            </w:pPr>
            <w:r>
              <w:rPr>
                <w:b/>
                <w:color w:val="1C3A36"/>
                <w:sz w:val="16"/>
              </w:rPr>
              <w:t>2.37 – 14.66</w:t>
            </w:r>
          </w:p>
        </w:tc>
        <w:tc>
          <w:tcPr>
            <w:tcW w:type="dxa" w:w="1037"/>
            <w:shd w:val="clear" w:color="auto" w:fill="F6F1E6"/>
          </w:tcPr>
          <w:p>
            <w:pPr>
              <w:spacing w:after="20"/>
              <w:jc w:val="right"/>
            </w:pPr>
            <w:r>
              <w:rPr>
                <w:b/>
                <w:color w:val="1C3A36"/>
                <w:sz w:val="16"/>
              </w:rPr>
              <w:t>7.16</w:t>
            </w:r>
          </w:p>
        </w:tc>
        <w:tc>
          <w:tcPr>
            <w:tcW w:type="dxa" w:w="979"/>
            <w:shd w:val="clear" w:color="auto" w:fill="F6F1E6"/>
          </w:tcPr>
          <w:p>
            <w:pPr>
              <w:spacing w:after="20"/>
              <w:jc w:val="right"/>
            </w:pPr>
            <w:r>
              <w:rPr>
                <w:b/>
                <w:color w:val="1C3A36"/>
                <w:sz w:val="16"/>
              </w:rPr>
              <w:t>-21%</w:t>
            </w:r>
          </w:p>
        </w:tc>
      </w:tr>
      <w:tr>
        <w:tc>
          <w:tcPr>
            <w:tcW w:type="dxa" w:w="2045"/>
          </w:tcPr>
          <w:p>
            <w:pPr>
              <w:spacing w:after="20"/>
            </w:pPr>
            <w:r>
              <w:rPr>
                <w:color w:val="1C3A36"/>
                <w:sz w:val="16"/>
              </w:rPr>
              <w:t>Market price</w:t>
            </w:r>
          </w:p>
        </w:tc>
        <w:tc>
          <w:tcPr>
            <w:tcW w:type="dxa" w:w="4176"/>
          </w:tcPr>
          <w:p>
            <w:pPr>
              <w:spacing w:after="20"/>
            </w:pPr>
            <w:r>
              <w:rPr>
                <w:color w:val="1C3A36"/>
                <w:sz w:val="16"/>
              </w:rPr>
              <w:t>Closing price on 2026-08-06</w:t>
            </w:r>
          </w:p>
        </w:tc>
        <w:tc>
          <w:tcPr>
            <w:tcW w:type="dxa" w:w="1526"/>
          </w:tcPr>
          <w:p>
            <w:pPr>
              <w:spacing w:after="20"/>
              <w:jc w:val="right"/>
            </w:pPr>
            <w:r>
              <w:rPr>
                <w:color w:val="1C3A36"/>
                <w:sz w:val="16"/>
              </w:rPr>
              <w:t>—</w:t>
            </w:r>
          </w:p>
        </w:tc>
        <w:tc>
          <w:tcPr>
            <w:tcW w:type="dxa" w:w="1037"/>
          </w:tcPr>
          <w:p>
            <w:pPr>
              <w:spacing w:after="20"/>
              <w:jc w:val="right"/>
            </w:pPr>
            <w:r>
              <w:rPr>
                <w:color w:val="1C3A36"/>
                <w:sz w:val="16"/>
              </w:rPr>
              <w:t>9.10</w:t>
            </w:r>
          </w:p>
        </w:tc>
        <w:tc>
          <w:tcPr>
            <w:tcW w:type="dxa" w:w="979"/>
          </w:tcPr>
          <w:p>
            <w:pPr>
              <w:spacing w:after="20"/>
              <w:jc w:val="right"/>
            </w:pPr>
            <w:r>
              <w:rPr>
                <w:color w:val="1C3A36"/>
                <w:sz w:val="16"/>
              </w:rPr>
              <w:t>—</w:t>
            </w:r>
          </w:p>
        </w:tc>
      </w:tr>
    </w:tbl>
    <w:p>
      <w:pPr>
        <w:spacing w:after="40"/>
      </w:pPr>
    </w:p>
    <w:p>
      <w:pPr>
        <w:spacing w:after="200" w:before="0"/>
      </w:pPr>
      <w:r>
        <w:rPr>
          <w:b w:val="0"/>
          <w:i/>
          <w:color w:val="6E7B77"/>
          <w:sz w:val="17"/>
        </w:rPr>
        <w:t>Terminal value is 58.7% of enterprise value, stated here and again in the bridge in section 1.8. Bear and bull on the cash-flow lens are FIVE drivers moved together and are not a confidence interval; the other three lenses take their ranges on multiples and on the sustainable return, so the full span is an envelope of four differently-constructed ranges and should not be read as a distribution.</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and the weighted central, each shown bear to bull with the base marked. The vertical rule is the market price.</w:t>
      </w:r>
    </w:p>
    <w:p>
      <w:pPr>
        <w:spacing w:after="120" w:before="280"/>
      </w:pPr>
      <w:r>
        <w:rPr>
          <w:b/>
          <w:i w:val="0"/>
          <w:color w:val="1C3A36"/>
          <w:sz w:val="30"/>
        </w:rPr>
        <w:t>1  Fundamental valuation</w:t>
      </w:r>
    </w:p>
    <w:p>
      <w:pPr>
        <w:spacing w:after="80" w:before="200"/>
      </w:pPr>
      <w:r>
        <w:rPr>
          <w:b/>
          <w:i w:val="0"/>
          <w:color w:val="1C3A36"/>
          <w:sz w:val="24"/>
        </w:rPr>
        <w:t>1.1  What the audited statements overturned</w:t>
      </w:r>
    </w:p>
    <w:p>
      <w:pPr>
        <w:spacing w:after="120" w:before="0"/>
      </w:pPr>
      <w:r>
        <w:rPr>
          <w:b w:val="0"/>
          <w:i w:val="0"/>
          <w:color w:val="1C3A36"/>
          <w:sz w:val="21"/>
        </w:rPr>
        <w:t>This section exists because a previous edition of this study was published on triangulated figures and is now known to have been wrong in twelve identifiable places. Listing them is not penance; it is the only way a reader can judge how much weight to put on the parts that did not change.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04"/>
        <w:gridCol w:w="4392"/>
        <w:gridCol w:w="5112"/>
      </w:tblGrid>
      <w:tr>
        <w:tc>
          <w:tcPr>
            <w:tcW w:type="dxa" w:w="504"/>
            <w:shd w:val="clear" w:color="auto" w:fill="EAF0EE"/>
          </w:tcPr>
          <w:p>
            <w:pPr>
              <w:spacing w:after="20"/>
            </w:pPr>
            <w:r>
              <w:rPr>
                <w:b/>
                <w:color w:val="1C3A36"/>
                <w:sz w:val="16"/>
              </w:rPr>
              <w:t>#</w:t>
            </w:r>
          </w:p>
        </w:tc>
        <w:tc>
          <w:tcPr>
            <w:tcW w:type="dxa" w:w="4392"/>
            <w:shd w:val="clear" w:color="auto" w:fill="EAF0EE"/>
          </w:tcPr>
          <w:p>
            <w:pPr>
              <w:spacing w:after="20"/>
            </w:pPr>
            <w:r>
              <w:rPr>
                <w:b/>
                <w:color w:val="1C3A36"/>
                <w:sz w:val="16"/>
              </w:rPr>
              <w:t>The published assumption</w:t>
            </w:r>
          </w:p>
        </w:tc>
        <w:tc>
          <w:tcPr>
            <w:tcW w:type="dxa" w:w="5112"/>
            <w:shd w:val="clear" w:color="auto" w:fill="EAF0EE"/>
          </w:tcPr>
          <w:p>
            <w:pPr>
              <w:spacing w:after="20"/>
            </w:pPr>
            <w:r>
              <w:rPr>
                <w:b/>
                <w:color w:val="1C3A36"/>
                <w:sz w:val="16"/>
              </w:rPr>
              <w:t>What the filing says</w:t>
            </w:r>
          </w:p>
        </w:tc>
      </w:tr>
      <w:tr>
        <w:tc>
          <w:tcPr>
            <w:tcW w:type="dxa" w:w="504"/>
          </w:tcPr>
          <w:p>
            <w:pPr>
              <w:spacing w:after="20"/>
            </w:pPr>
            <w:r>
              <w:rPr>
                <w:color w:val="1C3A36"/>
                <w:sz w:val="16"/>
              </w:rPr>
              <w:t>1</w:t>
            </w:r>
          </w:p>
        </w:tc>
        <w:tc>
          <w:tcPr>
            <w:tcW w:type="dxa" w:w="4392"/>
          </w:tcPr>
          <w:p>
            <w:pPr>
              <w:spacing w:after="20"/>
            </w:pPr>
            <w:r>
              <w:rPr>
                <w:color w:val="1C3A36"/>
                <w:sz w:val="16"/>
              </w:rPr>
              <w:t>Capital expenditure at 1.45%→1.25% of revenue, about EGP 604mn a year</w:t>
            </w:r>
          </w:p>
        </w:tc>
        <w:tc>
          <w:tcPr>
            <w:tcW w:type="dxa" w:w="5112"/>
          </w:tcPr>
          <w:p>
            <w:pPr>
              <w:spacing w:after="20"/>
            </w:pPr>
            <w:r>
              <w:rPr>
                <w:color w:val="1C3A36"/>
                <w:sz w:val="16"/>
              </w:rPr>
              <w:t>Cash paid: EGP 30mn in the audited half and EGP 65mn in the reviewed quarter — EGP 127mn annualised, about a fifth of the assumption</w:t>
            </w:r>
          </w:p>
        </w:tc>
      </w:tr>
      <w:tr>
        <w:tc>
          <w:tcPr>
            <w:tcW w:type="dxa" w:w="504"/>
          </w:tcPr>
          <w:p>
            <w:pPr>
              <w:spacing w:after="20"/>
            </w:pPr>
            <w:r>
              <w:rPr>
                <w:color w:val="1C3A36"/>
                <w:sz w:val="16"/>
              </w:rPr>
              <w:t>2</w:t>
            </w:r>
          </w:p>
        </w:tc>
        <w:tc>
          <w:tcPr>
            <w:tcW w:type="dxa" w:w="4392"/>
          </w:tcPr>
          <w:p>
            <w:pPr>
              <w:spacing w:after="20"/>
            </w:pPr>
            <w:r>
              <w:rPr>
                <w:color w:val="1C3A36"/>
                <w:sz w:val="16"/>
              </w:rPr>
              <w:t>Depreciation at 1.1% of revenue, about EGP 458mn a year</w:t>
            </w:r>
          </w:p>
        </w:tc>
        <w:tc>
          <w:tcPr>
            <w:tcW w:type="dxa" w:w="5112"/>
          </w:tcPr>
          <w:p>
            <w:pPr>
              <w:spacing w:after="20"/>
            </w:pPr>
            <w:r>
              <w:rPr>
                <w:color w:val="1C3A36"/>
                <w:sz w:val="16"/>
              </w:rPr>
              <w:t>EGP 148mn annualised, about a third</w:t>
            </w:r>
          </w:p>
        </w:tc>
      </w:tr>
      <w:tr>
        <w:tc>
          <w:tcPr>
            <w:tcW w:type="dxa" w:w="504"/>
          </w:tcPr>
          <w:p>
            <w:pPr>
              <w:spacing w:after="20"/>
            </w:pPr>
            <w:r>
              <w:rPr>
                <w:color w:val="1C3A36"/>
                <w:sz w:val="16"/>
              </w:rPr>
              <w:t>3</w:t>
            </w:r>
          </w:p>
        </w:tc>
        <w:tc>
          <w:tcPr>
            <w:tcW w:type="dxa" w:w="4392"/>
          </w:tcPr>
          <w:p>
            <w:pPr>
              <w:spacing w:after="20"/>
            </w:pPr>
            <w:r>
              <w:rPr>
                <w:color w:val="1C3A36"/>
                <w:sz w:val="16"/>
              </w:rPr>
              <w:t>A cost stack built from house yields, energy intensity and a solved feedstock differential; no salaries line inside cost of sales at all</w:t>
            </w:r>
          </w:p>
        </w:tc>
        <w:tc>
          <w:tcPr>
            <w:tcW w:type="dxa" w:w="5112"/>
          </w:tcPr>
          <w:p>
            <w:pPr>
              <w:spacing w:after="20"/>
            </w:pPr>
            <w:r>
              <w:rPr>
                <w:color w:val="1C3A36"/>
                <w:sz w:val="16"/>
              </w:rPr>
              <w:t>Note 15-A: raw materials 90.7%, salaries 4.5%, other 4.1%, supporting materials 0.3%, depreciation 0.3%</w:t>
            </w:r>
          </w:p>
        </w:tc>
      </w:tr>
      <w:tr>
        <w:tc>
          <w:tcPr>
            <w:tcW w:type="dxa" w:w="504"/>
          </w:tcPr>
          <w:p>
            <w:pPr>
              <w:spacing w:after="20"/>
            </w:pPr>
            <w:r>
              <w:rPr>
                <w:color w:val="1C3A36"/>
                <w:sz w:val="16"/>
              </w:rPr>
              <w:t>4</w:t>
            </w:r>
          </w:p>
        </w:tc>
        <w:tc>
          <w:tcPr>
            <w:tcW w:type="dxa" w:w="4392"/>
          </w:tcPr>
          <w:p>
            <w:pPr>
              <w:spacing w:after="20"/>
            </w:pPr>
            <w:r>
              <w:rPr>
                <w:color w:val="1C3A36"/>
                <w:sz w:val="16"/>
              </w:rPr>
              <w:t>Chemicals charged at roughly five times the truth</w:t>
            </w:r>
          </w:p>
        </w:tc>
        <w:tc>
          <w:tcPr>
            <w:tcW w:type="dxa" w:w="5112"/>
          </w:tcPr>
          <w:p>
            <w:pPr>
              <w:spacing w:after="20"/>
            </w:pPr>
            <w:r>
              <w:rPr>
                <w:color w:val="1C3A36"/>
                <w:sz w:val="16"/>
              </w:rPr>
              <w:t>Supporting materials are EGP 65mn in the half — 0.33% of cost of sales</w:t>
            </w:r>
          </w:p>
        </w:tc>
      </w:tr>
      <w:tr>
        <w:tc>
          <w:tcPr>
            <w:tcW w:type="dxa" w:w="504"/>
          </w:tcPr>
          <w:p>
            <w:pPr>
              <w:spacing w:after="20"/>
            </w:pPr>
            <w:r>
              <w:rPr>
                <w:color w:val="1C3A36"/>
                <w:sz w:val="16"/>
              </w:rPr>
              <w:t>5</w:t>
            </w:r>
          </w:p>
        </w:tc>
        <w:tc>
          <w:tcPr>
            <w:tcW w:type="dxa" w:w="4392"/>
          </w:tcPr>
          <w:p>
            <w:pPr>
              <w:spacing w:after="20"/>
            </w:pPr>
            <w:r>
              <w:rPr>
                <w:color w:val="1C3A36"/>
                <w:sz w:val="16"/>
              </w:rPr>
              <w:t>Three product lines from a table obtained via a reviewer</w:t>
            </w:r>
          </w:p>
        </w:tc>
        <w:tc>
          <w:tcPr>
            <w:tcW w:type="dxa" w:w="5112"/>
          </w:tcPr>
          <w:p>
            <w:pPr>
              <w:spacing w:after="20"/>
            </w:pPr>
            <w:r>
              <w:rPr>
                <w:color w:val="1C3A36"/>
                <w:sz w:val="16"/>
              </w:rPr>
              <w:t>Note 14-A: EIGHT lines with tonnes AND value. Fuel oil (mix) alone is 57% of tonnage, which the three-line build had merged with gas oil, naphtha and LPG</w:t>
            </w:r>
          </w:p>
        </w:tc>
      </w:tr>
      <w:tr>
        <w:tc>
          <w:tcPr>
            <w:tcW w:type="dxa" w:w="504"/>
          </w:tcPr>
          <w:p>
            <w:pPr>
              <w:spacing w:after="20"/>
            </w:pPr>
            <w:r>
              <w:rPr>
                <w:color w:val="1C3A36"/>
                <w:sz w:val="16"/>
              </w:rPr>
              <w:t>6</w:t>
            </w:r>
          </w:p>
        </w:tc>
        <w:tc>
          <w:tcPr>
            <w:tcW w:type="dxa" w:w="4392"/>
          </w:tcPr>
          <w:p>
            <w:pPr>
              <w:spacing w:after="20"/>
            </w:pPr>
            <w:r>
              <w:rPr>
                <w:color w:val="1C3A36"/>
                <w:sz w:val="16"/>
              </w:rPr>
              <w:t>Operating expense at 1.25% of revenue</w:t>
            </w:r>
          </w:p>
        </w:tc>
        <w:tc>
          <w:tcPr>
            <w:tcW w:type="dxa" w:w="5112"/>
          </w:tcPr>
          <w:p>
            <w:pPr>
              <w:spacing w:after="20"/>
            </w:pPr>
            <w:r>
              <w:rPr>
                <w:color w:val="1C3A36"/>
                <w:sz w:val="16"/>
              </w:rPr>
              <w:t>EGP 1,621mn annualised — 3.89% of revenue, more than three times the assumption</w:t>
            </w:r>
          </w:p>
        </w:tc>
      </w:tr>
      <w:tr>
        <w:tc>
          <w:tcPr>
            <w:tcW w:type="dxa" w:w="504"/>
          </w:tcPr>
          <w:p>
            <w:pPr>
              <w:spacing w:after="20"/>
            </w:pPr>
            <w:r>
              <w:rPr>
                <w:color w:val="1C3A36"/>
                <w:sz w:val="16"/>
              </w:rPr>
              <w:t>7</w:t>
            </w:r>
          </w:p>
        </w:tc>
        <w:tc>
          <w:tcPr>
            <w:tcW w:type="dxa" w:w="4392"/>
          </w:tcPr>
          <w:p>
            <w:pPr>
              <w:spacing w:after="20"/>
            </w:pPr>
            <w:r>
              <w:rPr>
                <w:color w:val="1C3A36"/>
                <w:sz w:val="16"/>
              </w:rPr>
              <w:t>Property, plant and equipment reconstructed as a residual at EGP 2,403mn</w:t>
            </w:r>
          </w:p>
        </w:tc>
        <w:tc>
          <w:tcPr>
            <w:tcW w:type="dxa" w:w="5112"/>
          </w:tcPr>
          <w:p>
            <w:pPr>
              <w:spacing w:after="20"/>
            </w:pPr>
            <w:r>
              <w:rPr>
                <w:color w:val="1C3A36"/>
                <w:sz w:val="16"/>
              </w:rPr>
              <w:t>Note 6: EGP 893mn net, plus EGP 407mn of projects under construction = EGP 1,300mn</w:t>
            </w:r>
          </w:p>
        </w:tc>
      </w:tr>
      <w:tr>
        <w:tc>
          <w:tcPr>
            <w:tcW w:type="dxa" w:w="504"/>
          </w:tcPr>
          <w:p>
            <w:pPr>
              <w:spacing w:after="20"/>
            </w:pPr>
            <w:r>
              <w:rPr>
                <w:color w:val="1C3A36"/>
                <w:sz w:val="16"/>
              </w:rPr>
              <w:t>8</w:t>
            </w:r>
          </w:p>
        </w:tc>
        <w:tc>
          <w:tcPr>
            <w:tcW w:type="dxa" w:w="4392"/>
          </w:tcPr>
          <w:p>
            <w:pPr>
              <w:spacing w:after="20"/>
            </w:pPr>
            <w:r>
              <w:rPr>
                <w:color w:val="1C3A36"/>
                <w:sz w:val="16"/>
              </w:rPr>
              <w:t>Net working capital at 2.0% of revenue</w:t>
            </w:r>
          </w:p>
        </w:tc>
        <w:tc>
          <w:tcPr>
            <w:tcW w:type="dxa" w:w="5112"/>
          </w:tcPr>
          <w:p>
            <w:pPr>
              <w:spacing w:after="20"/>
            </w:pPr>
            <w:r>
              <w:rPr>
                <w:color w:val="1C3A36"/>
                <w:sz w:val="16"/>
              </w:rPr>
              <w:t>EGP 1,734mn — 4.2% of the base year</w:t>
            </w:r>
          </w:p>
        </w:tc>
      </w:tr>
      <w:tr>
        <w:tc>
          <w:tcPr>
            <w:tcW w:type="dxa" w:w="504"/>
          </w:tcPr>
          <w:p>
            <w:pPr>
              <w:spacing w:after="20"/>
            </w:pPr>
            <w:r>
              <w:rPr>
                <w:color w:val="1C3A36"/>
                <w:sz w:val="16"/>
              </w:rPr>
              <w:t>9</w:t>
            </w:r>
          </w:p>
        </w:tc>
        <w:tc>
          <w:tcPr>
            <w:tcW w:type="dxa" w:w="4392"/>
          </w:tcPr>
          <w:p>
            <w:pPr>
              <w:spacing w:after="20"/>
            </w:pPr>
            <w:r>
              <w:rPr>
                <w:color w:val="1C3A36"/>
                <w:sz w:val="16"/>
              </w:rPr>
              <w:t>Minority interest inferred at 3.0% of group profit</w:t>
            </w:r>
          </w:p>
        </w:tc>
        <w:tc>
          <w:tcPr>
            <w:tcW w:type="dxa" w:w="5112"/>
          </w:tcPr>
          <w:p>
            <w:pPr>
              <w:spacing w:after="20"/>
            </w:pPr>
            <w:r>
              <w:rPr>
                <w:color w:val="1C3A36"/>
                <w:sz w:val="16"/>
              </w:rPr>
              <w:t>Disclosed at 4.645%. The subsidiary is Alexandria Wax Products, 86.45% owned</w:t>
            </w:r>
          </w:p>
        </w:tc>
      </w:tr>
      <w:tr>
        <w:tc>
          <w:tcPr>
            <w:tcW w:type="dxa" w:w="504"/>
          </w:tcPr>
          <w:p>
            <w:pPr>
              <w:spacing w:after="20"/>
            </w:pPr>
            <w:r>
              <w:rPr>
                <w:color w:val="1C3A36"/>
                <w:sz w:val="16"/>
              </w:rPr>
              <w:t>10</w:t>
            </w:r>
          </w:p>
        </w:tc>
        <w:tc>
          <w:tcPr>
            <w:tcW w:type="dxa" w:w="4392"/>
          </w:tcPr>
          <w:p>
            <w:pPr>
              <w:spacing w:after="20"/>
            </w:pPr>
            <w:r>
              <w:rPr>
                <w:color w:val="1C3A36"/>
                <w:sz w:val="16"/>
              </w:rPr>
              <w:t>The Egyptian General Petroleum Corporation described as a 20% shareholder</w:t>
            </w:r>
          </w:p>
        </w:tc>
        <w:tc>
          <w:tcPr>
            <w:tcW w:type="dxa" w:w="5112"/>
          </w:tcPr>
          <w:p>
            <w:pPr>
              <w:spacing w:after="20"/>
            </w:pPr>
            <w:r>
              <w:rPr>
                <w:color w:val="1C3A36"/>
                <w:sz w:val="16"/>
              </w:rPr>
              <w:t>Note 18: Alexandria Petroleum Company holds 20.77%. EGPC is not a shareholder at all — it is the counterparty, on both sides</w:t>
            </w:r>
          </w:p>
        </w:tc>
      </w:tr>
      <w:tr>
        <w:tc>
          <w:tcPr>
            <w:tcW w:type="dxa" w:w="504"/>
          </w:tcPr>
          <w:p>
            <w:pPr>
              <w:spacing w:after="20"/>
            </w:pPr>
            <w:r>
              <w:rPr>
                <w:color w:val="1C3A36"/>
                <w:sz w:val="16"/>
              </w:rPr>
              <w:t>11</w:t>
            </w:r>
          </w:p>
        </w:tc>
        <w:tc>
          <w:tcPr>
            <w:tcW w:type="dxa" w:w="4392"/>
          </w:tcPr>
          <w:p>
            <w:pPr>
              <w:spacing w:after="20"/>
            </w:pPr>
            <w:r>
              <w:rPr>
                <w:color w:val="1C3A36"/>
                <w:sz w:val="16"/>
              </w:rPr>
              <w:t>Historical other income read as devaluation FX gains and zeroed forward</w:t>
            </w:r>
          </w:p>
        </w:tc>
        <w:tc>
          <w:tcPr>
            <w:tcW w:type="dxa" w:w="5112"/>
          </w:tcPr>
          <w:p>
            <w:pPr>
              <w:spacing w:after="20"/>
            </w:pPr>
            <w:r>
              <w:rPr>
                <w:color w:val="1C3A36"/>
                <w:sz w:val="16"/>
              </w:rPr>
              <w:t>Note 14-B: mostly credit interest and provision reversals. The foreign-exchange gain line was ZERO in the transition half</w:t>
            </w:r>
          </w:p>
        </w:tc>
      </w:tr>
      <w:tr>
        <w:tc>
          <w:tcPr>
            <w:tcW w:type="dxa" w:w="504"/>
          </w:tcPr>
          <w:p>
            <w:pPr>
              <w:spacing w:after="20"/>
            </w:pPr>
            <w:r>
              <w:rPr>
                <w:color w:val="1C3A36"/>
                <w:sz w:val="16"/>
              </w:rPr>
              <w:t>12</w:t>
            </w:r>
          </w:p>
        </w:tc>
        <w:tc>
          <w:tcPr>
            <w:tcW w:type="dxa" w:w="4392"/>
          </w:tcPr>
          <w:p>
            <w:pPr>
              <w:spacing w:after="20"/>
            </w:pPr>
            <w:r>
              <w:rPr>
                <w:color w:val="1C3A36"/>
                <w:sz w:val="16"/>
              </w:rPr>
              <w:t>No tax-disputes provision carried</w:t>
            </w:r>
          </w:p>
        </w:tc>
        <w:tc>
          <w:tcPr>
            <w:tcW w:type="dxa" w:w="5112"/>
          </w:tcPr>
          <w:p>
            <w:pPr>
              <w:spacing w:after="20"/>
            </w:pPr>
            <w:r>
              <w:rPr>
                <w:color w:val="1C3A36"/>
                <w:sz w:val="16"/>
              </w:rPr>
              <w:t>Note 10-1: EGP 921mn — EGP 0.71 a share</w:t>
            </w:r>
          </w:p>
        </w:tc>
      </w:tr>
    </w:tbl>
    <w:p>
      <w:pPr>
        <w:spacing w:after="40"/>
      </w:pPr>
    </w:p>
    <w:p>
      <w:pPr>
        <w:spacing w:after="200" w:before="0"/>
      </w:pPr>
      <w:r>
        <w:rPr>
          <w:b w:val="0"/>
          <w:i/>
          <w:color w:val="6E7B77"/>
          <w:sz w:val="17"/>
        </w:rPr>
        <w:t>Errors 1, 2 and 6 push in opposite directions and do not cancel: lower capital expenditure and lower depreciation lift free cash flow, while an operating cost base three times larger takes far more away. The net effect on the first forecast year's operating profit is a fall of about 12%, and on the weighted central a fall from EGP 9.38 to EGP 7.16.</w:t>
      </w:r>
    </w:p>
    <w:p>
      <w:pPr>
        <w:spacing w:after="80" w:before="200"/>
      </w:pPr>
      <w:r>
        <w:rPr>
          <w:b/>
          <w:i w:val="0"/>
          <w:color w:val="1C3A36"/>
          <w:sz w:val="24"/>
        </w:rPr>
        <w:t>1.2  The base year is nine audited months, and here is why</w:t>
      </w:r>
    </w:p>
    <w:p>
      <w:pPr>
        <w:spacing w:after="120" w:before="0"/>
      </w:pPr>
      <w:r>
        <w:rPr>
          <w:b w:val="0"/>
          <w:i w:val="0"/>
          <w:color w:val="1C3A36"/>
          <w:sz w:val="21"/>
        </w:rPr>
        <w:t>The company moved its year-end from 30 June to 31 December. July to December 2025 was filed as an audited six-month transition period, and the three months to March 2026 have been reviewed. The April-to-June 2025 quarter is not separately filed. There is therefore no clean audited twelve-month period available, and constructing one would mean estimating the missing quarter.</w:t>
      </w:r>
    </w:p>
    <w:p>
      <w:pPr>
        <w:spacing w:after="120" w:before="0"/>
      </w:pPr>
      <w:r>
        <w:rPr>
          <w:b w:val="0"/>
          <w:i w:val="0"/>
          <w:color w:val="1C3A36"/>
          <w:sz w:val="21"/>
        </w:rPr>
        <w:t>This study does not estimate it. The base year is the NINE CONTIGUOUS AUDITED MONTHS from 1 July 2025 to 31 March 2026, annualised by four thirds. That scaling is the only step between the filings and the base year, and no part of what it scales is estimated.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728"/>
        <w:gridCol w:w="1728"/>
        <w:gridCol w:w="1656"/>
        <w:gridCol w:w="1728"/>
      </w:tblGrid>
      <w:tr>
        <w:tc>
          <w:tcPr>
            <w:tcW w:type="dxa" w:w="3096"/>
            <w:shd w:val="clear" w:color="auto" w:fill="EAF0EE"/>
          </w:tcPr>
          <w:p>
            <w:pPr>
              <w:spacing w:after="20"/>
            </w:pPr>
            <w:r>
              <w:rPr>
                <w:b/>
                <w:color w:val="1C3A36"/>
                <w:sz w:val="16"/>
              </w:rPr>
              <w:t>EGP mn</w:t>
            </w:r>
          </w:p>
        </w:tc>
        <w:tc>
          <w:tcPr>
            <w:tcW w:type="dxa" w:w="1728"/>
            <w:shd w:val="clear" w:color="auto" w:fill="EAF0EE"/>
          </w:tcPr>
          <w:p>
            <w:pPr>
              <w:spacing w:after="20"/>
            </w:pPr>
            <w:r>
              <w:rPr>
                <w:b/>
                <w:color w:val="1C3A36"/>
                <w:sz w:val="16"/>
              </w:rPr>
              <w:t>6M to Dec-2025</w:t>
            </w:r>
          </w:p>
        </w:tc>
        <w:tc>
          <w:tcPr>
            <w:tcW w:type="dxa" w:w="1728"/>
            <w:shd w:val="clear" w:color="auto" w:fill="EAF0EE"/>
          </w:tcPr>
          <w:p>
            <w:pPr>
              <w:spacing w:after="20"/>
            </w:pPr>
            <w:r>
              <w:rPr>
                <w:b/>
                <w:color w:val="1C3A36"/>
                <w:sz w:val="16"/>
              </w:rPr>
              <w:t>3M to Mar-2026</w:t>
            </w:r>
          </w:p>
        </w:tc>
        <w:tc>
          <w:tcPr>
            <w:tcW w:type="dxa" w:w="1656"/>
            <w:shd w:val="clear" w:color="auto" w:fill="EAF0EE"/>
          </w:tcPr>
          <w:p>
            <w:pPr>
              <w:spacing w:after="20"/>
            </w:pPr>
            <w:r>
              <w:rPr>
                <w:b/>
                <w:color w:val="1C3A36"/>
                <w:sz w:val="16"/>
              </w:rPr>
              <w:t>Nine months</w:t>
            </w:r>
          </w:p>
        </w:tc>
        <w:tc>
          <w:tcPr>
            <w:tcW w:type="dxa" w:w="1728"/>
            <w:shd w:val="clear" w:color="auto" w:fill="EAF0EE"/>
          </w:tcPr>
          <w:p>
            <w:pPr>
              <w:spacing w:after="20"/>
            </w:pPr>
            <w:r>
              <w:rPr>
                <w:b/>
                <w:color w:val="1C3A36"/>
                <w:sz w:val="16"/>
              </w:rPr>
              <w:t>Annualised</w:t>
            </w:r>
          </w:p>
        </w:tc>
      </w:tr>
      <w:tr>
        <w:tc>
          <w:tcPr>
            <w:tcW w:type="dxa" w:w="3096"/>
          </w:tcPr>
          <w:p>
            <w:pPr>
              <w:spacing w:after="20"/>
            </w:pPr>
            <w:r>
              <w:rPr>
                <w:color w:val="1C3A36"/>
                <w:sz w:val="16"/>
              </w:rPr>
              <w:t>Net sales</w:t>
            </w:r>
          </w:p>
        </w:tc>
        <w:tc>
          <w:tcPr>
            <w:tcW w:type="dxa" w:w="1728"/>
          </w:tcPr>
          <w:p>
            <w:pPr>
              <w:spacing w:after="20"/>
              <w:jc w:val="right"/>
            </w:pPr>
            <w:r>
              <w:rPr>
                <w:color w:val="1C3A36"/>
                <w:sz w:val="16"/>
              </w:rPr>
              <w:t>20,736</w:t>
            </w:r>
          </w:p>
        </w:tc>
        <w:tc>
          <w:tcPr>
            <w:tcW w:type="dxa" w:w="1728"/>
          </w:tcPr>
          <w:p>
            <w:pPr>
              <w:spacing w:after="20"/>
              <w:jc w:val="right"/>
            </w:pPr>
            <w:r>
              <w:rPr>
                <w:color w:val="1C3A36"/>
                <w:sz w:val="16"/>
              </w:rPr>
              <w:t>10,511</w:t>
            </w:r>
          </w:p>
        </w:tc>
        <w:tc>
          <w:tcPr>
            <w:tcW w:type="dxa" w:w="1656"/>
          </w:tcPr>
          <w:p>
            <w:pPr>
              <w:spacing w:after="20"/>
              <w:jc w:val="right"/>
            </w:pPr>
            <w:r>
              <w:rPr>
                <w:color w:val="1C3A36"/>
                <w:sz w:val="16"/>
              </w:rPr>
              <w:t>31,247</w:t>
            </w:r>
          </w:p>
        </w:tc>
        <w:tc>
          <w:tcPr>
            <w:tcW w:type="dxa" w:w="1728"/>
          </w:tcPr>
          <w:p>
            <w:pPr>
              <w:spacing w:after="20"/>
              <w:jc w:val="right"/>
            </w:pPr>
            <w:r>
              <w:rPr>
                <w:color w:val="1C3A36"/>
                <w:sz w:val="16"/>
              </w:rPr>
              <w:t>41,662</w:t>
            </w:r>
          </w:p>
        </w:tc>
      </w:tr>
      <w:tr>
        <w:tc>
          <w:tcPr>
            <w:tcW w:type="dxa" w:w="3096"/>
          </w:tcPr>
          <w:p>
            <w:pPr>
              <w:spacing w:after="20"/>
            </w:pPr>
            <w:r>
              <w:rPr>
                <w:color w:val="1C3A36"/>
                <w:sz w:val="16"/>
              </w:rPr>
              <w:t>Cost of sales</w:t>
            </w:r>
          </w:p>
        </w:tc>
        <w:tc>
          <w:tcPr>
            <w:tcW w:type="dxa" w:w="1728"/>
          </w:tcPr>
          <w:p>
            <w:pPr>
              <w:spacing w:after="20"/>
              <w:jc w:val="right"/>
            </w:pPr>
            <w:r>
              <w:rPr>
                <w:color w:val="1C3A36"/>
                <w:sz w:val="16"/>
              </w:rPr>
              <w:t>(19,462)</w:t>
            </w:r>
          </w:p>
        </w:tc>
        <w:tc>
          <w:tcPr>
            <w:tcW w:type="dxa" w:w="1728"/>
          </w:tcPr>
          <w:p>
            <w:pPr>
              <w:spacing w:after="20"/>
              <w:jc w:val="right"/>
            </w:pPr>
            <w:r>
              <w:rPr>
                <w:color w:val="1C3A36"/>
                <w:sz w:val="16"/>
              </w:rPr>
              <w:t>(9,440)</w:t>
            </w:r>
          </w:p>
        </w:tc>
        <w:tc>
          <w:tcPr>
            <w:tcW w:type="dxa" w:w="1656"/>
          </w:tcPr>
          <w:p>
            <w:pPr>
              <w:spacing w:after="20"/>
              <w:jc w:val="right"/>
            </w:pPr>
            <w:r>
              <w:rPr>
                <w:color w:val="1C3A36"/>
                <w:sz w:val="16"/>
              </w:rPr>
              <w:t>(28,901)</w:t>
            </w:r>
          </w:p>
        </w:tc>
        <w:tc>
          <w:tcPr>
            <w:tcW w:type="dxa" w:w="1728"/>
          </w:tcPr>
          <w:p>
            <w:pPr>
              <w:spacing w:after="20"/>
              <w:jc w:val="right"/>
            </w:pPr>
            <w:r>
              <w:rPr>
                <w:color w:val="1C3A36"/>
                <w:sz w:val="16"/>
              </w:rPr>
              <w:t>(38,535)</w:t>
            </w:r>
          </w:p>
        </w:tc>
      </w:tr>
      <w:tr>
        <w:tc>
          <w:tcPr>
            <w:tcW w:type="dxa" w:w="3096"/>
            <w:shd w:val="clear" w:color="auto" w:fill="F6F1E6"/>
          </w:tcPr>
          <w:p>
            <w:pPr>
              <w:spacing w:after="20"/>
            </w:pPr>
            <w:r>
              <w:rPr>
                <w:b/>
                <w:color w:val="1C3A36"/>
                <w:sz w:val="16"/>
              </w:rPr>
              <w:t>GROSS PROFIT</w:t>
            </w:r>
          </w:p>
        </w:tc>
        <w:tc>
          <w:tcPr>
            <w:tcW w:type="dxa" w:w="1728"/>
            <w:shd w:val="clear" w:color="auto" w:fill="F6F1E6"/>
          </w:tcPr>
          <w:p>
            <w:pPr>
              <w:spacing w:after="20"/>
              <w:jc w:val="right"/>
            </w:pPr>
            <w:r>
              <w:rPr>
                <w:b/>
                <w:color w:val="1C3A36"/>
                <w:sz w:val="16"/>
              </w:rPr>
              <w:t>1,274</w:t>
            </w:r>
          </w:p>
        </w:tc>
        <w:tc>
          <w:tcPr>
            <w:tcW w:type="dxa" w:w="1728"/>
            <w:shd w:val="clear" w:color="auto" w:fill="F6F1E6"/>
          </w:tcPr>
          <w:p>
            <w:pPr>
              <w:spacing w:after="20"/>
              <w:jc w:val="right"/>
            </w:pPr>
            <w:r>
              <w:rPr>
                <w:b/>
                <w:color w:val="1C3A36"/>
                <w:sz w:val="16"/>
              </w:rPr>
              <w:t>1,071</w:t>
            </w:r>
          </w:p>
        </w:tc>
        <w:tc>
          <w:tcPr>
            <w:tcW w:type="dxa" w:w="1656"/>
            <w:shd w:val="clear" w:color="auto" w:fill="F6F1E6"/>
          </w:tcPr>
          <w:p>
            <w:pPr>
              <w:spacing w:after="20"/>
              <w:jc w:val="right"/>
            </w:pPr>
            <w:r>
              <w:rPr>
                <w:b/>
                <w:color w:val="1C3A36"/>
                <w:sz w:val="16"/>
              </w:rPr>
              <w:t>2,345</w:t>
            </w:r>
          </w:p>
        </w:tc>
        <w:tc>
          <w:tcPr>
            <w:tcW w:type="dxa" w:w="1728"/>
            <w:shd w:val="clear" w:color="auto" w:fill="F6F1E6"/>
          </w:tcPr>
          <w:p>
            <w:pPr>
              <w:spacing w:after="20"/>
              <w:jc w:val="right"/>
            </w:pPr>
            <w:r>
              <w:rPr>
                <w:b/>
                <w:color w:val="1C3A36"/>
                <w:sz w:val="16"/>
              </w:rPr>
              <w:t>3,127</w:t>
            </w:r>
          </w:p>
        </w:tc>
      </w:tr>
      <w:tr>
        <w:tc>
          <w:tcPr>
            <w:tcW w:type="dxa" w:w="3096"/>
            <w:shd w:val="clear" w:color="auto" w:fill="F6F1E6"/>
          </w:tcPr>
          <w:p>
            <w:pPr>
              <w:spacing w:after="20"/>
            </w:pPr>
            <w:r>
              <w:rPr>
                <w:b/>
                <w:color w:val="1C3A36"/>
                <w:sz w:val="16"/>
              </w:rPr>
              <w:t>GROSS MARGIN</w:t>
            </w:r>
          </w:p>
        </w:tc>
        <w:tc>
          <w:tcPr>
            <w:tcW w:type="dxa" w:w="1728"/>
            <w:shd w:val="clear" w:color="auto" w:fill="F6F1E6"/>
          </w:tcPr>
          <w:p>
            <w:pPr>
              <w:spacing w:after="20"/>
              <w:jc w:val="right"/>
            </w:pPr>
            <w:r>
              <w:rPr>
                <w:b/>
                <w:color w:val="1C3A36"/>
                <w:sz w:val="16"/>
              </w:rPr>
              <w:t>6.14%</w:t>
            </w:r>
          </w:p>
        </w:tc>
        <w:tc>
          <w:tcPr>
            <w:tcW w:type="dxa" w:w="1728"/>
            <w:shd w:val="clear" w:color="auto" w:fill="F6F1E6"/>
          </w:tcPr>
          <w:p>
            <w:pPr>
              <w:spacing w:after="20"/>
              <w:jc w:val="right"/>
            </w:pPr>
            <w:r>
              <w:rPr>
                <w:b/>
                <w:color w:val="1C3A36"/>
                <w:sz w:val="16"/>
              </w:rPr>
              <w:t>10.19%</w:t>
            </w:r>
          </w:p>
        </w:tc>
        <w:tc>
          <w:tcPr>
            <w:tcW w:type="dxa" w:w="1656"/>
            <w:shd w:val="clear" w:color="auto" w:fill="F6F1E6"/>
          </w:tcPr>
          <w:p>
            <w:pPr>
              <w:spacing w:after="20"/>
              <w:jc w:val="right"/>
            </w:pPr>
            <w:r>
              <w:rPr>
                <w:b/>
                <w:color w:val="1C3A36"/>
                <w:sz w:val="16"/>
              </w:rPr>
              <w:t>7.506%</w:t>
            </w:r>
          </w:p>
        </w:tc>
        <w:tc>
          <w:tcPr>
            <w:tcW w:type="dxa" w:w="1728"/>
            <w:shd w:val="clear" w:color="auto" w:fill="F6F1E6"/>
          </w:tcPr>
          <w:p>
            <w:pPr>
              <w:spacing w:after="20"/>
              <w:jc w:val="right"/>
            </w:pPr>
            <w:r>
              <w:rPr>
                <w:b/>
                <w:color w:val="1C3A36"/>
                <w:sz w:val="16"/>
              </w:rPr>
              <w:t>7.506%</w:t>
            </w:r>
          </w:p>
        </w:tc>
      </w:tr>
      <w:tr>
        <w:tc>
          <w:tcPr>
            <w:tcW w:type="dxa" w:w="3096"/>
          </w:tcPr>
          <w:p>
            <w:pPr>
              <w:spacing w:after="20"/>
            </w:pPr>
            <w:r>
              <w:rPr>
                <w:color w:val="1C3A36"/>
                <w:sz w:val="16"/>
              </w:rPr>
              <w:t>Operating expense</w:t>
            </w:r>
          </w:p>
        </w:tc>
        <w:tc>
          <w:tcPr>
            <w:tcW w:type="dxa" w:w="1728"/>
          </w:tcPr>
          <w:p>
            <w:pPr>
              <w:spacing w:after="20"/>
              <w:jc w:val="right"/>
            </w:pPr>
            <w:r>
              <w:rPr>
                <w:color w:val="1C3A36"/>
                <w:sz w:val="16"/>
              </w:rPr>
              <w:t>(788)</w:t>
            </w:r>
          </w:p>
        </w:tc>
        <w:tc>
          <w:tcPr>
            <w:tcW w:type="dxa" w:w="1728"/>
          </w:tcPr>
          <w:p>
            <w:pPr>
              <w:spacing w:after="20"/>
              <w:jc w:val="right"/>
            </w:pPr>
            <w:r>
              <w:rPr>
                <w:color w:val="1C3A36"/>
                <w:sz w:val="16"/>
              </w:rPr>
              <w:t>(428)</w:t>
            </w:r>
          </w:p>
        </w:tc>
        <w:tc>
          <w:tcPr>
            <w:tcW w:type="dxa" w:w="1656"/>
          </w:tcPr>
          <w:p>
            <w:pPr>
              <w:spacing w:after="20"/>
              <w:jc w:val="right"/>
            </w:pPr>
            <w:r>
              <w:rPr>
                <w:color w:val="1C3A36"/>
                <w:sz w:val="16"/>
              </w:rPr>
              <w:t>(1,216)</w:t>
            </w:r>
          </w:p>
        </w:tc>
        <w:tc>
          <w:tcPr>
            <w:tcW w:type="dxa" w:w="1728"/>
          </w:tcPr>
          <w:p>
            <w:pPr>
              <w:spacing w:after="20"/>
              <w:jc w:val="right"/>
            </w:pPr>
            <w:r>
              <w:rPr>
                <w:color w:val="1C3A36"/>
                <w:sz w:val="16"/>
              </w:rPr>
              <w:t>(1,621)</w:t>
            </w:r>
          </w:p>
        </w:tc>
      </w:tr>
      <w:tr>
        <w:tc>
          <w:tcPr>
            <w:tcW w:type="dxa" w:w="3096"/>
          </w:tcPr>
          <w:p>
            <w:pPr>
              <w:spacing w:after="20"/>
            </w:pPr>
            <w:r>
              <w:rPr>
                <w:color w:val="1C3A36"/>
                <w:sz w:val="16"/>
              </w:rPr>
              <w:t>Depreciation and RoU amortisation</w:t>
            </w:r>
          </w:p>
        </w:tc>
        <w:tc>
          <w:tcPr>
            <w:tcW w:type="dxa" w:w="1728"/>
          </w:tcPr>
          <w:p>
            <w:pPr>
              <w:spacing w:after="20"/>
              <w:jc w:val="right"/>
            </w:pPr>
            <w:r>
              <w:rPr>
                <w:color w:val="1C3A36"/>
                <w:sz w:val="16"/>
              </w:rPr>
              <w:t>70</w:t>
            </w:r>
          </w:p>
        </w:tc>
        <w:tc>
          <w:tcPr>
            <w:tcW w:type="dxa" w:w="1728"/>
          </w:tcPr>
          <w:p>
            <w:pPr>
              <w:spacing w:after="20"/>
              <w:jc w:val="right"/>
            </w:pPr>
            <w:r>
              <w:rPr>
                <w:color w:val="1C3A36"/>
                <w:sz w:val="16"/>
              </w:rPr>
              <w:t>41</w:t>
            </w:r>
          </w:p>
        </w:tc>
        <w:tc>
          <w:tcPr>
            <w:tcW w:type="dxa" w:w="1656"/>
          </w:tcPr>
          <w:p>
            <w:pPr>
              <w:spacing w:after="20"/>
              <w:jc w:val="right"/>
            </w:pPr>
            <w:r>
              <w:rPr>
                <w:color w:val="1C3A36"/>
                <w:sz w:val="16"/>
              </w:rPr>
              <w:t>111</w:t>
            </w:r>
          </w:p>
        </w:tc>
        <w:tc>
          <w:tcPr>
            <w:tcW w:type="dxa" w:w="1728"/>
          </w:tcPr>
          <w:p>
            <w:pPr>
              <w:spacing w:after="20"/>
              <w:jc w:val="right"/>
            </w:pPr>
            <w:r>
              <w:rPr>
                <w:color w:val="1C3A36"/>
                <w:sz w:val="16"/>
              </w:rPr>
              <w:t>148</w:t>
            </w:r>
          </w:p>
        </w:tc>
      </w:tr>
      <w:tr>
        <w:tc>
          <w:tcPr>
            <w:tcW w:type="dxa" w:w="3096"/>
          </w:tcPr>
          <w:p>
            <w:pPr>
              <w:spacing w:after="20"/>
            </w:pPr>
            <w:r>
              <w:rPr>
                <w:color w:val="1C3A36"/>
                <w:sz w:val="16"/>
              </w:rPr>
              <w:t>CASH capital expenditure</w:t>
            </w:r>
          </w:p>
        </w:tc>
        <w:tc>
          <w:tcPr>
            <w:tcW w:type="dxa" w:w="1728"/>
          </w:tcPr>
          <w:p>
            <w:pPr>
              <w:spacing w:after="20"/>
              <w:jc w:val="right"/>
            </w:pPr>
            <w:r>
              <w:rPr>
                <w:color w:val="1C3A36"/>
                <w:sz w:val="16"/>
              </w:rPr>
              <w:t>30</w:t>
            </w:r>
          </w:p>
        </w:tc>
        <w:tc>
          <w:tcPr>
            <w:tcW w:type="dxa" w:w="1728"/>
          </w:tcPr>
          <w:p>
            <w:pPr>
              <w:spacing w:after="20"/>
              <w:jc w:val="right"/>
            </w:pPr>
            <w:r>
              <w:rPr>
                <w:color w:val="1C3A36"/>
                <w:sz w:val="16"/>
              </w:rPr>
              <w:t>65</w:t>
            </w:r>
          </w:p>
        </w:tc>
        <w:tc>
          <w:tcPr>
            <w:tcW w:type="dxa" w:w="1656"/>
          </w:tcPr>
          <w:p>
            <w:pPr>
              <w:spacing w:after="20"/>
              <w:jc w:val="right"/>
            </w:pPr>
            <w:r>
              <w:rPr>
                <w:color w:val="1C3A36"/>
                <w:sz w:val="16"/>
              </w:rPr>
              <w:t>95</w:t>
            </w:r>
          </w:p>
        </w:tc>
        <w:tc>
          <w:tcPr>
            <w:tcW w:type="dxa" w:w="1728"/>
          </w:tcPr>
          <w:p>
            <w:pPr>
              <w:spacing w:after="20"/>
              <w:jc w:val="right"/>
            </w:pPr>
            <w:r>
              <w:rPr>
                <w:color w:val="1C3A36"/>
                <w:sz w:val="16"/>
              </w:rPr>
              <w:t>127</w:t>
            </w:r>
          </w:p>
        </w:tc>
      </w:tr>
      <w:tr>
        <w:tc>
          <w:tcPr>
            <w:tcW w:type="dxa" w:w="3096"/>
          </w:tcPr>
          <w:p>
            <w:pPr>
              <w:spacing w:after="20"/>
            </w:pPr>
            <w:r>
              <w:rPr>
                <w:color w:val="1C3A36"/>
                <w:sz w:val="16"/>
              </w:rPr>
              <w:t>Net profit after tax</w:t>
            </w:r>
          </w:p>
        </w:tc>
        <w:tc>
          <w:tcPr>
            <w:tcW w:type="dxa" w:w="1728"/>
          </w:tcPr>
          <w:p>
            <w:pPr>
              <w:spacing w:after="20"/>
              <w:jc w:val="right"/>
            </w:pPr>
            <w:r>
              <w:rPr>
                <w:color w:val="1C3A36"/>
                <w:sz w:val="16"/>
              </w:rPr>
              <w:t>656</w:t>
            </w:r>
          </w:p>
        </w:tc>
        <w:tc>
          <w:tcPr>
            <w:tcW w:type="dxa" w:w="1728"/>
          </w:tcPr>
          <w:p>
            <w:pPr>
              <w:spacing w:after="20"/>
              <w:jc w:val="right"/>
            </w:pPr>
            <w:r>
              <w:rPr>
                <w:color w:val="1C3A36"/>
                <w:sz w:val="16"/>
              </w:rPr>
              <w:t>635</w:t>
            </w:r>
          </w:p>
        </w:tc>
        <w:tc>
          <w:tcPr>
            <w:tcW w:type="dxa" w:w="1656"/>
          </w:tcPr>
          <w:p>
            <w:pPr>
              <w:spacing w:after="20"/>
              <w:jc w:val="right"/>
            </w:pPr>
            <w:r>
              <w:rPr>
                <w:color w:val="1C3A36"/>
                <w:sz w:val="16"/>
              </w:rPr>
              <w:t>1,292</w:t>
            </w:r>
          </w:p>
        </w:tc>
        <w:tc>
          <w:tcPr>
            <w:tcW w:type="dxa" w:w="1728"/>
          </w:tcPr>
          <w:p>
            <w:pPr>
              <w:spacing w:after="20"/>
              <w:jc w:val="right"/>
            </w:pPr>
            <w:r>
              <w:rPr>
                <w:color w:val="1C3A36"/>
                <w:sz w:val="16"/>
              </w:rPr>
              <w:t>1,722</w:t>
            </w:r>
          </w:p>
        </w:tc>
      </w:tr>
    </w:tbl>
    <w:p>
      <w:pPr>
        <w:spacing w:after="40"/>
      </w:pPr>
    </w:p>
    <w:p>
      <w:pPr>
        <w:spacing w:after="200" w:before="0"/>
      </w:pPr>
      <w:r>
        <w:rPr>
          <w:b w:val="0"/>
          <w:i/>
          <w:color w:val="6E7B77"/>
          <w:sz w:val="17"/>
        </w:rPr>
        <w:t>Effective tax across the two filed periods is 22.12% — computed, not assumed, and against a statutory 22.5%. Note the gross margin: 6.14% in the audited half and 10.19% in the reviewed quarter. The March-2026 quarter is the strongest margin in the disclosed record by a wide margin and it is a SINGLE quarter; the base year blends it with the half that precedes it rather than annualising it alone.</w:t>
      </w:r>
    </w:p>
    <w:p>
      <w:pPr>
        <w:spacing w:after="80" w:before="200"/>
      </w:pPr>
      <w:r>
        <w:rPr>
          <w:b/>
          <w:i w:val="0"/>
          <w:color w:val="1C3A36"/>
          <w:sz w:val="24"/>
        </w:rPr>
        <w:t>1.3  The margin record, as filed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757"/>
        <w:gridCol w:w="1757"/>
        <w:gridCol w:w="1757"/>
        <w:gridCol w:w="1757"/>
      </w:tblGrid>
      <w:tr>
        <w:tc>
          <w:tcPr>
            <w:tcW w:type="dxa" w:w="2952"/>
            <w:shd w:val="clear" w:color="auto" w:fill="EAF0EE"/>
          </w:tcPr>
          <w:p>
            <w:pPr>
              <w:spacing w:after="20"/>
            </w:pPr>
            <w:r>
              <w:rPr>
                <w:b/>
                <w:color w:val="1C3A36"/>
                <w:sz w:val="16"/>
              </w:rPr>
            </w:r>
          </w:p>
        </w:tc>
        <w:tc>
          <w:tcPr>
            <w:tcW w:type="dxa" w:w="1757"/>
            <w:shd w:val="clear" w:color="auto" w:fill="EAF0EE"/>
          </w:tcPr>
          <w:p>
            <w:pPr>
              <w:spacing w:after="20"/>
            </w:pPr>
            <w:r>
              <w:rPr>
                <w:b/>
                <w:color w:val="1C3A36"/>
                <w:sz w:val="16"/>
              </w:rPr>
              <w:t>6M Dec-2024</w:t>
            </w:r>
          </w:p>
        </w:tc>
        <w:tc>
          <w:tcPr>
            <w:tcW w:type="dxa" w:w="1757"/>
            <w:shd w:val="clear" w:color="auto" w:fill="EAF0EE"/>
          </w:tcPr>
          <w:p>
            <w:pPr>
              <w:spacing w:after="20"/>
            </w:pPr>
            <w:r>
              <w:rPr>
                <w:b/>
                <w:color w:val="1C3A36"/>
                <w:sz w:val="16"/>
              </w:rPr>
              <w:t>3M Mar-2025</w:t>
            </w:r>
          </w:p>
        </w:tc>
        <w:tc>
          <w:tcPr>
            <w:tcW w:type="dxa" w:w="1757"/>
            <w:shd w:val="clear" w:color="auto" w:fill="EAF0EE"/>
          </w:tcPr>
          <w:p>
            <w:pPr>
              <w:spacing w:after="20"/>
            </w:pPr>
            <w:r>
              <w:rPr>
                <w:b/>
                <w:color w:val="1C3A36"/>
                <w:sz w:val="16"/>
              </w:rPr>
              <w:t>6M Dec-2025</w:t>
            </w:r>
          </w:p>
        </w:tc>
        <w:tc>
          <w:tcPr>
            <w:tcW w:type="dxa" w:w="1757"/>
            <w:shd w:val="clear" w:color="auto" w:fill="EAF0EE"/>
          </w:tcPr>
          <w:p>
            <w:pPr>
              <w:spacing w:after="20"/>
            </w:pPr>
            <w:r>
              <w:rPr>
                <w:b/>
                <w:color w:val="1C3A36"/>
                <w:sz w:val="16"/>
              </w:rPr>
              <w:t>3M Mar-2026</w:t>
            </w:r>
          </w:p>
        </w:tc>
      </w:tr>
      <w:tr>
        <w:tc>
          <w:tcPr>
            <w:tcW w:type="dxa" w:w="2952"/>
          </w:tcPr>
          <w:p>
            <w:pPr>
              <w:spacing w:after="20"/>
            </w:pPr>
            <w:r>
              <w:rPr>
                <w:color w:val="1C3A36"/>
                <w:sz w:val="16"/>
              </w:rPr>
              <w:t>Net sales (EGP mn)</w:t>
            </w:r>
          </w:p>
        </w:tc>
        <w:tc>
          <w:tcPr>
            <w:tcW w:type="dxa" w:w="1757"/>
          </w:tcPr>
          <w:p>
            <w:pPr>
              <w:spacing w:after="20"/>
              <w:jc w:val="right"/>
            </w:pPr>
            <w:r>
              <w:rPr>
                <w:color w:val="1C3A36"/>
                <w:sz w:val="16"/>
              </w:rPr>
              <w:t>18,246</w:t>
            </w:r>
          </w:p>
        </w:tc>
        <w:tc>
          <w:tcPr>
            <w:tcW w:type="dxa" w:w="1757"/>
          </w:tcPr>
          <w:p>
            <w:pPr>
              <w:spacing w:after="20"/>
              <w:jc w:val="right"/>
            </w:pPr>
            <w:r>
              <w:rPr>
                <w:color w:val="1C3A36"/>
                <w:sz w:val="16"/>
              </w:rPr>
              <w:t>10,068</w:t>
            </w:r>
          </w:p>
        </w:tc>
        <w:tc>
          <w:tcPr>
            <w:tcW w:type="dxa" w:w="1757"/>
          </w:tcPr>
          <w:p>
            <w:pPr>
              <w:spacing w:after="20"/>
              <w:jc w:val="right"/>
            </w:pPr>
            <w:r>
              <w:rPr>
                <w:color w:val="1C3A36"/>
                <w:sz w:val="16"/>
              </w:rPr>
              <w:t>20,736</w:t>
            </w:r>
          </w:p>
        </w:tc>
        <w:tc>
          <w:tcPr>
            <w:tcW w:type="dxa" w:w="1757"/>
          </w:tcPr>
          <w:p>
            <w:pPr>
              <w:spacing w:after="20"/>
              <w:jc w:val="right"/>
            </w:pPr>
            <w:r>
              <w:rPr>
                <w:color w:val="1C3A36"/>
                <w:sz w:val="16"/>
              </w:rPr>
              <w:t>10,511</w:t>
            </w:r>
          </w:p>
        </w:tc>
      </w:tr>
      <w:tr>
        <w:tc>
          <w:tcPr>
            <w:tcW w:type="dxa" w:w="2952"/>
          </w:tcPr>
          <w:p>
            <w:pPr>
              <w:spacing w:after="20"/>
            </w:pPr>
            <w:r>
              <w:rPr>
                <w:color w:val="1C3A36"/>
                <w:sz w:val="16"/>
              </w:rPr>
              <w:t>Gross profit (EGP mn)</w:t>
            </w:r>
          </w:p>
        </w:tc>
        <w:tc>
          <w:tcPr>
            <w:tcW w:type="dxa" w:w="1757"/>
          </w:tcPr>
          <w:p>
            <w:pPr>
              <w:spacing w:after="20"/>
              <w:jc w:val="right"/>
            </w:pPr>
            <w:r>
              <w:rPr>
                <w:color w:val="1C3A36"/>
                <w:sz w:val="16"/>
              </w:rPr>
              <w:t>1,251</w:t>
            </w:r>
          </w:p>
        </w:tc>
        <w:tc>
          <w:tcPr>
            <w:tcW w:type="dxa" w:w="1757"/>
          </w:tcPr>
          <w:p>
            <w:pPr>
              <w:spacing w:after="20"/>
              <w:jc w:val="right"/>
            </w:pPr>
            <w:r>
              <w:rPr>
                <w:color w:val="1C3A36"/>
                <w:sz w:val="16"/>
              </w:rPr>
              <w:t>509</w:t>
            </w:r>
          </w:p>
        </w:tc>
        <w:tc>
          <w:tcPr>
            <w:tcW w:type="dxa" w:w="1757"/>
          </w:tcPr>
          <w:p>
            <w:pPr>
              <w:spacing w:after="20"/>
              <w:jc w:val="right"/>
            </w:pPr>
            <w:r>
              <w:rPr>
                <w:color w:val="1C3A36"/>
                <w:sz w:val="16"/>
              </w:rPr>
              <w:t>1,274</w:t>
            </w:r>
          </w:p>
        </w:tc>
        <w:tc>
          <w:tcPr>
            <w:tcW w:type="dxa" w:w="1757"/>
          </w:tcPr>
          <w:p>
            <w:pPr>
              <w:spacing w:after="20"/>
              <w:jc w:val="right"/>
            </w:pPr>
            <w:r>
              <w:rPr>
                <w:color w:val="1C3A36"/>
                <w:sz w:val="16"/>
              </w:rPr>
              <w:t>1,071</w:t>
            </w:r>
          </w:p>
        </w:tc>
      </w:tr>
      <w:tr>
        <w:tc>
          <w:tcPr>
            <w:tcW w:type="dxa" w:w="2952"/>
            <w:shd w:val="clear" w:color="auto" w:fill="F6F1E6"/>
          </w:tcPr>
          <w:p>
            <w:pPr>
              <w:spacing w:after="20"/>
            </w:pPr>
            <w:r>
              <w:rPr>
                <w:b/>
                <w:color w:val="1C3A36"/>
                <w:sz w:val="16"/>
              </w:rPr>
              <w:t>GROSS MARGIN</w:t>
            </w:r>
          </w:p>
        </w:tc>
        <w:tc>
          <w:tcPr>
            <w:tcW w:type="dxa" w:w="1757"/>
            <w:shd w:val="clear" w:color="auto" w:fill="F6F1E6"/>
          </w:tcPr>
          <w:p>
            <w:pPr>
              <w:spacing w:after="20"/>
              <w:jc w:val="right"/>
            </w:pPr>
            <w:r>
              <w:rPr>
                <w:b/>
                <w:color w:val="1C3A36"/>
                <w:sz w:val="16"/>
              </w:rPr>
              <w:t>6.85%</w:t>
            </w:r>
          </w:p>
        </w:tc>
        <w:tc>
          <w:tcPr>
            <w:tcW w:type="dxa" w:w="1757"/>
            <w:shd w:val="clear" w:color="auto" w:fill="F6F1E6"/>
          </w:tcPr>
          <w:p>
            <w:pPr>
              <w:spacing w:after="20"/>
              <w:jc w:val="right"/>
            </w:pPr>
            <w:r>
              <w:rPr>
                <w:b/>
                <w:color w:val="1C3A36"/>
                <w:sz w:val="16"/>
              </w:rPr>
              <w:t>5.05%</w:t>
            </w:r>
          </w:p>
        </w:tc>
        <w:tc>
          <w:tcPr>
            <w:tcW w:type="dxa" w:w="1757"/>
            <w:shd w:val="clear" w:color="auto" w:fill="F6F1E6"/>
          </w:tcPr>
          <w:p>
            <w:pPr>
              <w:spacing w:after="20"/>
              <w:jc w:val="right"/>
            </w:pPr>
            <w:r>
              <w:rPr>
                <w:b/>
                <w:color w:val="1C3A36"/>
                <w:sz w:val="16"/>
              </w:rPr>
              <w:t>6.14%</w:t>
            </w:r>
          </w:p>
        </w:tc>
        <w:tc>
          <w:tcPr>
            <w:tcW w:type="dxa" w:w="1757"/>
            <w:shd w:val="clear" w:color="auto" w:fill="F6F1E6"/>
          </w:tcPr>
          <w:p>
            <w:pPr>
              <w:spacing w:after="20"/>
              <w:jc w:val="right"/>
            </w:pPr>
            <w:r>
              <w:rPr>
                <w:b/>
                <w:color w:val="1C3A36"/>
                <w:sz w:val="16"/>
              </w:rPr>
              <w:t>10.19%</w:t>
            </w:r>
          </w:p>
        </w:tc>
      </w:tr>
      <w:tr>
        <w:tc>
          <w:tcPr>
            <w:tcW w:type="dxa" w:w="2952"/>
          </w:tcPr>
          <w:p>
            <w:pPr>
              <w:spacing w:after="20"/>
            </w:pPr>
            <w:r>
              <w:rPr>
                <w:color w:val="1C3A36"/>
                <w:sz w:val="16"/>
              </w:rPr>
              <w:t>Operating profit (EGP mn)</w:t>
            </w:r>
          </w:p>
        </w:tc>
        <w:tc>
          <w:tcPr>
            <w:tcW w:type="dxa" w:w="1757"/>
          </w:tcPr>
          <w:p>
            <w:pPr>
              <w:spacing w:after="20"/>
              <w:jc w:val="right"/>
            </w:pPr>
            <w:r>
              <w:rPr>
                <w:color w:val="1C3A36"/>
                <w:sz w:val="16"/>
              </w:rPr>
              <w:t>744</w:t>
            </w:r>
          </w:p>
        </w:tc>
        <w:tc>
          <w:tcPr>
            <w:tcW w:type="dxa" w:w="1757"/>
          </w:tcPr>
          <w:p>
            <w:pPr>
              <w:spacing w:after="20"/>
              <w:jc w:val="right"/>
            </w:pPr>
            <w:r>
              <w:rPr>
                <w:color w:val="1C3A36"/>
                <w:sz w:val="16"/>
              </w:rPr>
              <w:t>247</w:t>
            </w:r>
          </w:p>
        </w:tc>
        <w:tc>
          <w:tcPr>
            <w:tcW w:type="dxa" w:w="1757"/>
          </w:tcPr>
          <w:p>
            <w:pPr>
              <w:spacing w:after="20"/>
              <w:jc w:val="right"/>
            </w:pPr>
            <w:r>
              <w:rPr>
                <w:color w:val="1C3A36"/>
                <w:sz w:val="16"/>
              </w:rPr>
              <w:t>486</w:t>
            </w:r>
          </w:p>
        </w:tc>
        <w:tc>
          <w:tcPr>
            <w:tcW w:type="dxa" w:w="1757"/>
          </w:tcPr>
          <w:p>
            <w:pPr>
              <w:spacing w:after="20"/>
              <w:jc w:val="right"/>
            </w:pPr>
            <w:r>
              <w:rPr>
                <w:color w:val="1C3A36"/>
                <w:sz w:val="16"/>
              </w:rPr>
              <w:t>643</w:t>
            </w:r>
          </w:p>
        </w:tc>
      </w:tr>
    </w:tbl>
    <w:p>
      <w:pPr>
        <w:spacing w:after="40"/>
      </w:pPr>
    </w:p>
    <w:p>
      <w:pPr>
        <w:spacing w:after="200" w:before="0"/>
      </w:pPr>
      <w:r>
        <w:rPr>
          <w:b w:val="0"/>
          <w:i/>
          <w:color w:val="6E7B77"/>
          <w:sz w:val="17"/>
        </w:rPr>
        <w:t>Four consecutively filed periods. This is not a modelled path: it is gross profit over net sales as reported. The shape matters — 6.85% in the half to December 2024, a collapse to 5.05% in the March-2025 quarter, a recovery to 6.14% in the half to December 2025, and 10.19% in the March-2026 quarter. A business whose quarterly gross margin swings from 5% to 10% is not one whose margin can be forecast to two decimal places, and this study does not pretend otherwise.</w:t>
      </w:r>
    </w:p>
    <w:p>
      <w:pPr>
        <w:spacing w:after="80" w:before="200"/>
      </w:pPr>
      <w:r>
        <w:rPr>
          <w:b/>
          <w:i w:val="0"/>
          <w:color w:val="1C3A36"/>
          <w:sz w:val="24"/>
        </w:rPr>
        <w:t>1.4  Revenue, from the audited product table</w:t>
      </w:r>
    </w:p>
    <w:p>
      <w:pPr>
        <w:spacing w:after="120" w:before="0"/>
      </w:pPr>
      <w:r>
        <w:rPr>
          <w:b w:val="0"/>
          <w:i w:val="0"/>
          <w:color w:val="1C3A36"/>
          <w:sz w:val="21"/>
        </w:rPr>
        <w:t>Note 14-A gives eight product lines with tonnes AND value for the transition half. Every realisation in this model is one disclosed number divided by another. Nothing is reconstructed, no crude parity is invoked and no crack multiple is solved.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440"/>
        <w:gridCol w:w="1584"/>
        <w:gridCol w:w="1440"/>
        <w:gridCol w:w="1512"/>
        <w:gridCol w:w="1440"/>
      </w:tblGrid>
      <w:tr>
        <w:tc>
          <w:tcPr>
            <w:tcW w:type="dxa" w:w="2664"/>
            <w:shd w:val="clear" w:color="auto" w:fill="EAF0EE"/>
          </w:tcPr>
          <w:p>
            <w:pPr>
              <w:spacing w:after="20"/>
            </w:pPr>
            <w:r>
              <w:rPr>
                <w:b/>
                <w:color w:val="1C3A36"/>
                <w:sz w:val="16"/>
              </w:rPr>
              <w:t>Product line</w:t>
            </w:r>
          </w:p>
        </w:tc>
        <w:tc>
          <w:tcPr>
            <w:tcW w:type="dxa" w:w="1440"/>
            <w:shd w:val="clear" w:color="auto" w:fill="EAF0EE"/>
          </w:tcPr>
          <w:p>
            <w:pPr>
              <w:spacing w:after="20"/>
            </w:pPr>
            <w:r>
              <w:rPr>
                <w:b/>
                <w:color w:val="1C3A36"/>
                <w:sz w:val="16"/>
              </w:rPr>
              <w:t>Tonnes</w:t>
            </w:r>
          </w:p>
        </w:tc>
        <w:tc>
          <w:tcPr>
            <w:tcW w:type="dxa" w:w="1584"/>
            <w:shd w:val="clear" w:color="auto" w:fill="EAF0EE"/>
          </w:tcPr>
          <w:p>
            <w:pPr>
              <w:spacing w:after="20"/>
            </w:pPr>
            <w:r>
              <w:rPr>
                <w:b/>
                <w:color w:val="1C3A36"/>
                <w:sz w:val="16"/>
              </w:rPr>
              <w:t>Value (EGP mn)</w:t>
            </w:r>
          </w:p>
        </w:tc>
        <w:tc>
          <w:tcPr>
            <w:tcW w:type="dxa" w:w="1440"/>
            <w:shd w:val="clear" w:color="auto" w:fill="EAF0EE"/>
          </w:tcPr>
          <w:p>
            <w:pPr>
              <w:spacing w:after="20"/>
            </w:pPr>
            <w:r>
              <w:rPr>
                <w:b/>
                <w:color w:val="1C3A36"/>
                <w:sz w:val="16"/>
              </w:rPr>
              <w:t>EGP / tonne</w:t>
            </w:r>
          </w:p>
        </w:tc>
        <w:tc>
          <w:tcPr>
            <w:tcW w:type="dxa" w:w="1512"/>
            <w:shd w:val="clear" w:color="auto" w:fill="EAF0EE"/>
          </w:tcPr>
          <w:p>
            <w:pPr>
              <w:spacing w:after="20"/>
            </w:pPr>
            <w:r>
              <w:rPr>
                <w:b/>
                <w:color w:val="1C3A36"/>
                <w:sz w:val="16"/>
              </w:rPr>
              <w:t>Share of tonnage</w:t>
            </w:r>
          </w:p>
        </w:tc>
        <w:tc>
          <w:tcPr>
            <w:tcW w:type="dxa" w:w="1440"/>
            <w:shd w:val="clear" w:color="auto" w:fill="EAF0EE"/>
          </w:tcPr>
          <w:p>
            <w:pPr>
              <w:spacing w:after="20"/>
            </w:pPr>
            <w:r>
              <w:rPr>
                <w:b/>
                <w:color w:val="1C3A36"/>
                <w:sz w:val="16"/>
              </w:rPr>
              <w:t>Share of value</w:t>
            </w:r>
          </w:p>
        </w:tc>
      </w:tr>
      <w:tr>
        <w:tc>
          <w:tcPr>
            <w:tcW w:type="dxa" w:w="2664"/>
          </w:tcPr>
          <w:p>
            <w:pPr>
              <w:spacing w:after="20"/>
            </w:pPr>
            <w:r>
              <w:rPr>
                <w:color w:val="1C3A36"/>
                <w:sz w:val="16"/>
              </w:rPr>
              <w:t>Base and special oils</w:t>
            </w:r>
          </w:p>
        </w:tc>
        <w:tc>
          <w:tcPr>
            <w:tcW w:type="dxa" w:w="1440"/>
          </w:tcPr>
          <w:p>
            <w:pPr>
              <w:spacing w:after="20"/>
              <w:jc w:val="right"/>
            </w:pPr>
            <w:r>
              <w:rPr>
                <w:color w:val="1C3A36"/>
                <w:sz w:val="16"/>
              </w:rPr>
              <w:t>54,969</w:t>
            </w:r>
          </w:p>
        </w:tc>
        <w:tc>
          <w:tcPr>
            <w:tcW w:type="dxa" w:w="1584"/>
          </w:tcPr>
          <w:p>
            <w:pPr>
              <w:spacing w:after="20"/>
              <w:jc w:val="right"/>
            </w:pPr>
            <w:r>
              <w:rPr>
                <w:color w:val="1C3A36"/>
                <w:sz w:val="16"/>
              </w:rPr>
              <w:t>2,597</w:t>
            </w:r>
          </w:p>
        </w:tc>
        <w:tc>
          <w:tcPr>
            <w:tcW w:type="dxa" w:w="1440"/>
          </w:tcPr>
          <w:p>
            <w:pPr>
              <w:spacing w:after="20"/>
              <w:jc w:val="right"/>
            </w:pPr>
            <w:r>
              <w:rPr>
                <w:color w:val="1C3A36"/>
                <w:sz w:val="16"/>
              </w:rPr>
              <w:t>47,250</w:t>
            </w:r>
          </w:p>
        </w:tc>
        <w:tc>
          <w:tcPr>
            <w:tcW w:type="dxa" w:w="1512"/>
          </w:tcPr>
          <w:p>
            <w:pPr>
              <w:spacing w:after="20"/>
              <w:jc w:val="right"/>
            </w:pPr>
            <w:r>
              <w:rPr>
                <w:color w:val="1C3A36"/>
                <w:sz w:val="16"/>
              </w:rPr>
              <w:t>6.80%</w:t>
            </w:r>
          </w:p>
        </w:tc>
        <w:tc>
          <w:tcPr>
            <w:tcW w:type="dxa" w:w="1440"/>
          </w:tcPr>
          <w:p>
            <w:pPr>
              <w:spacing w:after="20"/>
              <w:jc w:val="right"/>
            </w:pPr>
            <w:r>
              <w:rPr>
                <w:color w:val="1C3A36"/>
                <w:sz w:val="16"/>
              </w:rPr>
              <w:t>12.53%</w:t>
            </w:r>
          </w:p>
        </w:tc>
      </w:tr>
      <w:tr>
        <w:tc>
          <w:tcPr>
            <w:tcW w:type="dxa" w:w="2664"/>
          </w:tcPr>
          <w:p>
            <w:pPr>
              <w:spacing w:after="20"/>
            </w:pPr>
            <w:r>
              <w:rPr>
                <w:color w:val="1C3A36"/>
                <w:sz w:val="16"/>
              </w:rPr>
              <w:t>Paraffin wax</w:t>
            </w:r>
          </w:p>
        </w:tc>
        <w:tc>
          <w:tcPr>
            <w:tcW w:type="dxa" w:w="1440"/>
          </w:tcPr>
          <w:p>
            <w:pPr>
              <w:spacing w:after="20"/>
              <w:jc w:val="right"/>
            </w:pPr>
            <w:r>
              <w:rPr>
                <w:color w:val="1C3A36"/>
                <w:sz w:val="16"/>
              </w:rPr>
              <w:t>41,774</w:t>
            </w:r>
          </w:p>
        </w:tc>
        <w:tc>
          <w:tcPr>
            <w:tcW w:type="dxa" w:w="1584"/>
          </w:tcPr>
          <w:p>
            <w:pPr>
              <w:spacing w:after="20"/>
              <w:jc w:val="right"/>
            </w:pPr>
            <w:r>
              <w:rPr>
                <w:color w:val="1C3A36"/>
                <w:sz w:val="16"/>
              </w:rPr>
              <w:t>2,042</w:t>
            </w:r>
          </w:p>
        </w:tc>
        <w:tc>
          <w:tcPr>
            <w:tcW w:type="dxa" w:w="1440"/>
          </w:tcPr>
          <w:p>
            <w:pPr>
              <w:spacing w:after="20"/>
              <w:jc w:val="right"/>
            </w:pPr>
            <w:r>
              <w:rPr>
                <w:color w:val="1C3A36"/>
                <w:sz w:val="16"/>
              </w:rPr>
              <w:t>48,881</w:t>
            </w:r>
          </w:p>
        </w:tc>
        <w:tc>
          <w:tcPr>
            <w:tcW w:type="dxa" w:w="1512"/>
          </w:tcPr>
          <w:p>
            <w:pPr>
              <w:spacing w:after="20"/>
              <w:jc w:val="right"/>
            </w:pPr>
            <w:r>
              <w:rPr>
                <w:color w:val="1C3A36"/>
                <w:sz w:val="16"/>
              </w:rPr>
              <w:t>5.17%</w:t>
            </w:r>
          </w:p>
        </w:tc>
        <w:tc>
          <w:tcPr>
            <w:tcW w:type="dxa" w:w="1440"/>
          </w:tcPr>
          <w:p>
            <w:pPr>
              <w:spacing w:after="20"/>
              <w:jc w:val="right"/>
            </w:pPr>
            <w:r>
              <w:rPr>
                <w:color w:val="1C3A36"/>
                <w:sz w:val="16"/>
              </w:rPr>
              <w:t>9.85%</w:t>
            </w:r>
          </w:p>
        </w:tc>
      </w:tr>
      <w:tr>
        <w:tc>
          <w:tcPr>
            <w:tcW w:type="dxa" w:w="2664"/>
          </w:tcPr>
          <w:p>
            <w:pPr>
              <w:spacing w:after="20"/>
            </w:pPr>
            <w:r>
              <w:rPr>
                <w:color w:val="1C3A36"/>
                <w:sz w:val="16"/>
              </w:rPr>
              <w:t>Gas oil</w:t>
            </w:r>
          </w:p>
        </w:tc>
        <w:tc>
          <w:tcPr>
            <w:tcW w:type="dxa" w:w="1440"/>
          </w:tcPr>
          <w:p>
            <w:pPr>
              <w:spacing w:after="20"/>
              <w:jc w:val="right"/>
            </w:pPr>
            <w:r>
              <w:rPr>
                <w:color w:val="1C3A36"/>
                <w:sz w:val="16"/>
              </w:rPr>
              <w:t>171,685</w:t>
            </w:r>
          </w:p>
        </w:tc>
        <w:tc>
          <w:tcPr>
            <w:tcW w:type="dxa" w:w="1584"/>
          </w:tcPr>
          <w:p>
            <w:pPr>
              <w:spacing w:after="20"/>
              <w:jc w:val="right"/>
            </w:pPr>
            <w:r>
              <w:rPr>
                <w:color w:val="1C3A36"/>
                <w:sz w:val="16"/>
              </w:rPr>
              <w:t>5,122</w:t>
            </w:r>
          </w:p>
        </w:tc>
        <w:tc>
          <w:tcPr>
            <w:tcW w:type="dxa" w:w="1440"/>
          </w:tcPr>
          <w:p>
            <w:pPr>
              <w:spacing w:after="20"/>
              <w:jc w:val="right"/>
            </w:pPr>
            <w:r>
              <w:rPr>
                <w:color w:val="1C3A36"/>
                <w:sz w:val="16"/>
              </w:rPr>
              <w:t>29,832</w:t>
            </w:r>
          </w:p>
        </w:tc>
        <w:tc>
          <w:tcPr>
            <w:tcW w:type="dxa" w:w="1512"/>
          </w:tcPr>
          <w:p>
            <w:pPr>
              <w:spacing w:after="20"/>
              <w:jc w:val="right"/>
            </w:pPr>
            <w:r>
              <w:rPr>
                <w:color w:val="1C3A36"/>
                <w:sz w:val="16"/>
              </w:rPr>
              <w:t>21.25%</w:t>
            </w:r>
          </w:p>
        </w:tc>
        <w:tc>
          <w:tcPr>
            <w:tcW w:type="dxa" w:w="1440"/>
          </w:tcPr>
          <w:p>
            <w:pPr>
              <w:spacing w:after="20"/>
              <w:jc w:val="right"/>
            </w:pPr>
            <w:r>
              <w:rPr>
                <w:color w:val="1C3A36"/>
                <w:sz w:val="16"/>
              </w:rPr>
              <w:t>24.70%</w:t>
            </w:r>
          </w:p>
        </w:tc>
      </w:tr>
      <w:tr>
        <w:tc>
          <w:tcPr>
            <w:tcW w:type="dxa" w:w="2664"/>
          </w:tcPr>
          <w:p>
            <w:pPr>
              <w:spacing w:after="20"/>
            </w:pPr>
            <w:r>
              <w:rPr>
                <w:color w:val="1C3A36"/>
                <w:sz w:val="16"/>
              </w:rPr>
              <w:t>Naphtha</w:t>
            </w:r>
          </w:p>
        </w:tc>
        <w:tc>
          <w:tcPr>
            <w:tcW w:type="dxa" w:w="1440"/>
          </w:tcPr>
          <w:p>
            <w:pPr>
              <w:spacing w:after="20"/>
              <w:jc w:val="right"/>
            </w:pPr>
            <w:r>
              <w:rPr>
                <w:color w:val="1C3A36"/>
                <w:sz w:val="16"/>
              </w:rPr>
              <w:t>41,431</w:t>
            </w:r>
          </w:p>
        </w:tc>
        <w:tc>
          <w:tcPr>
            <w:tcW w:type="dxa" w:w="1584"/>
          </w:tcPr>
          <w:p>
            <w:pPr>
              <w:spacing w:after="20"/>
              <w:jc w:val="right"/>
            </w:pPr>
            <w:r>
              <w:rPr>
                <w:color w:val="1C3A36"/>
                <w:sz w:val="16"/>
              </w:rPr>
              <w:t>959</w:t>
            </w:r>
          </w:p>
        </w:tc>
        <w:tc>
          <w:tcPr>
            <w:tcW w:type="dxa" w:w="1440"/>
          </w:tcPr>
          <w:p>
            <w:pPr>
              <w:spacing w:after="20"/>
              <w:jc w:val="right"/>
            </w:pPr>
            <w:r>
              <w:rPr>
                <w:color w:val="1C3A36"/>
                <w:sz w:val="16"/>
              </w:rPr>
              <w:t>23,141</w:t>
            </w:r>
          </w:p>
        </w:tc>
        <w:tc>
          <w:tcPr>
            <w:tcW w:type="dxa" w:w="1512"/>
          </w:tcPr>
          <w:p>
            <w:pPr>
              <w:spacing w:after="20"/>
              <w:jc w:val="right"/>
            </w:pPr>
            <w:r>
              <w:rPr>
                <w:color w:val="1C3A36"/>
                <w:sz w:val="16"/>
              </w:rPr>
              <w:t>5.13%</w:t>
            </w:r>
          </w:p>
        </w:tc>
        <w:tc>
          <w:tcPr>
            <w:tcW w:type="dxa" w:w="1440"/>
          </w:tcPr>
          <w:p>
            <w:pPr>
              <w:spacing w:after="20"/>
              <w:jc w:val="right"/>
            </w:pPr>
            <w:r>
              <w:rPr>
                <w:color w:val="1C3A36"/>
                <w:sz w:val="16"/>
              </w:rPr>
              <w:t>4.62%</w:t>
            </w:r>
          </w:p>
        </w:tc>
      </w:tr>
      <w:tr>
        <w:tc>
          <w:tcPr>
            <w:tcW w:type="dxa" w:w="2664"/>
          </w:tcPr>
          <w:p>
            <w:pPr>
              <w:spacing w:after="20"/>
            </w:pPr>
            <w:r>
              <w:rPr>
                <w:color w:val="1C3A36"/>
                <w:sz w:val="16"/>
              </w:rPr>
              <w:t>Liquefied petroleum gas</w:t>
            </w:r>
          </w:p>
        </w:tc>
        <w:tc>
          <w:tcPr>
            <w:tcW w:type="dxa" w:w="1440"/>
          </w:tcPr>
          <w:p>
            <w:pPr>
              <w:spacing w:after="20"/>
              <w:jc w:val="right"/>
            </w:pPr>
            <w:r>
              <w:rPr>
                <w:color w:val="1C3A36"/>
                <w:sz w:val="16"/>
              </w:rPr>
              <w:t>23,736</w:t>
            </w:r>
          </w:p>
        </w:tc>
        <w:tc>
          <w:tcPr>
            <w:tcW w:type="dxa" w:w="1584"/>
          </w:tcPr>
          <w:p>
            <w:pPr>
              <w:spacing w:after="20"/>
              <w:jc w:val="right"/>
            </w:pPr>
            <w:r>
              <w:rPr>
                <w:color w:val="1C3A36"/>
                <w:sz w:val="16"/>
              </w:rPr>
              <w:t>816</w:t>
            </w:r>
          </w:p>
        </w:tc>
        <w:tc>
          <w:tcPr>
            <w:tcW w:type="dxa" w:w="1440"/>
          </w:tcPr>
          <w:p>
            <w:pPr>
              <w:spacing w:after="20"/>
              <w:jc w:val="right"/>
            </w:pPr>
            <w:r>
              <w:rPr>
                <w:color w:val="1C3A36"/>
                <w:sz w:val="16"/>
              </w:rPr>
              <w:t>34,389</w:t>
            </w:r>
          </w:p>
        </w:tc>
        <w:tc>
          <w:tcPr>
            <w:tcW w:type="dxa" w:w="1512"/>
          </w:tcPr>
          <w:p>
            <w:pPr>
              <w:spacing w:after="20"/>
              <w:jc w:val="right"/>
            </w:pPr>
            <w:r>
              <w:rPr>
                <w:color w:val="1C3A36"/>
                <w:sz w:val="16"/>
              </w:rPr>
              <w:t>2.94%</w:t>
            </w:r>
          </w:p>
        </w:tc>
        <w:tc>
          <w:tcPr>
            <w:tcW w:type="dxa" w:w="1440"/>
          </w:tcPr>
          <w:p>
            <w:pPr>
              <w:spacing w:after="20"/>
              <w:jc w:val="right"/>
            </w:pPr>
            <w:r>
              <w:rPr>
                <w:color w:val="1C3A36"/>
                <w:sz w:val="16"/>
              </w:rPr>
              <w:t>3.94%</w:t>
            </w:r>
          </w:p>
        </w:tc>
      </w:tr>
      <w:tr>
        <w:tc>
          <w:tcPr>
            <w:tcW w:type="dxa" w:w="2664"/>
          </w:tcPr>
          <w:p>
            <w:pPr>
              <w:spacing w:after="20"/>
            </w:pPr>
            <w:r>
              <w:rPr>
                <w:color w:val="1C3A36"/>
                <w:sz w:val="16"/>
              </w:rPr>
              <w:t>Fuel oil (mix)</w:t>
            </w:r>
          </w:p>
        </w:tc>
        <w:tc>
          <w:tcPr>
            <w:tcW w:type="dxa" w:w="1440"/>
          </w:tcPr>
          <w:p>
            <w:pPr>
              <w:spacing w:after="20"/>
              <w:jc w:val="right"/>
            </w:pPr>
            <w:r>
              <w:rPr>
                <w:color w:val="1C3A36"/>
                <w:sz w:val="16"/>
              </w:rPr>
              <w:t>460,154</w:t>
            </w:r>
          </w:p>
        </w:tc>
        <w:tc>
          <w:tcPr>
            <w:tcW w:type="dxa" w:w="1584"/>
          </w:tcPr>
          <w:p>
            <w:pPr>
              <w:spacing w:after="20"/>
              <w:jc w:val="right"/>
            </w:pPr>
            <w:r>
              <w:rPr>
                <w:color w:val="1C3A36"/>
                <w:sz w:val="16"/>
              </w:rPr>
              <w:t>8,976</w:t>
            </w:r>
          </w:p>
        </w:tc>
        <w:tc>
          <w:tcPr>
            <w:tcW w:type="dxa" w:w="1440"/>
          </w:tcPr>
          <w:p>
            <w:pPr>
              <w:spacing w:after="20"/>
              <w:jc w:val="right"/>
            </w:pPr>
            <w:r>
              <w:rPr>
                <w:color w:val="1C3A36"/>
                <w:sz w:val="16"/>
              </w:rPr>
              <w:t>19,506</w:t>
            </w:r>
          </w:p>
        </w:tc>
        <w:tc>
          <w:tcPr>
            <w:tcW w:type="dxa" w:w="1512"/>
          </w:tcPr>
          <w:p>
            <w:pPr>
              <w:spacing w:after="20"/>
              <w:jc w:val="right"/>
            </w:pPr>
            <w:r>
              <w:rPr>
                <w:color w:val="1C3A36"/>
                <w:sz w:val="16"/>
              </w:rPr>
              <w:t>56.94%</w:t>
            </w:r>
          </w:p>
        </w:tc>
        <w:tc>
          <w:tcPr>
            <w:tcW w:type="dxa" w:w="1440"/>
          </w:tcPr>
          <w:p>
            <w:pPr>
              <w:spacing w:after="20"/>
              <w:jc w:val="right"/>
            </w:pPr>
            <w:r>
              <w:rPr>
                <w:color w:val="1C3A36"/>
                <w:sz w:val="16"/>
              </w:rPr>
              <w:t>43.29%</w:t>
            </w:r>
          </w:p>
        </w:tc>
      </w:tr>
      <w:tr>
        <w:tc>
          <w:tcPr>
            <w:tcW w:type="dxa" w:w="2664"/>
          </w:tcPr>
          <w:p>
            <w:pPr>
              <w:spacing w:after="20"/>
            </w:pPr>
            <w:r>
              <w:rPr>
                <w:color w:val="1C3A36"/>
                <w:sz w:val="16"/>
              </w:rPr>
              <w:t>Heavy fuel oil</w:t>
            </w:r>
          </w:p>
        </w:tc>
        <w:tc>
          <w:tcPr>
            <w:tcW w:type="dxa" w:w="1440"/>
          </w:tcPr>
          <w:p>
            <w:pPr>
              <w:spacing w:after="20"/>
              <w:jc w:val="right"/>
            </w:pPr>
            <w:r>
              <w:rPr>
                <w:color w:val="1C3A36"/>
                <w:sz w:val="16"/>
              </w:rPr>
              <w:t>14,328</w:t>
            </w:r>
          </w:p>
        </w:tc>
        <w:tc>
          <w:tcPr>
            <w:tcW w:type="dxa" w:w="1584"/>
          </w:tcPr>
          <w:p>
            <w:pPr>
              <w:spacing w:after="20"/>
              <w:jc w:val="right"/>
            </w:pPr>
            <w:r>
              <w:rPr>
                <w:color w:val="1C3A36"/>
                <w:sz w:val="16"/>
              </w:rPr>
              <w:t>224</w:t>
            </w:r>
          </w:p>
        </w:tc>
        <w:tc>
          <w:tcPr>
            <w:tcW w:type="dxa" w:w="1440"/>
          </w:tcPr>
          <w:p>
            <w:pPr>
              <w:spacing w:after="20"/>
              <w:jc w:val="right"/>
            </w:pPr>
            <w:r>
              <w:rPr>
                <w:color w:val="1C3A36"/>
                <w:sz w:val="16"/>
              </w:rPr>
              <w:t>15,642</w:t>
            </w:r>
          </w:p>
        </w:tc>
        <w:tc>
          <w:tcPr>
            <w:tcW w:type="dxa" w:w="1512"/>
          </w:tcPr>
          <w:p>
            <w:pPr>
              <w:spacing w:after="20"/>
              <w:jc w:val="right"/>
            </w:pPr>
            <w:r>
              <w:rPr>
                <w:color w:val="1C3A36"/>
                <w:sz w:val="16"/>
              </w:rPr>
              <w:t>1.77%</w:t>
            </w:r>
          </w:p>
        </w:tc>
        <w:tc>
          <w:tcPr>
            <w:tcW w:type="dxa" w:w="1440"/>
          </w:tcPr>
          <w:p>
            <w:pPr>
              <w:spacing w:after="20"/>
              <w:jc w:val="right"/>
            </w:pPr>
            <w:r>
              <w:rPr>
                <w:color w:val="1C3A36"/>
                <w:sz w:val="16"/>
              </w:rPr>
              <w:t>1.08%</w:t>
            </w:r>
          </w:p>
        </w:tc>
      </w:tr>
      <w:tr>
        <w:tc>
          <w:tcPr>
            <w:tcW w:type="dxa" w:w="2664"/>
          </w:tcPr>
          <w:p>
            <w:pPr>
              <w:spacing w:after="20"/>
            </w:pPr>
            <w:r>
              <w:rPr>
                <w:color w:val="1C3A36"/>
                <w:sz w:val="16"/>
              </w:rPr>
              <w:t>Waste</w:t>
            </w:r>
          </w:p>
        </w:tc>
        <w:tc>
          <w:tcPr>
            <w:tcW w:type="dxa" w:w="1440"/>
          </w:tcPr>
          <w:p>
            <w:pPr>
              <w:spacing w:after="20"/>
              <w:jc w:val="right"/>
            </w:pPr>
            <w:r>
              <w:rPr>
                <w:color w:val="1C3A36"/>
                <w:sz w:val="16"/>
              </w:rPr>
              <w:t>8</w:t>
            </w:r>
          </w:p>
        </w:tc>
        <w:tc>
          <w:tcPr>
            <w:tcW w:type="dxa" w:w="1584"/>
          </w:tcPr>
          <w:p>
            <w:pPr>
              <w:spacing w:after="20"/>
              <w:jc w:val="right"/>
            </w:pPr>
            <w:r>
              <w:rPr>
                <w:color w:val="1C3A36"/>
                <w:sz w:val="16"/>
              </w:rPr>
              <w:t>0</w:t>
            </w:r>
          </w:p>
        </w:tc>
        <w:tc>
          <w:tcPr>
            <w:tcW w:type="dxa" w:w="1440"/>
          </w:tcPr>
          <w:p>
            <w:pPr>
              <w:spacing w:after="20"/>
              <w:jc w:val="right"/>
            </w:pPr>
            <w:r>
              <w:rPr>
                <w:color w:val="1C3A36"/>
                <w:sz w:val="16"/>
              </w:rPr>
              <w:t>11,176</w:t>
            </w:r>
          </w:p>
        </w:tc>
        <w:tc>
          <w:tcPr>
            <w:tcW w:type="dxa" w:w="1512"/>
          </w:tcPr>
          <w:p>
            <w:pPr>
              <w:spacing w:after="20"/>
              <w:jc w:val="right"/>
            </w:pPr>
            <w:r>
              <w:rPr>
                <w:color w:val="1C3A36"/>
                <w:sz w:val="16"/>
              </w:rPr>
              <w:t>0.00%</w:t>
            </w:r>
          </w:p>
        </w:tc>
        <w:tc>
          <w:tcPr>
            <w:tcW w:type="dxa" w:w="1440"/>
          </w:tcPr>
          <w:p>
            <w:pPr>
              <w:spacing w:after="20"/>
              <w:jc w:val="right"/>
            </w:pPr>
            <w:r>
              <w:rPr>
                <w:color w:val="1C3A36"/>
                <w:sz w:val="16"/>
              </w:rPr>
              <w:t>0.00%</w:t>
            </w:r>
          </w:p>
        </w:tc>
      </w:tr>
      <w:tr>
        <w:tc>
          <w:tcPr>
            <w:tcW w:type="dxa" w:w="2664"/>
            <w:shd w:val="clear" w:color="auto" w:fill="F6F1E6"/>
          </w:tcPr>
          <w:p>
            <w:pPr>
              <w:spacing w:after="20"/>
            </w:pPr>
            <w:r>
              <w:rPr>
                <w:b/>
                <w:color w:val="1C3A36"/>
                <w:sz w:val="16"/>
              </w:rPr>
              <w:t>TOTAL</w:t>
            </w:r>
          </w:p>
        </w:tc>
        <w:tc>
          <w:tcPr>
            <w:tcW w:type="dxa" w:w="1440"/>
            <w:shd w:val="clear" w:color="auto" w:fill="F6F1E6"/>
          </w:tcPr>
          <w:p>
            <w:pPr>
              <w:spacing w:after="20"/>
              <w:jc w:val="right"/>
            </w:pPr>
            <w:r>
              <w:rPr>
                <w:b/>
                <w:color w:val="1C3A36"/>
                <w:sz w:val="16"/>
              </w:rPr>
              <w:t>808,084</w:t>
            </w:r>
          </w:p>
        </w:tc>
        <w:tc>
          <w:tcPr>
            <w:tcW w:type="dxa" w:w="1584"/>
            <w:shd w:val="clear" w:color="auto" w:fill="F6F1E6"/>
          </w:tcPr>
          <w:p>
            <w:pPr>
              <w:spacing w:after="20"/>
              <w:jc w:val="right"/>
            </w:pPr>
            <w:r>
              <w:rPr>
                <w:b/>
                <w:color w:val="1C3A36"/>
                <w:sz w:val="16"/>
              </w:rPr>
              <w:t>20,736</w:t>
            </w:r>
          </w:p>
        </w:tc>
        <w:tc>
          <w:tcPr>
            <w:tcW w:type="dxa" w:w="1440"/>
            <w:shd w:val="clear" w:color="auto" w:fill="F6F1E6"/>
          </w:tcPr>
          <w:p>
            <w:pPr>
              <w:spacing w:after="20"/>
              <w:jc w:val="right"/>
            </w:pPr>
            <w:r>
              <w:rPr>
                <w:b/>
                <w:color w:val="1C3A36"/>
                <w:sz w:val="16"/>
              </w:rPr>
              <w:t>25,660</w:t>
            </w:r>
          </w:p>
        </w:tc>
        <w:tc>
          <w:tcPr>
            <w:tcW w:type="dxa" w:w="1512"/>
            <w:shd w:val="clear" w:color="auto" w:fill="F6F1E6"/>
          </w:tcPr>
          <w:p>
            <w:pPr>
              <w:spacing w:after="20"/>
              <w:jc w:val="right"/>
            </w:pPr>
            <w:r>
              <w:rPr>
                <w:b/>
                <w:color w:val="1C3A36"/>
                <w:sz w:val="16"/>
              </w:rPr>
              <w:t>100.00%</w:t>
            </w:r>
          </w:p>
        </w:tc>
        <w:tc>
          <w:tcPr>
            <w:tcW w:type="dxa" w:w="1440"/>
            <w:shd w:val="clear" w:color="auto" w:fill="F6F1E6"/>
          </w:tcPr>
          <w:p>
            <w:pPr>
              <w:spacing w:after="20"/>
              <w:jc w:val="right"/>
            </w:pPr>
            <w:r>
              <w:rPr>
                <w:b/>
                <w:color w:val="1C3A36"/>
                <w:sz w:val="16"/>
              </w:rPr>
              <w:t>100.00%</w:t>
            </w:r>
          </w:p>
        </w:tc>
      </w:tr>
    </w:tbl>
    <w:p>
      <w:pPr>
        <w:spacing w:after="40"/>
      </w:pPr>
    </w:p>
    <w:p>
      <w:pPr>
        <w:spacing w:after="200" w:before="0"/>
      </w:pPr>
      <w:r>
        <w:rPr>
          <w:b w:val="0"/>
          <w:i/>
          <w:color w:val="6E7B77"/>
          <w:sz w:val="17"/>
        </w:rPr>
        <w:t>The specialty slate — base and special oils plus paraffin wax — is 11.97% of the tonnage and 22.37% of the value. That gap is the whole investment case for the mix. Fuel oil (mix) is 56.9% of tonnage at EGP 19,506 a tonne against EGP 47,250 for oils and EGP 48,881 for wax.</w:t>
      </w:r>
    </w:p>
    <w:p>
      <w:pPr>
        <w:spacing w:after="120" w:before="0"/>
      </w:pPr>
      <w:r>
        <w:rPr>
          <w:b w:val="0"/>
          <w:i w:val="0"/>
          <w:color w:val="1C3A36"/>
          <w:sz w:val="21"/>
        </w:rPr>
        <w:t>Half-on-half value growth by line, against the December-2024 comparative in the same note: Base and special oils +2.8% · Paraffin wax +21.3% · Gas oil -1.9% · Naphtha -7.3% · Liquefied petroleum gas +18.7% · Fuel oil (mix) +29.1% · Heavy fuel oil +60.7%. Wax and fuel oil led; gas oil and naphtha both FELL. The forecast volume ranking is taken from that measured record rather than from a view, and the levels are struck well below those half-on-half rates because a single half is not a trend.</w:t>
      </w:r>
    </w:p>
    <w:p>
      <w:pPr>
        <w:spacing w:after="40"/>
        <w:jc w:val="center"/>
      </w:pPr>
      <w:r>
        <w:drawing>
          <wp:inline xmlns:a="http://schemas.openxmlformats.org/drawingml/2006/main" xmlns:pic="http://schemas.openxmlformats.org/drawingml/2006/picture">
            <wp:extent cx="6309360" cy="2676698"/>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2676698"/>
                    </a:xfrm>
                    <a:prstGeom prst="rect"/>
                  </pic:spPr>
                </pic:pic>
              </a:graphicData>
            </a:graphic>
          </wp:inline>
        </w:drawing>
      </w:r>
    </w:p>
    <w:p>
      <w:pPr>
        <w:spacing w:after="200" w:before="0"/>
      </w:pPr>
      <w:r>
        <w:rPr>
          <w:b w:val="0"/>
          <w:i/>
          <w:color w:val="6E7B77"/>
          <w:sz w:val="17"/>
        </w:rPr>
        <w:t>Figure 2 — revenue by audited product line, with the gross margin on the right axis: the base year as filed, then the forecast.</w:t>
      </w:r>
    </w:p>
    <w:p>
      <w:pPr>
        <w:spacing w:after="80" w:before="200"/>
      </w:pPr>
      <w:r>
        <w:rPr>
          <w:b/>
          <w:i w:val="0"/>
          <w:color w:val="1C3A36"/>
          <w:sz w:val="24"/>
        </w:rPr>
        <w:t>1.5  Cost of sales, as filed — and what it says about the business</w:t>
      </w:r>
    </w:p>
    <w:p>
      <w:pPr>
        <w:spacing w:after="120" w:before="0"/>
      </w:pPr>
      <w:r>
        <w:rPr>
          <w:b w:val="0"/>
          <w:i w:val="0"/>
          <w:color w:val="1C3A36"/>
          <w:sz w:val="21"/>
        </w:rPr>
        <w:t>Note 15-A splits cost of sales five ways. No part of it is built, estimated or solved.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1728"/>
        <w:gridCol w:w="1584"/>
        <w:gridCol w:w="1512"/>
      </w:tblGrid>
      <w:tr>
        <w:tc>
          <w:tcPr>
            <w:tcW w:type="dxa" w:w="3528"/>
            <w:shd w:val="clear" w:color="auto" w:fill="EAF0EE"/>
          </w:tcPr>
          <w:p>
            <w:pPr>
              <w:spacing w:after="20"/>
            </w:pPr>
            <w:r>
              <w:rPr>
                <w:b/>
                <w:color w:val="1C3A36"/>
                <w:sz w:val="16"/>
              </w:rPr>
              <w:t>Component</w:t>
            </w:r>
          </w:p>
        </w:tc>
        <w:tc>
          <w:tcPr>
            <w:tcW w:type="dxa" w:w="1728"/>
            <w:shd w:val="clear" w:color="auto" w:fill="EAF0EE"/>
          </w:tcPr>
          <w:p>
            <w:pPr>
              <w:spacing w:after="20"/>
            </w:pPr>
            <w:r>
              <w:rPr>
                <w:b/>
                <w:color w:val="1C3A36"/>
                <w:sz w:val="16"/>
              </w:rPr>
              <w:t>6M to Dec-2025 (EGP mn)</w:t>
            </w:r>
          </w:p>
        </w:tc>
        <w:tc>
          <w:tcPr>
            <w:tcW w:type="dxa" w:w="1728"/>
            <w:shd w:val="clear" w:color="auto" w:fill="EAF0EE"/>
          </w:tcPr>
          <w:p>
            <w:pPr>
              <w:spacing w:after="20"/>
            </w:pPr>
            <w:r>
              <w:rPr>
                <w:b/>
                <w:color w:val="1C3A36"/>
                <w:sz w:val="16"/>
              </w:rPr>
              <w:t>6M to Dec-2024 (EGP mn)</w:t>
            </w:r>
          </w:p>
        </w:tc>
        <w:tc>
          <w:tcPr>
            <w:tcW w:type="dxa" w:w="1584"/>
            <w:shd w:val="clear" w:color="auto" w:fill="EAF0EE"/>
          </w:tcPr>
          <w:p>
            <w:pPr>
              <w:spacing w:after="20"/>
            </w:pPr>
            <w:r>
              <w:rPr>
                <w:b/>
                <w:color w:val="1C3A36"/>
                <w:sz w:val="16"/>
              </w:rPr>
              <w:t>Share of cost of sales</w:t>
            </w:r>
          </w:p>
        </w:tc>
        <w:tc>
          <w:tcPr>
            <w:tcW w:type="dxa" w:w="1512"/>
            <w:shd w:val="clear" w:color="auto" w:fill="EAF0EE"/>
          </w:tcPr>
          <w:p>
            <w:pPr>
              <w:spacing w:after="20"/>
            </w:pPr>
            <w:r>
              <w:rPr>
                <w:b/>
                <w:color w:val="1C3A36"/>
                <w:sz w:val="16"/>
              </w:rPr>
              <w:t>Share of net sales</w:t>
            </w:r>
          </w:p>
        </w:tc>
      </w:tr>
      <w:tr>
        <w:tc>
          <w:tcPr>
            <w:tcW w:type="dxa" w:w="3528"/>
          </w:tcPr>
          <w:p>
            <w:pPr>
              <w:spacing w:after="20"/>
            </w:pPr>
            <w:r>
              <w:rPr>
                <w:color w:val="1C3A36"/>
                <w:sz w:val="16"/>
              </w:rPr>
              <w:t>Raw materials</w:t>
            </w:r>
          </w:p>
        </w:tc>
        <w:tc>
          <w:tcPr>
            <w:tcW w:type="dxa" w:w="1728"/>
          </w:tcPr>
          <w:p>
            <w:pPr>
              <w:spacing w:after="20"/>
              <w:jc w:val="right"/>
            </w:pPr>
            <w:r>
              <w:rPr>
                <w:color w:val="1C3A36"/>
                <w:sz w:val="16"/>
              </w:rPr>
              <w:t>17,650</w:t>
            </w:r>
          </w:p>
        </w:tc>
        <w:tc>
          <w:tcPr>
            <w:tcW w:type="dxa" w:w="1728"/>
          </w:tcPr>
          <w:p>
            <w:pPr>
              <w:spacing w:after="20"/>
              <w:jc w:val="right"/>
            </w:pPr>
            <w:r>
              <w:rPr>
                <w:color w:val="1C3A36"/>
                <w:sz w:val="16"/>
              </w:rPr>
              <w:t>15,597</w:t>
            </w:r>
          </w:p>
        </w:tc>
        <w:tc>
          <w:tcPr>
            <w:tcW w:type="dxa" w:w="1584"/>
          </w:tcPr>
          <w:p>
            <w:pPr>
              <w:spacing w:after="20"/>
              <w:jc w:val="right"/>
            </w:pPr>
            <w:r>
              <w:rPr>
                <w:color w:val="1C3A36"/>
                <w:sz w:val="16"/>
              </w:rPr>
              <w:t>90.69%</w:t>
            </w:r>
          </w:p>
        </w:tc>
        <w:tc>
          <w:tcPr>
            <w:tcW w:type="dxa" w:w="1512"/>
          </w:tcPr>
          <w:p>
            <w:pPr>
              <w:spacing w:after="20"/>
              <w:jc w:val="right"/>
            </w:pPr>
            <w:r>
              <w:rPr>
                <w:color w:val="1C3A36"/>
                <w:sz w:val="16"/>
              </w:rPr>
              <w:t>85.12%</w:t>
            </w:r>
          </w:p>
        </w:tc>
      </w:tr>
      <w:tr>
        <w:tc>
          <w:tcPr>
            <w:tcW w:type="dxa" w:w="3528"/>
          </w:tcPr>
          <w:p>
            <w:pPr>
              <w:spacing w:after="20"/>
            </w:pPr>
            <w:r>
              <w:rPr>
                <w:color w:val="1C3A36"/>
                <w:sz w:val="16"/>
              </w:rPr>
              <w:t>Salaries</w:t>
            </w:r>
          </w:p>
        </w:tc>
        <w:tc>
          <w:tcPr>
            <w:tcW w:type="dxa" w:w="1728"/>
          </w:tcPr>
          <w:p>
            <w:pPr>
              <w:spacing w:after="20"/>
              <w:jc w:val="right"/>
            </w:pPr>
            <w:r>
              <w:rPr>
                <w:color w:val="1C3A36"/>
                <w:sz w:val="16"/>
              </w:rPr>
              <w:t>881</w:t>
            </w:r>
          </w:p>
        </w:tc>
        <w:tc>
          <w:tcPr>
            <w:tcW w:type="dxa" w:w="1728"/>
          </w:tcPr>
          <w:p>
            <w:pPr>
              <w:spacing w:after="20"/>
              <w:jc w:val="right"/>
            </w:pPr>
            <w:r>
              <w:rPr>
                <w:color w:val="1C3A36"/>
                <w:sz w:val="16"/>
              </w:rPr>
              <w:t>635</w:t>
            </w:r>
          </w:p>
        </w:tc>
        <w:tc>
          <w:tcPr>
            <w:tcW w:type="dxa" w:w="1584"/>
          </w:tcPr>
          <w:p>
            <w:pPr>
              <w:spacing w:after="20"/>
              <w:jc w:val="right"/>
            </w:pPr>
            <w:r>
              <w:rPr>
                <w:color w:val="1C3A36"/>
                <w:sz w:val="16"/>
              </w:rPr>
              <w:t>4.53%</w:t>
            </w:r>
          </w:p>
        </w:tc>
        <w:tc>
          <w:tcPr>
            <w:tcW w:type="dxa" w:w="1512"/>
          </w:tcPr>
          <w:p>
            <w:pPr>
              <w:spacing w:after="20"/>
              <w:jc w:val="right"/>
            </w:pPr>
            <w:r>
              <w:rPr>
                <w:color w:val="1C3A36"/>
                <w:sz w:val="16"/>
              </w:rPr>
              <w:t>4.25%</w:t>
            </w:r>
          </w:p>
        </w:tc>
      </w:tr>
      <w:tr>
        <w:tc>
          <w:tcPr>
            <w:tcW w:type="dxa" w:w="3528"/>
          </w:tcPr>
          <w:p>
            <w:pPr>
              <w:spacing w:after="20"/>
            </w:pPr>
            <w:r>
              <w:rPr>
                <w:color w:val="1C3A36"/>
                <w:sz w:val="16"/>
              </w:rPr>
              <w:t>Other — natural gas, electricity, water, spare parts, maintenance, EPROM contract</w:t>
            </w:r>
          </w:p>
        </w:tc>
        <w:tc>
          <w:tcPr>
            <w:tcW w:type="dxa" w:w="1728"/>
          </w:tcPr>
          <w:p>
            <w:pPr>
              <w:spacing w:after="20"/>
              <w:jc w:val="right"/>
            </w:pPr>
            <w:r>
              <w:rPr>
                <w:color w:val="1C3A36"/>
                <w:sz w:val="16"/>
              </w:rPr>
              <w:t>807</w:t>
            </w:r>
          </w:p>
        </w:tc>
        <w:tc>
          <w:tcPr>
            <w:tcW w:type="dxa" w:w="1728"/>
          </w:tcPr>
          <w:p>
            <w:pPr>
              <w:spacing w:after="20"/>
              <w:jc w:val="right"/>
            </w:pPr>
            <w:r>
              <w:rPr>
                <w:color w:val="1C3A36"/>
                <w:sz w:val="16"/>
              </w:rPr>
              <w:t>642</w:t>
            </w:r>
          </w:p>
        </w:tc>
        <w:tc>
          <w:tcPr>
            <w:tcW w:type="dxa" w:w="1584"/>
          </w:tcPr>
          <w:p>
            <w:pPr>
              <w:spacing w:after="20"/>
              <w:jc w:val="right"/>
            </w:pPr>
            <w:r>
              <w:rPr>
                <w:color w:val="1C3A36"/>
                <w:sz w:val="16"/>
              </w:rPr>
              <w:t>4.15%</w:t>
            </w:r>
          </w:p>
        </w:tc>
        <w:tc>
          <w:tcPr>
            <w:tcW w:type="dxa" w:w="1512"/>
          </w:tcPr>
          <w:p>
            <w:pPr>
              <w:spacing w:after="20"/>
              <w:jc w:val="right"/>
            </w:pPr>
            <w:r>
              <w:rPr>
                <w:color w:val="1C3A36"/>
                <w:sz w:val="16"/>
              </w:rPr>
              <w:t>3.89%</w:t>
            </w:r>
          </w:p>
        </w:tc>
      </w:tr>
      <w:tr>
        <w:tc>
          <w:tcPr>
            <w:tcW w:type="dxa" w:w="3528"/>
          </w:tcPr>
          <w:p>
            <w:pPr>
              <w:spacing w:after="20"/>
            </w:pPr>
            <w:r>
              <w:rPr>
                <w:color w:val="1C3A36"/>
                <w:sz w:val="16"/>
              </w:rPr>
              <w:t>Supporting materials (chemicals and additives)</w:t>
            </w:r>
          </w:p>
        </w:tc>
        <w:tc>
          <w:tcPr>
            <w:tcW w:type="dxa" w:w="1728"/>
          </w:tcPr>
          <w:p>
            <w:pPr>
              <w:spacing w:after="20"/>
              <w:jc w:val="right"/>
            </w:pPr>
            <w:r>
              <w:rPr>
                <w:color w:val="1C3A36"/>
                <w:sz w:val="16"/>
              </w:rPr>
              <w:t>65</w:t>
            </w:r>
          </w:p>
        </w:tc>
        <w:tc>
          <w:tcPr>
            <w:tcW w:type="dxa" w:w="1728"/>
          </w:tcPr>
          <w:p>
            <w:pPr>
              <w:spacing w:after="20"/>
              <w:jc w:val="right"/>
            </w:pPr>
            <w:r>
              <w:rPr>
                <w:color w:val="1C3A36"/>
                <w:sz w:val="16"/>
              </w:rPr>
              <w:t>68</w:t>
            </w:r>
          </w:p>
        </w:tc>
        <w:tc>
          <w:tcPr>
            <w:tcW w:type="dxa" w:w="1584"/>
          </w:tcPr>
          <w:p>
            <w:pPr>
              <w:spacing w:after="20"/>
              <w:jc w:val="right"/>
            </w:pPr>
            <w:r>
              <w:rPr>
                <w:color w:val="1C3A36"/>
                <w:sz w:val="16"/>
              </w:rPr>
              <w:t>0.33%</w:t>
            </w:r>
          </w:p>
        </w:tc>
        <w:tc>
          <w:tcPr>
            <w:tcW w:type="dxa" w:w="1512"/>
          </w:tcPr>
          <w:p>
            <w:pPr>
              <w:spacing w:after="20"/>
              <w:jc w:val="right"/>
            </w:pPr>
            <w:r>
              <w:rPr>
                <w:color w:val="1C3A36"/>
                <w:sz w:val="16"/>
              </w:rPr>
              <w:t>0.31%</w:t>
            </w:r>
          </w:p>
        </w:tc>
      </w:tr>
      <w:tr>
        <w:tc>
          <w:tcPr>
            <w:tcW w:type="dxa" w:w="3528"/>
          </w:tcPr>
          <w:p>
            <w:pPr>
              <w:spacing w:after="20"/>
            </w:pPr>
            <w:r>
              <w:rPr>
                <w:color w:val="1C3A36"/>
                <w:sz w:val="16"/>
              </w:rPr>
              <w:t>Depreciation</w:t>
            </w:r>
          </w:p>
        </w:tc>
        <w:tc>
          <w:tcPr>
            <w:tcW w:type="dxa" w:w="1728"/>
          </w:tcPr>
          <w:p>
            <w:pPr>
              <w:spacing w:after="20"/>
              <w:jc w:val="right"/>
            </w:pPr>
            <w:r>
              <w:rPr>
                <w:color w:val="1C3A36"/>
                <w:sz w:val="16"/>
              </w:rPr>
              <w:t>59</w:t>
            </w:r>
          </w:p>
        </w:tc>
        <w:tc>
          <w:tcPr>
            <w:tcW w:type="dxa" w:w="1728"/>
          </w:tcPr>
          <w:p>
            <w:pPr>
              <w:spacing w:after="20"/>
              <w:jc w:val="right"/>
            </w:pPr>
            <w:r>
              <w:rPr>
                <w:color w:val="1C3A36"/>
                <w:sz w:val="16"/>
              </w:rPr>
              <w:t>54</w:t>
            </w:r>
          </w:p>
        </w:tc>
        <w:tc>
          <w:tcPr>
            <w:tcW w:type="dxa" w:w="1584"/>
          </w:tcPr>
          <w:p>
            <w:pPr>
              <w:spacing w:after="20"/>
              <w:jc w:val="right"/>
            </w:pPr>
            <w:r>
              <w:rPr>
                <w:color w:val="1C3A36"/>
                <w:sz w:val="16"/>
              </w:rPr>
              <w:t>0.30%</w:t>
            </w:r>
          </w:p>
        </w:tc>
        <w:tc>
          <w:tcPr>
            <w:tcW w:type="dxa" w:w="1512"/>
          </w:tcPr>
          <w:p>
            <w:pPr>
              <w:spacing w:after="20"/>
              <w:jc w:val="right"/>
            </w:pPr>
            <w:r>
              <w:rPr>
                <w:color w:val="1C3A36"/>
                <w:sz w:val="16"/>
              </w:rPr>
              <w:t>0.28%</w:t>
            </w:r>
          </w:p>
        </w:tc>
      </w:tr>
      <w:tr>
        <w:tc>
          <w:tcPr>
            <w:tcW w:type="dxa" w:w="3528"/>
            <w:shd w:val="clear" w:color="auto" w:fill="F6F1E6"/>
          </w:tcPr>
          <w:p>
            <w:pPr>
              <w:spacing w:after="20"/>
            </w:pPr>
            <w:r>
              <w:rPr>
                <w:b/>
                <w:color w:val="1C3A36"/>
                <w:sz w:val="16"/>
              </w:rPr>
              <w:t>COST OF SALES</w:t>
            </w:r>
          </w:p>
        </w:tc>
        <w:tc>
          <w:tcPr>
            <w:tcW w:type="dxa" w:w="1728"/>
            <w:shd w:val="clear" w:color="auto" w:fill="F6F1E6"/>
          </w:tcPr>
          <w:p>
            <w:pPr>
              <w:spacing w:after="20"/>
              <w:jc w:val="right"/>
            </w:pPr>
            <w:r>
              <w:rPr>
                <w:b/>
                <w:color w:val="1C3A36"/>
                <w:sz w:val="16"/>
              </w:rPr>
              <w:t>19,462</w:t>
            </w:r>
          </w:p>
        </w:tc>
        <w:tc>
          <w:tcPr>
            <w:tcW w:type="dxa" w:w="1728"/>
            <w:shd w:val="clear" w:color="auto" w:fill="F6F1E6"/>
          </w:tcPr>
          <w:p>
            <w:pPr>
              <w:spacing w:after="20"/>
              <w:jc w:val="right"/>
            </w:pPr>
            <w:r>
              <w:rPr>
                <w:b/>
                <w:color w:val="1C3A36"/>
                <w:sz w:val="16"/>
              </w:rPr>
              <w:t>16,995</w:t>
            </w:r>
          </w:p>
        </w:tc>
        <w:tc>
          <w:tcPr>
            <w:tcW w:type="dxa" w:w="1584"/>
            <w:shd w:val="clear" w:color="auto" w:fill="F6F1E6"/>
          </w:tcPr>
          <w:p>
            <w:pPr>
              <w:spacing w:after="20"/>
              <w:jc w:val="right"/>
            </w:pPr>
            <w:r>
              <w:rPr>
                <w:b/>
                <w:color w:val="1C3A36"/>
                <w:sz w:val="16"/>
              </w:rPr>
              <w:t>100.00%</w:t>
            </w:r>
          </w:p>
        </w:tc>
        <w:tc>
          <w:tcPr>
            <w:tcW w:type="dxa" w:w="1512"/>
            <w:shd w:val="clear" w:color="auto" w:fill="F6F1E6"/>
          </w:tcPr>
          <w:p>
            <w:pPr>
              <w:spacing w:after="20"/>
              <w:jc w:val="right"/>
            </w:pPr>
            <w:r>
              <w:rPr>
                <w:b/>
                <w:color w:val="1C3A36"/>
                <w:sz w:val="16"/>
              </w:rPr>
              <w:t>93.86%</w:t>
            </w:r>
          </w:p>
        </w:tc>
      </w:tr>
    </w:tbl>
    <w:p>
      <w:pPr>
        <w:spacing w:after="40"/>
      </w:pPr>
    </w:p>
    <w:p>
      <w:pPr>
        <w:spacing w:after="200" w:before="0"/>
      </w:pPr>
      <w:r>
        <w:rPr>
          <w:b w:val="0"/>
          <w:i/>
          <w:color w:val="6E7B77"/>
          <w:sz w:val="17"/>
        </w:rPr>
        <w:t>Raw materials are 90.7% of cost of sales and 85.1% of net sales. Everything else together is 9.3% of cost. This is a pass-through processor, and the previous edition's attempt to build the stack from yields and energy intensity produced a chemicals charge roughly five times the disclosed figure and carried NO salaries line inside cost of sales at all — against an actual EGP 881mn in the half.</w:t>
      </w:r>
    </w:p>
    <w:p>
      <w:pPr>
        <w:spacing w:after="120" w:before="0"/>
      </w:pPr>
      <w:r>
        <w:rPr>
          <w:b w:val="0"/>
          <w:i w:val="0"/>
          <w:color w:val="1C3A36"/>
          <w:sz w:val="21"/>
        </w:rPr>
        <w:t>The forecast keeps that composition and moves each component the way its own economics dictate: raw materials and supporting materials are PASS-THROUGH and move with volume and realisation; salaries and the other line are POUND-DENOMINATED and inflate; depreciation is the asset-register charge. The gross margin is what falls out. It is not a path and it is not an input.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54"/>
        <w:gridCol w:w="1354"/>
        <w:gridCol w:w="1354"/>
        <w:gridCol w:w="1354"/>
        <w:gridCol w:w="1354"/>
      </w:tblGrid>
      <w:tr>
        <w:tc>
          <w:tcPr>
            <w:tcW w:type="dxa" w:w="3168"/>
            <w:shd w:val="clear" w:color="auto" w:fill="EAF0EE"/>
          </w:tcPr>
          <w:p>
            <w:pPr>
              <w:spacing w:after="20"/>
            </w:pPr>
            <w:r>
              <w:rPr>
                <w:b/>
                <w:color w:val="1C3A36"/>
                <w:sz w:val="16"/>
              </w:rPr>
            </w:r>
          </w:p>
        </w:tc>
        <w:tc>
          <w:tcPr>
            <w:tcW w:type="dxa" w:w="1354"/>
            <w:shd w:val="clear" w:color="auto" w:fill="EAF0EE"/>
          </w:tcPr>
          <w:p>
            <w:pPr>
              <w:spacing w:after="20"/>
            </w:pPr>
            <w:r>
              <w:rPr>
                <w:b/>
                <w:color w:val="1C3A36"/>
                <w:sz w:val="16"/>
              </w:rPr>
              <w:t>2026</w:t>
            </w:r>
          </w:p>
        </w:tc>
        <w:tc>
          <w:tcPr>
            <w:tcW w:type="dxa" w:w="1354"/>
            <w:shd w:val="clear" w:color="auto" w:fill="EAF0EE"/>
          </w:tcPr>
          <w:p>
            <w:pPr>
              <w:spacing w:after="20"/>
            </w:pPr>
            <w:r>
              <w:rPr>
                <w:b/>
                <w:color w:val="1C3A36"/>
                <w:sz w:val="16"/>
              </w:rPr>
              <w:t>2027</w:t>
            </w:r>
          </w:p>
        </w:tc>
        <w:tc>
          <w:tcPr>
            <w:tcW w:type="dxa" w:w="1354"/>
            <w:shd w:val="clear" w:color="auto" w:fill="EAF0EE"/>
          </w:tcPr>
          <w:p>
            <w:pPr>
              <w:spacing w:after="20"/>
            </w:pPr>
            <w:r>
              <w:rPr>
                <w:b/>
                <w:color w:val="1C3A36"/>
                <w:sz w:val="16"/>
              </w:rPr>
              <w:t>2028</w:t>
            </w:r>
          </w:p>
        </w:tc>
        <w:tc>
          <w:tcPr>
            <w:tcW w:type="dxa" w:w="1354"/>
            <w:shd w:val="clear" w:color="auto" w:fill="EAF0EE"/>
          </w:tcPr>
          <w:p>
            <w:pPr>
              <w:spacing w:after="20"/>
            </w:pPr>
            <w:r>
              <w:rPr>
                <w:b/>
                <w:color w:val="1C3A36"/>
                <w:sz w:val="16"/>
              </w:rPr>
              <w:t>2029</w:t>
            </w:r>
          </w:p>
        </w:tc>
        <w:tc>
          <w:tcPr>
            <w:tcW w:type="dxa" w:w="1354"/>
            <w:shd w:val="clear" w:color="auto" w:fill="EAF0EE"/>
          </w:tcPr>
          <w:p>
            <w:pPr>
              <w:spacing w:after="20"/>
            </w:pPr>
            <w:r>
              <w:rPr>
                <w:b/>
                <w:color w:val="1C3A36"/>
                <w:sz w:val="16"/>
              </w:rPr>
              <w:t>2030</w:t>
            </w:r>
          </w:p>
        </w:tc>
      </w:tr>
      <w:tr>
        <w:tc>
          <w:tcPr>
            <w:tcW w:type="dxa" w:w="3168"/>
          </w:tcPr>
          <w:p>
            <w:pPr>
              <w:spacing w:after="20"/>
            </w:pPr>
            <w:r>
              <w:rPr>
                <w:color w:val="1C3A36"/>
                <w:sz w:val="16"/>
              </w:rPr>
              <w:t>Revenue (EGP mn)</w:t>
            </w:r>
          </w:p>
        </w:tc>
        <w:tc>
          <w:tcPr>
            <w:tcW w:type="dxa" w:w="1354"/>
          </w:tcPr>
          <w:p>
            <w:pPr>
              <w:spacing w:after="20"/>
              <w:jc w:val="right"/>
            </w:pPr>
            <w:r>
              <w:rPr>
                <w:color w:val="1C3A36"/>
                <w:sz w:val="16"/>
              </w:rPr>
              <w:t>46,666</w:t>
            </w:r>
          </w:p>
        </w:tc>
        <w:tc>
          <w:tcPr>
            <w:tcW w:type="dxa" w:w="1354"/>
          </w:tcPr>
          <w:p>
            <w:pPr>
              <w:spacing w:after="20"/>
              <w:jc w:val="right"/>
            </w:pPr>
            <w:r>
              <w:rPr>
                <w:color w:val="1C3A36"/>
                <w:sz w:val="16"/>
              </w:rPr>
              <w:t>51,604</w:t>
            </w:r>
          </w:p>
        </w:tc>
        <w:tc>
          <w:tcPr>
            <w:tcW w:type="dxa" w:w="1354"/>
          </w:tcPr>
          <w:p>
            <w:pPr>
              <w:spacing w:after="20"/>
              <w:jc w:val="right"/>
            </w:pPr>
            <w:r>
              <w:rPr>
                <w:color w:val="1C3A36"/>
                <w:sz w:val="16"/>
              </w:rPr>
              <w:t>56,321</w:t>
            </w:r>
          </w:p>
        </w:tc>
        <w:tc>
          <w:tcPr>
            <w:tcW w:type="dxa" w:w="1354"/>
          </w:tcPr>
          <w:p>
            <w:pPr>
              <w:spacing w:after="20"/>
              <w:jc w:val="right"/>
            </w:pPr>
            <w:r>
              <w:rPr>
                <w:color w:val="1C3A36"/>
                <w:sz w:val="16"/>
              </w:rPr>
              <w:t>60,895</w:t>
            </w:r>
          </w:p>
        </w:tc>
        <w:tc>
          <w:tcPr>
            <w:tcW w:type="dxa" w:w="1354"/>
          </w:tcPr>
          <w:p>
            <w:pPr>
              <w:spacing w:after="20"/>
              <w:jc w:val="right"/>
            </w:pPr>
            <w:r>
              <w:rPr>
                <w:color w:val="1C3A36"/>
                <w:sz w:val="16"/>
              </w:rPr>
              <w:t>65,333</w:t>
            </w:r>
          </w:p>
        </w:tc>
      </w:tr>
      <w:tr>
        <w:tc>
          <w:tcPr>
            <w:tcW w:type="dxa" w:w="3168"/>
          </w:tcPr>
          <w:p>
            <w:pPr>
              <w:spacing w:after="20"/>
            </w:pPr>
            <w:r>
              <w:rPr>
                <w:color w:val="1C3A36"/>
                <w:sz w:val="16"/>
              </w:rPr>
              <w:t>Cost of sales (EGP mn)</w:t>
            </w:r>
          </w:p>
        </w:tc>
        <w:tc>
          <w:tcPr>
            <w:tcW w:type="dxa" w:w="1354"/>
          </w:tcPr>
          <w:p>
            <w:pPr>
              <w:spacing w:after="20"/>
              <w:jc w:val="right"/>
            </w:pPr>
            <w:r>
              <w:rPr>
                <w:color w:val="1C3A36"/>
                <w:sz w:val="16"/>
              </w:rPr>
              <w:t>(43,319)</w:t>
            </w:r>
          </w:p>
        </w:tc>
        <w:tc>
          <w:tcPr>
            <w:tcW w:type="dxa" w:w="1354"/>
          </w:tcPr>
          <w:p>
            <w:pPr>
              <w:spacing w:after="20"/>
              <w:jc w:val="right"/>
            </w:pPr>
            <w:r>
              <w:rPr>
                <w:color w:val="1C3A36"/>
                <w:sz w:val="16"/>
              </w:rPr>
              <w:t>(47,895)</w:t>
            </w:r>
          </w:p>
        </w:tc>
        <w:tc>
          <w:tcPr>
            <w:tcW w:type="dxa" w:w="1354"/>
          </w:tcPr>
          <w:p>
            <w:pPr>
              <w:spacing w:after="20"/>
              <w:jc w:val="right"/>
            </w:pPr>
            <w:r>
              <w:rPr>
                <w:color w:val="1C3A36"/>
                <w:sz w:val="16"/>
              </w:rPr>
              <w:t>(52,280)</w:t>
            </w:r>
          </w:p>
        </w:tc>
        <w:tc>
          <w:tcPr>
            <w:tcW w:type="dxa" w:w="1354"/>
          </w:tcPr>
          <w:p>
            <w:pPr>
              <w:spacing w:after="20"/>
              <w:jc w:val="right"/>
            </w:pPr>
            <w:r>
              <w:rPr>
                <w:color w:val="1C3A36"/>
                <w:sz w:val="16"/>
              </w:rPr>
              <w:t>(56,538)</w:t>
            </w:r>
          </w:p>
        </w:tc>
        <w:tc>
          <w:tcPr>
            <w:tcW w:type="dxa" w:w="1354"/>
          </w:tcPr>
          <w:p>
            <w:pPr>
              <w:spacing w:after="20"/>
              <w:jc w:val="right"/>
            </w:pPr>
            <w:r>
              <w:rPr>
                <w:color w:val="1C3A36"/>
                <w:sz w:val="16"/>
              </w:rPr>
              <w:t>(60,701)</w:t>
            </w:r>
          </w:p>
        </w:tc>
      </w:tr>
      <w:tr>
        <w:tc>
          <w:tcPr>
            <w:tcW w:type="dxa" w:w="3168"/>
            <w:shd w:val="clear" w:color="auto" w:fill="F6F1E6"/>
          </w:tcPr>
          <w:p>
            <w:pPr>
              <w:spacing w:after="20"/>
            </w:pPr>
            <w:r>
              <w:rPr>
                <w:b/>
                <w:color w:val="1C3A36"/>
                <w:sz w:val="16"/>
              </w:rPr>
              <w:t>GROSS MARGIN — an output</w:t>
            </w:r>
          </w:p>
        </w:tc>
        <w:tc>
          <w:tcPr>
            <w:tcW w:type="dxa" w:w="1354"/>
            <w:shd w:val="clear" w:color="auto" w:fill="F6F1E6"/>
          </w:tcPr>
          <w:p>
            <w:pPr>
              <w:spacing w:after="20"/>
              <w:jc w:val="right"/>
            </w:pPr>
            <w:r>
              <w:rPr>
                <w:b/>
                <w:color w:val="1C3A36"/>
                <w:sz w:val="16"/>
              </w:rPr>
              <w:t>7.17%</w:t>
            </w:r>
          </w:p>
        </w:tc>
        <w:tc>
          <w:tcPr>
            <w:tcW w:type="dxa" w:w="1354"/>
            <w:shd w:val="clear" w:color="auto" w:fill="F6F1E6"/>
          </w:tcPr>
          <w:p>
            <w:pPr>
              <w:spacing w:after="20"/>
              <w:jc w:val="right"/>
            </w:pPr>
            <w:r>
              <w:rPr>
                <w:b/>
                <w:color w:val="1C3A36"/>
                <w:sz w:val="16"/>
              </w:rPr>
              <w:t>7.19%</w:t>
            </w:r>
          </w:p>
        </w:tc>
        <w:tc>
          <w:tcPr>
            <w:tcW w:type="dxa" w:w="1354"/>
            <w:shd w:val="clear" w:color="auto" w:fill="F6F1E6"/>
          </w:tcPr>
          <w:p>
            <w:pPr>
              <w:spacing w:after="20"/>
              <w:jc w:val="right"/>
            </w:pPr>
            <w:r>
              <w:rPr>
                <w:b/>
                <w:color w:val="1C3A36"/>
                <w:sz w:val="16"/>
              </w:rPr>
              <w:t>7.17%</w:t>
            </w:r>
          </w:p>
        </w:tc>
        <w:tc>
          <w:tcPr>
            <w:tcW w:type="dxa" w:w="1354"/>
            <w:shd w:val="clear" w:color="auto" w:fill="F6F1E6"/>
          </w:tcPr>
          <w:p>
            <w:pPr>
              <w:spacing w:after="20"/>
              <w:jc w:val="right"/>
            </w:pPr>
            <w:r>
              <w:rPr>
                <w:b/>
                <w:color w:val="1C3A36"/>
                <w:sz w:val="16"/>
              </w:rPr>
              <w:t>7.16%</w:t>
            </w:r>
          </w:p>
        </w:tc>
        <w:tc>
          <w:tcPr>
            <w:tcW w:type="dxa" w:w="1354"/>
            <w:shd w:val="clear" w:color="auto" w:fill="F6F1E6"/>
          </w:tcPr>
          <w:p>
            <w:pPr>
              <w:spacing w:after="20"/>
              <w:jc w:val="right"/>
            </w:pPr>
            <w:r>
              <w:rPr>
                <w:b/>
                <w:color w:val="1C3A36"/>
                <w:sz w:val="16"/>
              </w:rPr>
              <w:t>7.09%</w:t>
            </w:r>
          </w:p>
        </w:tc>
      </w:tr>
      <w:tr>
        <w:tc>
          <w:tcPr>
            <w:tcW w:type="dxa" w:w="3168"/>
          </w:tcPr>
          <w:p>
            <w:pPr>
              <w:spacing w:after="20"/>
            </w:pPr>
            <w:r>
              <w:rPr>
                <w:color w:val="1C3A36"/>
                <w:sz w:val="16"/>
              </w:rPr>
              <w:t>Operating expense (EGP mn)</w:t>
            </w:r>
          </w:p>
        </w:tc>
        <w:tc>
          <w:tcPr>
            <w:tcW w:type="dxa" w:w="1354"/>
          </w:tcPr>
          <w:p>
            <w:pPr>
              <w:spacing w:after="20"/>
              <w:jc w:val="right"/>
            </w:pPr>
            <w:r>
              <w:rPr>
                <w:color w:val="1C3A36"/>
                <w:sz w:val="16"/>
              </w:rPr>
              <w:t>(1,856)</w:t>
            </w:r>
          </w:p>
        </w:tc>
        <w:tc>
          <w:tcPr>
            <w:tcW w:type="dxa" w:w="1354"/>
          </w:tcPr>
          <w:p>
            <w:pPr>
              <w:spacing w:after="20"/>
              <w:jc w:val="right"/>
            </w:pPr>
            <w:r>
              <w:rPr>
                <w:color w:val="1C3A36"/>
                <w:sz w:val="16"/>
              </w:rPr>
              <w:t>(2,098)</w:t>
            </w:r>
          </w:p>
        </w:tc>
        <w:tc>
          <w:tcPr>
            <w:tcW w:type="dxa" w:w="1354"/>
          </w:tcPr>
          <w:p>
            <w:pPr>
              <w:spacing w:after="20"/>
              <w:jc w:val="right"/>
            </w:pPr>
            <w:r>
              <w:rPr>
                <w:color w:val="1C3A36"/>
                <w:sz w:val="16"/>
              </w:rPr>
              <w:t>(2,339)</w:t>
            </w:r>
          </w:p>
        </w:tc>
        <w:tc>
          <w:tcPr>
            <w:tcW w:type="dxa" w:w="1354"/>
          </w:tcPr>
          <w:p>
            <w:pPr>
              <w:spacing w:after="20"/>
              <w:jc w:val="right"/>
            </w:pPr>
            <w:r>
              <w:rPr>
                <w:color w:val="1C3A36"/>
                <w:sz w:val="16"/>
              </w:rPr>
              <w:t>(2,573)</w:t>
            </w:r>
          </w:p>
        </w:tc>
        <w:tc>
          <w:tcPr>
            <w:tcW w:type="dxa" w:w="1354"/>
          </w:tcPr>
          <w:p>
            <w:pPr>
              <w:spacing w:after="20"/>
              <w:jc w:val="right"/>
            </w:pPr>
            <w:r>
              <w:rPr>
                <w:color w:val="1C3A36"/>
                <w:sz w:val="16"/>
              </w:rPr>
              <w:t>(2,817)</w:t>
            </w:r>
          </w:p>
        </w:tc>
      </w:tr>
      <w:tr>
        <w:tc>
          <w:tcPr>
            <w:tcW w:type="dxa" w:w="3168"/>
          </w:tcPr>
          <w:p>
            <w:pPr>
              <w:spacing w:after="20"/>
            </w:pPr>
            <w:r>
              <w:rPr>
                <w:color w:val="1C3A36"/>
                <w:sz w:val="16"/>
              </w:rPr>
              <w:t>EBITDA (EGP mn)</w:t>
            </w:r>
          </w:p>
        </w:tc>
        <w:tc>
          <w:tcPr>
            <w:tcW w:type="dxa" w:w="1354"/>
          </w:tcPr>
          <w:p>
            <w:pPr>
              <w:spacing w:after="20"/>
              <w:jc w:val="right"/>
            </w:pPr>
            <w:r>
              <w:rPr>
                <w:color w:val="1C3A36"/>
                <w:sz w:val="16"/>
              </w:rPr>
              <w:t>1,639</w:t>
            </w:r>
          </w:p>
        </w:tc>
        <w:tc>
          <w:tcPr>
            <w:tcW w:type="dxa" w:w="1354"/>
          </w:tcPr>
          <w:p>
            <w:pPr>
              <w:spacing w:after="20"/>
              <w:jc w:val="right"/>
            </w:pPr>
            <w:r>
              <w:rPr>
                <w:color w:val="1C3A36"/>
                <w:sz w:val="16"/>
              </w:rPr>
              <w:t>1,759</w:t>
            </w:r>
          </w:p>
        </w:tc>
        <w:tc>
          <w:tcPr>
            <w:tcW w:type="dxa" w:w="1354"/>
          </w:tcPr>
          <w:p>
            <w:pPr>
              <w:spacing w:after="20"/>
              <w:jc w:val="right"/>
            </w:pPr>
            <w:r>
              <w:rPr>
                <w:color w:val="1C3A36"/>
                <w:sz w:val="16"/>
              </w:rPr>
              <w:t>1,849</w:t>
            </w:r>
          </w:p>
        </w:tc>
        <w:tc>
          <w:tcPr>
            <w:tcW w:type="dxa" w:w="1354"/>
          </w:tcPr>
          <w:p>
            <w:pPr>
              <w:spacing w:after="20"/>
              <w:jc w:val="right"/>
            </w:pPr>
            <w:r>
              <w:rPr>
                <w:color w:val="1C3A36"/>
                <w:sz w:val="16"/>
              </w:rPr>
              <w:t>1,932</w:t>
            </w:r>
          </w:p>
        </w:tc>
        <w:tc>
          <w:tcPr>
            <w:tcW w:type="dxa" w:w="1354"/>
          </w:tcPr>
          <w:p>
            <w:pPr>
              <w:spacing w:after="20"/>
              <w:jc w:val="right"/>
            </w:pPr>
            <w:r>
              <w:rPr>
                <w:color w:val="1C3A36"/>
                <w:sz w:val="16"/>
              </w:rPr>
              <w:t>1,963</w:t>
            </w:r>
          </w:p>
        </w:tc>
      </w:tr>
      <w:tr>
        <w:tc>
          <w:tcPr>
            <w:tcW w:type="dxa" w:w="3168"/>
          </w:tcPr>
          <w:p>
            <w:pPr>
              <w:spacing w:after="20"/>
            </w:pPr>
            <w:r>
              <w:rPr>
                <w:color w:val="1C3A36"/>
                <w:sz w:val="16"/>
              </w:rPr>
              <w:t>EBIT (EGP mn)</w:t>
            </w:r>
          </w:p>
        </w:tc>
        <w:tc>
          <w:tcPr>
            <w:tcW w:type="dxa" w:w="1354"/>
          </w:tcPr>
          <w:p>
            <w:pPr>
              <w:spacing w:after="20"/>
              <w:jc w:val="right"/>
            </w:pPr>
            <w:r>
              <w:rPr>
                <w:color w:val="1C3A36"/>
                <w:sz w:val="16"/>
              </w:rPr>
              <w:t>1,491</w:t>
            </w:r>
          </w:p>
        </w:tc>
        <w:tc>
          <w:tcPr>
            <w:tcW w:type="dxa" w:w="1354"/>
          </w:tcPr>
          <w:p>
            <w:pPr>
              <w:spacing w:after="20"/>
              <w:jc w:val="right"/>
            </w:pPr>
            <w:r>
              <w:rPr>
                <w:color w:val="1C3A36"/>
                <w:sz w:val="16"/>
              </w:rPr>
              <w:t>1,611</w:t>
            </w:r>
          </w:p>
        </w:tc>
        <w:tc>
          <w:tcPr>
            <w:tcW w:type="dxa" w:w="1354"/>
          </w:tcPr>
          <w:p>
            <w:pPr>
              <w:spacing w:after="20"/>
              <w:jc w:val="right"/>
            </w:pPr>
            <w:r>
              <w:rPr>
                <w:color w:val="1C3A36"/>
                <w:sz w:val="16"/>
              </w:rPr>
              <w:t>1,701</w:t>
            </w:r>
          </w:p>
        </w:tc>
        <w:tc>
          <w:tcPr>
            <w:tcW w:type="dxa" w:w="1354"/>
          </w:tcPr>
          <w:p>
            <w:pPr>
              <w:spacing w:after="20"/>
              <w:jc w:val="right"/>
            </w:pPr>
            <w:r>
              <w:rPr>
                <w:color w:val="1C3A36"/>
                <w:sz w:val="16"/>
              </w:rPr>
              <w:t>1,784</w:t>
            </w:r>
          </w:p>
        </w:tc>
        <w:tc>
          <w:tcPr>
            <w:tcW w:type="dxa" w:w="1354"/>
          </w:tcPr>
          <w:p>
            <w:pPr>
              <w:spacing w:after="20"/>
              <w:jc w:val="right"/>
            </w:pPr>
            <w:r>
              <w:rPr>
                <w:color w:val="1C3A36"/>
                <w:sz w:val="16"/>
              </w:rPr>
              <w:t>1,815</w:t>
            </w:r>
          </w:p>
        </w:tc>
      </w:tr>
    </w:tbl>
    <w:p>
      <w:pPr>
        <w:spacing w:after="40"/>
      </w:pPr>
    </w:p>
    <w:p>
      <w:pPr>
        <w:spacing w:after="200" w:before="0"/>
      </w:pPr>
      <w:r>
        <w:rPr>
          <w:b w:val="0"/>
          <w:i/>
          <w:color w:val="6E7B77"/>
          <w:sz w:val="17"/>
        </w:rPr>
        <w:t>The margin drifts from 7.17% to 7.09% — narrowing slightly, because the pound-denominated cost legs inflate faster than the realisation is assumed to grow. That is a mechanical consequence of the disclosed composition, not a view. A reader who thinks the company recovers currency in price faster should raise the realisation growth path and watch the margin widen.</w:t>
      </w:r>
    </w:p>
    <w:p>
      <w:pPr>
        <w:spacing w:after="80" w:before="200"/>
      </w:pPr>
      <w:r>
        <w:rPr>
          <w:b/>
          <w:i w:val="0"/>
          <w:color w:val="1C3A36"/>
          <w:sz w:val="24"/>
        </w:rPr>
        <w:t>1.6  The cost of capital, built rather than asserted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368"/>
        <w:gridCol w:w="1181"/>
        <w:gridCol w:w="4838"/>
      </w:tblGrid>
      <w:tr>
        <w:tc>
          <w:tcPr>
            <w:tcW w:type="dxa" w:w="2333"/>
            <w:shd w:val="clear" w:color="auto" w:fill="EAF0EE"/>
          </w:tcPr>
          <w:p>
            <w:pPr>
              <w:spacing w:after="20"/>
            </w:pPr>
            <w:r>
              <w:rPr>
                <w:b/>
                <w:color w:val="1C3A36"/>
                <w:sz w:val="16"/>
              </w:rPr>
              <w:t>Component</w:t>
            </w:r>
          </w:p>
        </w:tc>
        <w:tc>
          <w:tcPr>
            <w:tcW w:type="dxa" w:w="1368"/>
            <w:shd w:val="clear" w:color="auto" w:fill="EAF0EE"/>
          </w:tcPr>
          <w:p>
            <w:pPr>
              <w:spacing w:after="20"/>
            </w:pPr>
            <w:r>
              <w:rPr>
                <w:b/>
                <w:color w:val="1C3A36"/>
                <w:sz w:val="16"/>
              </w:rPr>
              <w:t>Explicit window</w:t>
            </w:r>
          </w:p>
        </w:tc>
        <w:tc>
          <w:tcPr>
            <w:tcW w:type="dxa" w:w="1181"/>
            <w:shd w:val="clear" w:color="auto" w:fill="EAF0EE"/>
          </w:tcPr>
          <w:p>
            <w:pPr>
              <w:spacing w:after="20"/>
            </w:pPr>
            <w:r>
              <w:rPr>
                <w:b/>
                <w:color w:val="1C3A36"/>
                <w:sz w:val="16"/>
              </w:rPr>
              <w:t>Terminal</w:t>
            </w:r>
          </w:p>
        </w:tc>
        <w:tc>
          <w:tcPr>
            <w:tcW w:type="dxa" w:w="4838"/>
            <w:shd w:val="clear" w:color="auto" w:fill="EAF0EE"/>
          </w:tcPr>
          <w:p>
            <w:pPr>
              <w:spacing w:after="20"/>
            </w:pPr>
            <w:r>
              <w:rPr>
                <w:b/>
                <w:color w:val="1C3A36"/>
                <w:sz w:val="16"/>
              </w:rPr>
              <w:t>Note</w:t>
            </w:r>
          </w:p>
        </w:tc>
      </w:tr>
      <w:tr>
        <w:tc>
          <w:tcPr>
            <w:tcW w:type="dxa" w:w="2333"/>
          </w:tcPr>
          <w:p>
            <w:pPr>
              <w:spacing w:after="20"/>
            </w:pPr>
            <w:r>
              <w:rPr>
                <w:color w:val="1C3A36"/>
                <w:sz w:val="16"/>
              </w:rPr>
              <w:t>Risk-free rate</w:t>
            </w:r>
          </w:p>
        </w:tc>
        <w:tc>
          <w:tcPr>
            <w:tcW w:type="dxa" w:w="1368"/>
          </w:tcPr>
          <w:p>
            <w:pPr>
              <w:spacing w:after="20"/>
              <w:jc w:val="right"/>
            </w:pPr>
            <w:r>
              <w:rPr>
                <w:color w:val="1C3A36"/>
                <w:sz w:val="16"/>
              </w:rPr>
              <w:t>22.3%</w:t>
            </w:r>
          </w:p>
        </w:tc>
        <w:tc>
          <w:tcPr>
            <w:tcW w:type="dxa" w:w="1181"/>
          </w:tcPr>
          <w:p>
            <w:pPr>
              <w:spacing w:after="20"/>
              <w:jc w:val="right"/>
            </w:pPr>
            <w:r>
              <w:rPr>
                <w:color w:val="1C3A36"/>
                <w:sz w:val="16"/>
              </w:rPr>
              <w:t>10.5%</w:t>
            </w:r>
          </w:p>
        </w:tc>
        <w:tc>
          <w:tcPr>
            <w:tcW w:type="dxa" w:w="4838"/>
          </w:tcPr>
          <w:p>
            <w:pPr>
              <w:spacing w:after="20"/>
            </w:pPr>
            <w:r>
              <w:rPr>
                <w:color w:val="1C3A36"/>
                <w:sz w:val="16"/>
              </w:rPr>
              <w:t>10-year local-currency government bond today; the terminal rate is norm-built from the central bank's published medium-term inflation target plus an emerging-market real-rate convention</w:t>
            </w:r>
          </w:p>
        </w:tc>
      </w:tr>
      <w:tr>
        <w:tc>
          <w:tcPr>
            <w:tcW w:type="dxa" w:w="2333"/>
          </w:tcPr>
          <w:p>
            <w:pPr>
              <w:spacing w:after="20"/>
            </w:pPr>
            <w:r>
              <w:rPr>
                <w:color w:val="1C3A36"/>
                <w:sz w:val="16"/>
              </w:rPr>
              <w:t>less sovereign default spread</w:t>
            </w:r>
          </w:p>
        </w:tc>
        <w:tc>
          <w:tcPr>
            <w:tcW w:type="dxa" w:w="1368"/>
          </w:tcPr>
          <w:p>
            <w:pPr>
              <w:spacing w:after="20"/>
              <w:jc w:val="right"/>
            </w:pPr>
            <w:r>
              <w:rPr>
                <w:color w:val="1C3A36"/>
                <w:sz w:val="16"/>
              </w:rPr>
              <w:t>(3.4%)</w:t>
            </w:r>
          </w:p>
        </w:tc>
        <w:tc>
          <w:tcPr>
            <w:tcW w:type="dxa" w:w="1181"/>
          </w:tcPr>
          <w:p>
            <w:pPr>
              <w:spacing w:after="20"/>
              <w:jc w:val="right"/>
            </w:pPr>
            <w:r>
              <w:rPr>
                <w:color w:val="1C3A36"/>
                <w:sz w:val="16"/>
              </w:rPr>
              <w:t>—</w:t>
            </w:r>
          </w:p>
        </w:tc>
        <w:tc>
          <w:tcPr>
            <w:tcW w:type="dxa" w:w="4838"/>
          </w:tcPr>
          <w:p>
            <w:pPr>
              <w:spacing w:after="20"/>
            </w:pPr>
            <w:r>
              <w:rPr>
                <w:color w:val="1C3A36"/>
                <w:sz w:val="16"/>
              </w:rPr>
              <w:t>netted out so Egypt’s default risk is not charged twice — once inside the pound yield and again in the country premium</w:t>
            </w:r>
          </w:p>
        </w:tc>
      </w:tr>
      <w:tr>
        <w:tc>
          <w:tcPr>
            <w:tcW w:type="dxa" w:w="2333"/>
          </w:tcPr>
          <w:p>
            <w:pPr>
              <w:spacing w:after="20"/>
            </w:pPr>
            <w:r>
              <w:rPr>
                <w:color w:val="1C3A36"/>
                <w:sz w:val="16"/>
              </w:rPr>
              <w:t>Beta</w:t>
            </w:r>
          </w:p>
        </w:tc>
        <w:tc>
          <w:tcPr>
            <w:tcW w:type="dxa" w:w="1368"/>
          </w:tcPr>
          <w:p>
            <w:pPr>
              <w:spacing w:after="20"/>
              <w:jc w:val="right"/>
            </w:pPr>
            <w:r>
              <w:rPr>
                <w:color w:val="1C3A36"/>
                <w:sz w:val="16"/>
              </w:rPr>
              <w:t>0.941</w:t>
            </w:r>
          </w:p>
        </w:tc>
        <w:tc>
          <w:tcPr>
            <w:tcW w:type="dxa" w:w="1181"/>
          </w:tcPr>
          <w:p>
            <w:pPr>
              <w:spacing w:after="20"/>
              <w:jc w:val="right"/>
            </w:pPr>
            <w:r>
              <w:rPr>
                <w:color w:val="1C3A36"/>
                <w:sz w:val="16"/>
              </w:rPr>
              <w:t>0.941</w:t>
            </w:r>
          </w:p>
        </w:tc>
        <w:tc>
          <w:tcPr>
            <w:tcW w:type="dxa" w:w="4838"/>
          </w:tcPr>
          <w:p>
            <w:pPr>
              <w:spacing w:after="20"/>
            </w:pPr>
            <w:r>
              <w:rPr>
                <w:color w:val="1C3A36"/>
                <w:sz w:val="16"/>
              </w:rPr>
              <w:t>own-stock regression, R-squared 31.2%, n = 257</w:t>
            </w:r>
          </w:p>
        </w:tc>
      </w:tr>
      <w:tr>
        <w:tc>
          <w:tcPr>
            <w:tcW w:type="dxa" w:w="2333"/>
          </w:tcPr>
          <w:p>
            <w:pPr>
              <w:spacing w:after="20"/>
            </w:pPr>
            <w:r>
              <w:rPr>
                <w:color w:val="1C3A36"/>
                <w:sz w:val="16"/>
              </w:rPr>
              <w:t>Equity risk premium</w:t>
            </w:r>
          </w:p>
        </w:tc>
        <w:tc>
          <w:tcPr>
            <w:tcW w:type="dxa" w:w="1368"/>
          </w:tcPr>
          <w:p>
            <w:pPr>
              <w:spacing w:after="20"/>
              <w:jc w:val="right"/>
            </w:pPr>
            <w:r>
              <w:rPr>
                <w:color w:val="1C3A36"/>
                <w:sz w:val="16"/>
              </w:rPr>
              <w:t>9.4%</w:t>
            </w:r>
          </w:p>
        </w:tc>
        <w:tc>
          <w:tcPr>
            <w:tcW w:type="dxa" w:w="1181"/>
          </w:tcPr>
          <w:p>
            <w:pPr>
              <w:spacing w:after="20"/>
              <w:jc w:val="right"/>
            </w:pPr>
            <w:r>
              <w:rPr>
                <w:color w:val="1C3A36"/>
                <w:sz w:val="16"/>
              </w:rPr>
              <w:t>7.0%</w:t>
            </w:r>
          </w:p>
        </w:tc>
        <w:tc>
          <w:tcPr>
            <w:tcW w:type="dxa" w:w="4838"/>
          </w:tcPr>
          <w:p>
            <w:pPr>
              <w:spacing w:after="20"/>
            </w:pPr>
            <w:r>
              <w:rPr>
                <w:color w:val="1C3A36"/>
                <w:sz w:val="16"/>
              </w:rPr>
              <w:t>total premium on the credit-default-swap basis</w:t>
            </w:r>
          </w:p>
        </w:tc>
      </w:tr>
      <w:tr>
        <w:tc>
          <w:tcPr>
            <w:tcW w:type="dxa" w:w="2333"/>
            <w:shd w:val="clear" w:color="auto" w:fill="F6F1E6"/>
          </w:tcPr>
          <w:p>
            <w:pPr>
              <w:spacing w:after="20"/>
            </w:pPr>
            <w:r>
              <w:rPr>
                <w:b/>
                <w:color w:val="1C3A36"/>
                <w:sz w:val="16"/>
              </w:rPr>
              <w:t>COST OF EQUITY</w:t>
            </w:r>
          </w:p>
        </w:tc>
        <w:tc>
          <w:tcPr>
            <w:tcW w:type="dxa" w:w="1368"/>
            <w:shd w:val="clear" w:color="auto" w:fill="F6F1E6"/>
          </w:tcPr>
          <w:p>
            <w:pPr>
              <w:spacing w:after="20"/>
              <w:jc w:val="right"/>
            </w:pPr>
            <w:r>
              <w:rPr>
                <w:b/>
                <w:color w:val="1C3A36"/>
                <w:sz w:val="16"/>
              </w:rPr>
              <w:t>27.8%</w:t>
            </w:r>
          </w:p>
        </w:tc>
        <w:tc>
          <w:tcPr>
            <w:tcW w:type="dxa" w:w="1181"/>
            <w:shd w:val="clear" w:color="auto" w:fill="F6F1E6"/>
          </w:tcPr>
          <w:p>
            <w:pPr>
              <w:spacing w:after="20"/>
              <w:jc w:val="right"/>
            </w:pPr>
            <w:r>
              <w:rPr>
                <w:b/>
                <w:color w:val="1C3A36"/>
                <w:sz w:val="16"/>
              </w:rPr>
              <w:t>17.1%</w:t>
            </w:r>
          </w:p>
        </w:tc>
        <w:tc>
          <w:tcPr>
            <w:tcW w:type="dxa" w:w="4838"/>
            <w:shd w:val="clear" w:color="auto" w:fill="F6F1E6"/>
          </w:tcPr>
          <w:p>
            <w:pPr>
              <w:spacing w:after="20"/>
            </w:pPr>
            <w:r>
              <w:rPr>
                <w:b/>
                <w:color w:val="1C3A36"/>
                <w:sz w:val="16"/>
              </w:rPr>
            </w:r>
          </w:p>
        </w:tc>
      </w:tr>
      <w:tr>
        <w:tc>
          <w:tcPr>
            <w:tcW w:type="dxa" w:w="2333"/>
          </w:tcPr>
          <w:p>
            <w:pPr>
              <w:spacing w:after="20"/>
            </w:pPr>
            <w:r>
              <w:rPr>
                <w:color w:val="1C3A36"/>
                <w:sz w:val="16"/>
              </w:rPr>
              <w:t>Cost of net debt, after tax</w:t>
            </w:r>
          </w:p>
        </w:tc>
        <w:tc>
          <w:tcPr>
            <w:tcW w:type="dxa" w:w="1368"/>
          </w:tcPr>
          <w:p>
            <w:pPr>
              <w:spacing w:after="20"/>
              <w:jc w:val="right"/>
            </w:pPr>
            <w:r>
              <w:rPr>
                <w:color w:val="1C3A36"/>
                <w:sz w:val="16"/>
              </w:rPr>
              <w:t>13.2%</w:t>
            </w:r>
          </w:p>
        </w:tc>
        <w:tc>
          <w:tcPr>
            <w:tcW w:type="dxa" w:w="1181"/>
          </w:tcPr>
          <w:p>
            <w:pPr>
              <w:spacing w:after="20"/>
              <w:jc w:val="right"/>
            </w:pPr>
            <w:r>
              <w:rPr>
                <w:color w:val="1C3A36"/>
                <w:sz w:val="16"/>
              </w:rPr>
              <w:t>11.7%</w:t>
            </w:r>
          </w:p>
        </w:tc>
        <w:tc>
          <w:tcPr>
            <w:tcW w:type="dxa" w:w="4838"/>
          </w:tcPr>
          <w:p>
            <w:pPr>
              <w:spacing w:after="20"/>
            </w:pPr>
            <w:r>
              <w:rPr>
                <w:color w:val="1C3A36"/>
                <w:sz w:val="16"/>
              </w:rPr>
              <w:t>blend of what the EGP 21.0mn of borrowing costs and what the EGP 2,464mn cash pile EARNS, taxed at the AUDITED effective rate 22.12%</w:t>
            </w:r>
          </w:p>
        </w:tc>
      </w:tr>
      <w:tr>
        <w:tc>
          <w:tcPr>
            <w:tcW w:type="dxa" w:w="2333"/>
          </w:tcPr>
          <w:p>
            <w:pPr>
              <w:spacing w:after="20"/>
            </w:pPr>
            <w:r>
              <w:rPr>
                <w:color w:val="1C3A36"/>
                <w:sz w:val="16"/>
              </w:rPr>
              <w:t>Debt weight</w:t>
            </w:r>
          </w:p>
        </w:tc>
        <w:tc>
          <w:tcPr>
            <w:tcW w:type="dxa" w:w="1368"/>
          </w:tcPr>
          <w:p>
            <w:pPr>
              <w:spacing w:after="20"/>
              <w:jc w:val="right"/>
            </w:pPr>
            <w:r>
              <w:rPr>
                <w:color w:val="1C3A36"/>
                <w:sz w:val="16"/>
              </w:rPr>
              <w:t>-26.2%</w:t>
            </w:r>
          </w:p>
        </w:tc>
        <w:tc>
          <w:tcPr>
            <w:tcW w:type="dxa" w:w="1181"/>
          </w:tcPr>
          <w:p>
            <w:pPr>
              <w:spacing w:after="20"/>
              <w:jc w:val="right"/>
            </w:pPr>
            <w:r>
              <w:rPr>
                <w:color w:val="1C3A36"/>
                <w:sz w:val="16"/>
              </w:rPr>
              <w:t>10%</w:t>
            </w:r>
          </w:p>
        </w:tc>
        <w:tc>
          <w:tcPr>
            <w:tcW w:type="dxa" w:w="4838"/>
          </w:tcPr>
          <w:p>
            <w:pPr>
              <w:spacing w:after="20"/>
            </w:pPr>
            <w:r>
              <w:rPr>
                <w:color w:val="1C3A36"/>
                <w:sz w:val="16"/>
              </w:rPr>
              <w:t>NEGATIVE today, because the company is net cash</w:t>
            </w:r>
          </w:p>
        </w:tc>
      </w:tr>
      <w:tr>
        <w:tc>
          <w:tcPr>
            <w:tcW w:type="dxa" w:w="2333"/>
            <w:shd w:val="clear" w:color="auto" w:fill="F6F1E6"/>
          </w:tcPr>
          <w:p>
            <w:pPr>
              <w:spacing w:after="20"/>
            </w:pPr>
            <w:r>
              <w:rPr>
                <w:b/>
                <w:color w:val="1C3A36"/>
                <w:sz w:val="16"/>
              </w:rPr>
              <w:t>WEIGHTED COST OF CAPITAL</w:t>
            </w:r>
          </w:p>
        </w:tc>
        <w:tc>
          <w:tcPr>
            <w:tcW w:type="dxa" w:w="1368"/>
            <w:shd w:val="clear" w:color="auto" w:fill="F6F1E6"/>
          </w:tcPr>
          <w:p>
            <w:pPr>
              <w:spacing w:after="20"/>
              <w:jc w:val="right"/>
            </w:pPr>
            <w:r>
              <w:rPr>
                <w:b/>
                <w:color w:val="1C3A36"/>
                <w:sz w:val="16"/>
              </w:rPr>
              <w:t>31.6%</w:t>
            </w:r>
          </w:p>
        </w:tc>
        <w:tc>
          <w:tcPr>
            <w:tcW w:type="dxa" w:w="1181"/>
            <w:shd w:val="clear" w:color="auto" w:fill="F6F1E6"/>
          </w:tcPr>
          <w:p>
            <w:pPr>
              <w:spacing w:after="20"/>
              <w:jc w:val="right"/>
            </w:pPr>
            <w:r>
              <w:rPr>
                <w:b/>
                <w:color w:val="1C3A36"/>
                <w:sz w:val="16"/>
              </w:rPr>
              <w:t>16.5%</w:t>
            </w:r>
          </w:p>
        </w:tc>
        <w:tc>
          <w:tcPr>
            <w:tcW w:type="dxa" w:w="4838"/>
            <w:shd w:val="clear" w:color="auto" w:fill="F6F1E6"/>
          </w:tcPr>
          <w:p>
            <w:pPr>
              <w:spacing w:after="20"/>
            </w:pPr>
            <w:r>
              <w:rPr>
                <w:b/>
                <w:color w:val="1C3A36"/>
                <w:sz w:val="16"/>
              </w:rPr>
            </w:r>
          </w:p>
        </w:tc>
      </w:tr>
    </w:tbl>
    <w:p>
      <w:pPr>
        <w:spacing w:after="40"/>
      </w:pPr>
    </w:p>
    <w:p>
      <w:pPr>
        <w:spacing w:after="120" w:before="0"/>
      </w:pPr>
      <w:r>
        <w:rPr>
          <w:b w:val="0"/>
          <w:i w:val="0"/>
          <w:color w:val="1C3A36"/>
          <w:sz w:val="21"/>
        </w:rPr>
        <w:t>The weighting runs the opposite way to the intuition most readers bring. Net debt is negative, so the debt weight is -26.2% and the equity weight 126.2%, and the result — 31.6% — sits ABOVE the 27.8% cost of equity rather than below it. That is the point of the construction: a company holding 21% of its market capitalisation in near-riskless cash has an observed equity cost that UNDERSTATES the risk of its operating assets, and unlevering for the cash is what recovers the operating rate.</w:t>
      </w:r>
    </w:p>
    <w:p>
      <w:pPr>
        <w:spacing w:after="120" w:before="0"/>
      </w:pPr>
      <w:r>
        <w:rPr>
          <w:b w:val="0"/>
          <w:i w:val="0"/>
          <w:color w:val="1C3A36"/>
          <w:sz w:val="20"/>
        </w:rPr>
        <w:t>One figure in that table changed when the filings arrived and it is worth naming: the tax rate inside the cost of net debt. The previous edition used an assumed 23.5%; the two filed periods give 22.12%. Building the workbook is what caught it, because the workbook computes the rate from the filings and the model was still carrying the assumption.</w:t>
      </w:r>
    </w:p>
    <w:p>
      <w:pPr>
        <w:spacing w:after="80" w:before="200"/>
      </w:pPr>
      <w:r>
        <w:rPr>
          <w:b/>
          <w:i w:val="0"/>
          <w:color w:val="1C3A36"/>
          <w:sz w:val="24"/>
        </w:rPr>
        <w:t>1.7  The discount-rate schedule, year by year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25"/>
        <w:gridCol w:w="1325"/>
        <w:gridCol w:w="1325"/>
        <w:gridCol w:w="1325"/>
        <w:gridCol w:w="1325"/>
      </w:tblGrid>
      <w:tr>
        <w:tc>
          <w:tcPr>
            <w:tcW w:type="dxa" w:w="3384"/>
            <w:shd w:val="clear" w:color="auto" w:fill="EAF0EE"/>
          </w:tcPr>
          <w:p>
            <w:pPr>
              <w:spacing w:after="20"/>
            </w:pPr>
            <w:r>
              <w:rPr>
                <w:b/>
                <w:color w:val="1C3A36"/>
                <w:sz w:val="16"/>
              </w:rPr>
            </w:r>
          </w:p>
        </w:tc>
        <w:tc>
          <w:tcPr>
            <w:tcW w:type="dxa" w:w="1325"/>
            <w:shd w:val="clear" w:color="auto" w:fill="EAF0EE"/>
          </w:tcPr>
          <w:p>
            <w:pPr>
              <w:spacing w:after="20"/>
            </w:pPr>
            <w:r>
              <w:rPr>
                <w:b/>
                <w:color w:val="1C3A36"/>
                <w:sz w:val="16"/>
              </w:rPr>
              <w:t>2026</w:t>
            </w:r>
          </w:p>
        </w:tc>
        <w:tc>
          <w:tcPr>
            <w:tcW w:type="dxa" w:w="1325"/>
            <w:shd w:val="clear" w:color="auto" w:fill="EAF0EE"/>
          </w:tcPr>
          <w:p>
            <w:pPr>
              <w:spacing w:after="20"/>
            </w:pPr>
            <w:r>
              <w:rPr>
                <w:b/>
                <w:color w:val="1C3A36"/>
                <w:sz w:val="16"/>
              </w:rPr>
              <w:t>2027</w:t>
            </w:r>
          </w:p>
        </w:tc>
        <w:tc>
          <w:tcPr>
            <w:tcW w:type="dxa" w:w="1325"/>
            <w:shd w:val="clear" w:color="auto" w:fill="EAF0EE"/>
          </w:tcPr>
          <w:p>
            <w:pPr>
              <w:spacing w:after="20"/>
            </w:pPr>
            <w:r>
              <w:rPr>
                <w:b/>
                <w:color w:val="1C3A36"/>
                <w:sz w:val="16"/>
              </w:rPr>
              <w:t>2028</w:t>
            </w:r>
          </w:p>
        </w:tc>
        <w:tc>
          <w:tcPr>
            <w:tcW w:type="dxa" w:w="1325"/>
            <w:shd w:val="clear" w:color="auto" w:fill="EAF0EE"/>
          </w:tcPr>
          <w:p>
            <w:pPr>
              <w:spacing w:after="20"/>
            </w:pPr>
            <w:r>
              <w:rPr>
                <w:b/>
                <w:color w:val="1C3A36"/>
                <w:sz w:val="16"/>
              </w:rPr>
              <w:t>2029</w:t>
            </w:r>
          </w:p>
        </w:tc>
        <w:tc>
          <w:tcPr>
            <w:tcW w:type="dxa" w:w="1325"/>
            <w:shd w:val="clear" w:color="auto" w:fill="EAF0EE"/>
          </w:tcPr>
          <w:p>
            <w:pPr>
              <w:spacing w:after="20"/>
            </w:pPr>
            <w:r>
              <w:rPr>
                <w:b/>
                <w:color w:val="1C3A36"/>
                <w:sz w:val="16"/>
              </w:rPr>
              <w:t>2030</w:t>
            </w:r>
          </w:p>
        </w:tc>
      </w:tr>
      <w:tr>
        <w:tc>
          <w:tcPr>
            <w:tcW w:type="dxa" w:w="3384"/>
          </w:tcPr>
          <w:p>
            <w:pPr>
              <w:spacing w:after="20"/>
            </w:pPr>
            <w:r>
              <w:rPr>
                <w:color w:val="1C3A36"/>
                <w:sz w:val="16"/>
              </w:rPr>
              <w:t>Cost of debt path</w:t>
            </w:r>
          </w:p>
        </w:tc>
        <w:tc>
          <w:tcPr>
            <w:tcW w:type="dxa" w:w="1325"/>
          </w:tcPr>
          <w:p>
            <w:pPr>
              <w:spacing w:after="20"/>
              <w:jc w:val="right"/>
            </w:pPr>
            <w:r>
              <w:rPr>
                <w:color w:val="1C3A36"/>
                <w:sz w:val="16"/>
              </w:rPr>
              <w:t>22.0%</w:t>
            </w:r>
          </w:p>
        </w:tc>
        <w:tc>
          <w:tcPr>
            <w:tcW w:type="dxa" w:w="1325"/>
          </w:tcPr>
          <w:p>
            <w:pPr>
              <w:spacing w:after="20"/>
              <w:jc w:val="right"/>
            </w:pPr>
            <w:r>
              <w:rPr>
                <w:color w:val="1C3A36"/>
                <w:sz w:val="16"/>
              </w:rPr>
              <w:t>19.5%</w:t>
            </w:r>
          </w:p>
        </w:tc>
        <w:tc>
          <w:tcPr>
            <w:tcW w:type="dxa" w:w="1325"/>
          </w:tcPr>
          <w:p>
            <w:pPr>
              <w:spacing w:after="20"/>
              <w:jc w:val="right"/>
            </w:pPr>
            <w:r>
              <w:rPr>
                <w:color w:val="1C3A36"/>
                <w:sz w:val="16"/>
              </w:rPr>
              <w:t>17.5%</w:t>
            </w:r>
          </w:p>
        </w:tc>
        <w:tc>
          <w:tcPr>
            <w:tcW w:type="dxa" w:w="1325"/>
          </w:tcPr>
          <w:p>
            <w:pPr>
              <w:spacing w:after="20"/>
              <w:jc w:val="right"/>
            </w:pPr>
            <w:r>
              <w:rPr>
                <w:color w:val="1C3A36"/>
                <w:sz w:val="16"/>
              </w:rPr>
              <w:t>16.0%</w:t>
            </w:r>
          </w:p>
        </w:tc>
        <w:tc>
          <w:tcPr>
            <w:tcW w:type="dxa" w:w="1325"/>
          </w:tcPr>
          <w:p>
            <w:pPr>
              <w:spacing w:after="20"/>
              <w:jc w:val="right"/>
            </w:pPr>
            <w:r>
              <w:rPr>
                <w:color w:val="1C3A36"/>
                <w:sz w:val="16"/>
              </w:rPr>
              <w:t>15.0%</w:t>
            </w:r>
          </w:p>
        </w:tc>
      </w:tr>
      <w:tr>
        <w:tc>
          <w:tcPr>
            <w:tcW w:type="dxa" w:w="3384"/>
          </w:tcPr>
          <w:p>
            <w:pPr>
              <w:spacing w:after="20"/>
            </w:pPr>
            <w:r>
              <w:rPr>
                <w:color w:val="1C3A36"/>
                <w:sz w:val="16"/>
              </w:rPr>
              <w:t>Cumulative progress along that path</w:t>
            </w:r>
          </w:p>
        </w:tc>
        <w:tc>
          <w:tcPr>
            <w:tcW w:type="dxa" w:w="1325"/>
          </w:tcPr>
          <w:p>
            <w:pPr>
              <w:spacing w:after="20"/>
              <w:jc w:val="right"/>
            </w:pPr>
            <w:r>
              <w:rPr>
                <w:color w:val="1C3A36"/>
                <w:sz w:val="16"/>
              </w:rPr>
              <w:t>0.000</w:t>
            </w:r>
          </w:p>
        </w:tc>
        <w:tc>
          <w:tcPr>
            <w:tcW w:type="dxa" w:w="1325"/>
          </w:tcPr>
          <w:p>
            <w:pPr>
              <w:spacing w:after="20"/>
              <w:jc w:val="right"/>
            </w:pPr>
            <w:r>
              <w:rPr>
                <w:color w:val="1C3A36"/>
                <w:sz w:val="16"/>
              </w:rPr>
              <w:t>0.357</w:t>
            </w:r>
          </w:p>
        </w:tc>
        <w:tc>
          <w:tcPr>
            <w:tcW w:type="dxa" w:w="1325"/>
          </w:tcPr>
          <w:p>
            <w:pPr>
              <w:spacing w:after="20"/>
              <w:jc w:val="right"/>
            </w:pPr>
            <w:r>
              <w:rPr>
                <w:color w:val="1C3A36"/>
                <w:sz w:val="16"/>
              </w:rPr>
              <w:t>0.643</w:t>
            </w:r>
          </w:p>
        </w:tc>
        <w:tc>
          <w:tcPr>
            <w:tcW w:type="dxa" w:w="1325"/>
          </w:tcPr>
          <w:p>
            <w:pPr>
              <w:spacing w:after="20"/>
              <w:jc w:val="right"/>
            </w:pPr>
            <w:r>
              <w:rPr>
                <w:color w:val="1C3A36"/>
                <w:sz w:val="16"/>
              </w:rPr>
              <w:t>0.857</w:t>
            </w:r>
          </w:p>
        </w:tc>
        <w:tc>
          <w:tcPr>
            <w:tcW w:type="dxa" w:w="1325"/>
          </w:tcPr>
          <w:p>
            <w:pPr>
              <w:spacing w:after="20"/>
              <w:jc w:val="right"/>
            </w:pPr>
            <w:r>
              <w:rPr>
                <w:color w:val="1C3A36"/>
                <w:sz w:val="16"/>
              </w:rPr>
              <w:t>1.000</w:t>
            </w:r>
          </w:p>
        </w:tc>
      </w:tr>
      <w:tr>
        <w:tc>
          <w:tcPr>
            <w:tcW w:type="dxa" w:w="3384"/>
            <w:shd w:val="clear" w:color="auto" w:fill="F6F1E6"/>
          </w:tcPr>
          <w:p>
            <w:pPr>
              <w:spacing w:after="20"/>
            </w:pPr>
            <w:r>
              <w:rPr>
                <w:b/>
                <w:color w:val="1C3A36"/>
                <w:sz w:val="16"/>
              </w:rPr>
              <w:t>Forward cost of capital</w:t>
            </w:r>
          </w:p>
        </w:tc>
        <w:tc>
          <w:tcPr>
            <w:tcW w:type="dxa" w:w="1325"/>
            <w:shd w:val="clear" w:color="auto" w:fill="F6F1E6"/>
          </w:tcPr>
          <w:p>
            <w:pPr>
              <w:spacing w:after="20"/>
              <w:jc w:val="right"/>
            </w:pPr>
            <w:r>
              <w:rPr>
                <w:b/>
                <w:color w:val="1C3A36"/>
                <w:sz w:val="16"/>
              </w:rPr>
              <w:t>31.6%</w:t>
            </w:r>
          </w:p>
        </w:tc>
        <w:tc>
          <w:tcPr>
            <w:tcW w:type="dxa" w:w="1325"/>
            <w:shd w:val="clear" w:color="auto" w:fill="F6F1E6"/>
          </w:tcPr>
          <w:p>
            <w:pPr>
              <w:spacing w:after="20"/>
              <w:jc w:val="right"/>
            </w:pPr>
            <w:r>
              <w:rPr>
                <w:b/>
                <w:color w:val="1C3A36"/>
                <w:sz w:val="16"/>
              </w:rPr>
              <w:t>26.2%</w:t>
            </w:r>
          </w:p>
        </w:tc>
        <w:tc>
          <w:tcPr>
            <w:tcW w:type="dxa" w:w="1325"/>
            <w:shd w:val="clear" w:color="auto" w:fill="F6F1E6"/>
          </w:tcPr>
          <w:p>
            <w:pPr>
              <w:spacing w:after="20"/>
              <w:jc w:val="right"/>
            </w:pPr>
            <w:r>
              <w:rPr>
                <w:b/>
                <w:color w:val="1C3A36"/>
                <w:sz w:val="16"/>
              </w:rPr>
              <w:t>21.9%</w:t>
            </w:r>
          </w:p>
        </w:tc>
        <w:tc>
          <w:tcPr>
            <w:tcW w:type="dxa" w:w="1325"/>
            <w:shd w:val="clear" w:color="auto" w:fill="F6F1E6"/>
          </w:tcPr>
          <w:p>
            <w:pPr>
              <w:spacing w:after="20"/>
              <w:jc w:val="right"/>
            </w:pPr>
            <w:r>
              <w:rPr>
                <w:b/>
                <w:color w:val="1C3A36"/>
                <w:sz w:val="16"/>
              </w:rPr>
              <w:t>18.7%</w:t>
            </w:r>
          </w:p>
        </w:tc>
        <w:tc>
          <w:tcPr>
            <w:tcW w:type="dxa" w:w="1325"/>
            <w:shd w:val="clear" w:color="auto" w:fill="F6F1E6"/>
          </w:tcPr>
          <w:p>
            <w:pPr>
              <w:spacing w:after="20"/>
              <w:jc w:val="right"/>
            </w:pPr>
            <w:r>
              <w:rPr>
                <w:b/>
                <w:color w:val="1C3A36"/>
                <w:sz w:val="16"/>
              </w:rPr>
              <w:t>16.5%</w:t>
            </w:r>
          </w:p>
        </w:tc>
      </w:tr>
      <w:tr>
        <w:tc>
          <w:tcPr>
            <w:tcW w:type="dxa" w:w="3384"/>
            <w:shd w:val="clear" w:color="auto" w:fill="F6F1E6"/>
          </w:tcPr>
          <w:p>
            <w:pPr>
              <w:spacing w:after="20"/>
            </w:pPr>
            <w:r>
              <w:rPr>
                <w:b/>
                <w:color w:val="1C3A36"/>
                <w:sz w:val="16"/>
              </w:rPr>
              <w:t>Cumulative discount factor</w:t>
            </w:r>
          </w:p>
        </w:tc>
        <w:tc>
          <w:tcPr>
            <w:tcW w:type="dxa" w:w="1325"/>
            <w:shd w:val="clear" w:color="auto" w:fill="F6F1E6"/>
          </w:tcPr>
          <w:p>
            <w:pPr>
              <w:spacing w:after="20"/>
              <w:jc w:val="right"/>
            </w:pPr>
            <w:r>
              <w:rPr>
                <w:b/>
                <w:color w:val="1C3A36"/>
                <w:sz w:val="16"/>
              </w:rPr>
              <w:t>0.7600</w:t>
            </w:r>
          </w:p>
        </w:tc>
        <w:tc>
          <w:tcPr>
            <w:tcW w:type="dxa" w:w="1325"/>
            <w:shd w:val="clear" w:color="auto" w:fill="F6F1E6"/>
          </w:tcPr>
          <w:p>
            <w:pPr>
              <w:spacing w:after="20"/>
              <w:jc w:val="right"/>
            </w:pPr>
            <w:r>
              <w:rPr>
                <w:b/>
                <w:color w:val="1C3A36"/>
                <w:sz w:val="16"/>
              </w:rPr>
              <w:t>0.6022</w:t>
            </w:r>
          </w:p>
        </w:tc>
        <w:tc>
          <w:tcPr>
            <w:tcW w:type="dxa" w:w="1325"/>
            <w:shd w:val="clear" w:color="auto" w:fill="F6F1E6"/>
          </w:tcPr>
          <w:p>
            <w:pPr>
              <w:spacing w:after="20"/>
              <w:jc w:val="right"/>
            </w:pPr>
            <w:r>
              <w:rPr>
                <w:b/>
                <w:color w:val="1C3A36"/>
                <w:sz w:val="16"/>
              </w:rPr>
              <w:t>0.4939</w:t>
            </w:r>
          </w:p>
        </w:tc>
        <w:tc>
          <w:tcPr>
            <w:tcW w:type="dxa" w:w="1325"/>
            <w:shd w:val="clear" w:color="auto" w:fill="F6F1E6"/>
          </w:tcPr>
          <w:p>
            <w:pPr>
              <w:spacing w:after="20"/>
              <w:jc w:val="right"/>
            </w:pPr>
            <w:r>
              <w:rPr>
                <w:b/>
                <w:color w:val="1C3A36"/>
                <w:sz w:val="16"/>
              </w:rPr>
              <w:t>0.4162</w:t>
            </w:r>
          </w:p>
        </w:tc>
        <w:tc>
          <w:tcPr>
            <w:tcW w:type="dxa" w:w="1325"/>
            <w:shd w:val="clear" w:color="auto" w:fill="F6F1E6"/>
          </w:tcPr>
          <w:p>
            <w:pPr>
              <w:spacing w:after="20"/>
              <w:jc w:val="right"/>
            </w:pPr>
            <w:r>
              <w:rPr>
                <w:b/>
                <w:color w:val="1C3A36"/>
                <w:sz w:val="16"/>
              </w:rPr>
              <w:t>0.3571</w:t>
            </w:r>
          </w:p>
        </w:tc>
      </w:tr>
    </w:tbl>
    <w:p>
      <w:pPr>
        <w:spacing w:after="40"/>
      </w:pPr>
    </w:p>
    <w:p>
      <w:pPr>
        <w:spacing w:after="200" w:before="0"/>
      </w:pPr>
      <w:r>
        <w:rPr>
          <w:b w:val="0"/>
          <w:i/>
          <w:color w:val="6E7B77"/>
          <w:sz w:val="17"/>
        </w:rPr>
        <w:t>The glide fractions are the cost-of-debt path’s own cumulative progress, so the shape is inherited from one assumed easing calendar rather than being a second free parameter. The terminal value is brought home on the year-five factor of 0.3571, the same factor that discounts year-five cash flow. One date, one price of time.</w:t>
      </w:r>
    </w:p>
    <w:p>
      <w:pPr>
        <w:spacing w:after="80" w:before="200"/>
      </w:pPr>
      <w:r>
        <w:rPr>
          <w:b/>
          <w:i w:val="0"/>
          <w:color w:val="1C3A36"/>
          <w:sz w:val="24"/>
        </w:rPr>
        <w:t>1.8  The free-cash-flow waterfall and the enterprise-value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25"/>
        <w:gridCol w:w="1325"/>
        <w:gridCol w:w="1325"/>
        <w:gridCol w:w="1325"/>
        <w:gridCol w:w="1325"/>
      </w:tblGrid>
      <w:tr>
        <w:tc>
          <w:tcPr>
            <w:tcW w:type="dxa" w:w="3384"/>
            <w:shd w:val="clear" w:color="auto" w:fill="EAF0EE"/>
          </w:tcPr>
          <w:p>
            <w:pPr>
              <w:spacing w:after="20"/>
            </w:pPr>
            <w:r>
              <w:rPr>
                <w:b/>
                <w:color w:val="1C3A36"/>
                <w:sz w:val="16"/>
              </w:rPr>
              <w:t>EGP mn</w:t>
            </w:r>
          </w:p>
        </w:tc>
        <w:tc>
          <w:tcPr>
            <w:tcW w:type="dxa" w:w="1325"/>
            <w:shd w:val="clear" w:color="auto" w:fill="EAF0EE"/>
          </w:tcPr>
          <w:p>
            <w:pPr>
              <w:spacing w:after="20"/>
            </w:pPr>
            <w:r>
              <w:rPr>
                <w:b/>
                <w:color w:val="1C3A36"/>
                <w:sz w:val="16"/>
              </w:rPr>
              <w:t>2026</w:t>
            </w:r>
          </w:p>
        </w:tc>
        <w:tc>
          <w:tcPr>
            <w:tcW w:type="dxa" w:w="1325"/>
            <w:shd w:val="clear" w:color="auto" w:fill="EAF0EE"/>
          </w:tcPr>
          <w:p>
            <w:pPr>
              <w:spacing w:after="20"/>
            </w:pPr>
            <w:r>
              <w:rPr>
                <w:b/>
                <w:color w:val="1C3A36"/>
                <w:sz w:val="16"/>
              </w:rPr>
              <w:t>2027</w:t>
            </w:r>
          </w:p>
        </w:tc>
        <w:tc>
          <w:tcPr>
            <w:tcW w:type="dxa" w:w="1325"/>
            <w:shd w:val="clear" w:color="auto" w:fill="EAF0EE"/>
          </w:tcPr>
          <w:p>
            <w:pPr>
              <w:spacing w:after="20"/>
            </w:pPr>
            <w:r>
              <w:rPr>
                <w:b/>
                <w:color w:val="1C3A36"/>
                <w:sz w:val="16"/>
              </w:rPr>
              <w:t>2028</w:t>
            </w:r>
          </w:p>
        </w:tc>
        <w:tc>
          <w:tcPr>
            <w:tcW w:type="dxa" w:w="1325"/>
            <w:shd w:val="clear" w:color="auto" w:fill="EAF0EE"/>
          </w:tcPr>
          <w:p>
            <w:pPr>
              <w:spacing w:after="20"/>
            </w:pPr>
            <w:r>
              <w:rPr>
                <w:b/>
                <w:color w:val="1C3A36"/>
                <w:sz w:val="16"/>
              </w:rPr>
              <w:t>2029</w:t>
            </w:r>
          </w:p>
        </w:tc>
        <w:tc>
          <w:tcPr>
            <w:tcW w:type="dxa" w:w="1325"/>
            <w:shd w:val="clear" w:color="auto" w:fill="EAF0EE"/>
          </w:tcPr>
          <w:p>
            <w:pPr>
              <w:spacing w:after="20"/>
            </w:pPr>
            <w:r>
              <w:rPr>
                <w:b/>
                <w:color w:val="1C3A36"/>
                <w:sz w:val="16"/>
              </w:rPr>
              <w:t>2030</w:t>
            </w:r>
          </w:p>
        </w:tc>
      </w:tr>
      <w:tr>
        <w:tc>
          <w:tcPr>
            <w:tcW w:type="dxa" w:w="3384"/>
          </w:tcPr>
          <w:p>
            <w:pPr>
              <w:spacing w:after="20"/>
            </w:pPr>
            <w:r>
              <w:rPr>
                <w:color w:val="1C3A36"/>
                <w:sz w:val="16"/>
              </w:rPr>
              <w:t>EBIT</w:t>
            </w:r>
          </w:p>
        </w:tc>
        <w:tc>
          <w:tcPr>
            <w:tcW w:type="dxa" w:w="1325"/>
          </w:tcPr>
          <w:p>
            <w:pPr>
              <w:spacing w:after="20"/>
              <w:jc w:val="right"/>
            </w:pPr>
            <w:r>
              <w:rPr>
                <w:color w:val="1C3A36"/>
                <w:sz w:val="16"/>
              </w:rPr>
              <w:t>1,491</w:t>
            </w:r>
          </w:p>
        </w:tc>
        <w:tc>
          <w:tcPr>
            <w:tcW w:type="dxa" w:w="1325"/>
          </w:tcPr>
          <w:p>
            <w:pPr>
              <w:spacing w:after="20"/>
              <w:jc w:val="right"/>
            </w:pPr>
            <w:r>
              <w:rPr>
                <w:color w:val="1C3A36"/>
                <w:sz w:val="16"/>
              </w:rPr>
              <w:t>1,611</w:t>
            </w:r>
          </w:p>
        </w:tc>
        <w:tc>
          <w:tcPr>
            <w:tcW w:type="dxa" w:w="1325"/>
          </w:tcPr>
          <w:p>
            <w:pPr>
              <w:spacing w:after="20"/>
              <w:jc w:val="right"/>
            </w:pPr>
            <w:r>
              <w:rPr>
                <w:color w:val="1C3A36"/>
                <w:sz w:val="16"/>
              </w:rPr>
              <w:t>1,701</w:t>
            </w:r>
          </w:p>
        </w:tc>
        <w:tc>
          <w:tcPr>
            <w:tcW w:type="dxa" w:w="1325"/>
          </w:tcPr>
          <w:p>
            <w:pPr>
              <w:spacing w:after="20"/>
              <w:jc w:val="right"/>
            </w:pPr>
            <w:r>
              <w:rPr>
                <w:color w:val="1C3A36"/>
                <w:sz w:val="16"/>
              </w:rPr>
              <w:t>1,784</w:t>
            </w:r>
          </w:p>
        </w:tc>
        <w:tc>
          <w:tcPr>
            <w:tcW w:type="dxa" w:w="1325"/>
          </w:tcPr>
          <w:p>
            <w:pPr>
              <w:spacing w:after="20"/>
              <w:jc w:val="right"/>
            </w:pPr>
            <w:r>
              <w:rPr>
                <w:color w:val="1C3A36"/>
                <w:sz w:val="16"/>
              </w:rPr>
              <w:t>1,815</w:t>
            </w:r>
          </w:p>
        </w:tc>
      </w:tr>
      <w:tr>
        <w:tc>
          <w:tcPr>
            <w:tcW w:type="dxa" w:w="3384"/>
          </w:tcPr>
          <w:p>
            <w:pPr>
              <w:spacing w:after="20"/>
            </w:pPr>
            <w:r>
              <w:rPr>
                <w:color w:val="1C3A36"/>
                <w:sz w:val="16"/>
              </w:rPr>
              <w:t>NOPAT = EBIT × (1 − 22.12%)</w:t>
            </w:r>
          </w:p>
        </w:tc>
        <w:tc>
          <w:tcPr>
            <w:tcW w:type="dxa" w:w="1325"/>
          </w:tcPr>
          <w:p>
            <w:pPr>
              <w:spacing w:after="20"/>
              <w:jc w:val="right"/>
            </w:pPr>
            <w:r>
              <w:rPr>
                <w:color w:val="1C3A36"/>
                <w:sz w:val="16"/>
              </w:rPr>
              <w:t>1,161</w:t>
            </w:r>
          </w:p>
        </w:tc>
        <w:tc>
          <w:tcPr>
            <w:tcW w:type="dxa" w:w="1325"/>
          </w:tcPr>
          <w:p>
            <w:pPr>
              <w:spacing w:after="20"/>
              <w:jc w:val="right"/>
            </w:pPr>
            <w:r>
              <w:rPr>
                <w:color w:val="1C3A36"/>
                <w:sz w:val="16"/>
              </w:rPr>
              <w:t>1,255</w:t>
            </w:r>
          </w:p>
        </w:tc>
        <w:tc>
          <w:tcPr>
            <w:tcW w:type="dxa" w:w="1325"/>
          </w:tcPr>
          <w:p>
            <w:pPr>
              <w:spacing w:after="20"/>
              <w:jc w:val="right"/>
            </w:pPr>
            <w:r>
              <w:rPr>
                <w:color w:val="1C3A36"/>
                <w:sz w:val="16"/>
              </w:rPr>
              <w:t>1,325</w:t>
            </w:r>
          </w:p>
        </w:tc>
        <w:tc>
          <w:tcPr>
            <w:tcW w:type="dxa" w:w="1325"/>
          </w:tcPr>
          <w:p>
            <w:pPr>
              <w:spacing w:after="20"/>
              <w:jc w:val="right"/>
            </w:pPr>
            <w:r>
              <w:rPr>
                <w:color w:val="1C3A36"/>
                <w:sz w:val="16"/>
              </w:rPr>
              <w:t>1,390</w:t>
            </w:r>
          </w:p>
        </w:tc>
        <w:tc>
          <w:tcPr>
            <w:tcW w:type="dxa" w:w="1325"/>
          </w:tcPr>
          <w:p>
            <w:pPr>
              <w:spacing w:after="20"/>
              <w:jc w:val="right"/>
            </w:pPr>
            <w:r>
              <w:rPr>
                <w:color w:val="1C3A36"/>
                <w:sz w:val="16"/>
              </w:rPr>
              <w:t>1,414</w:t>
            </w:r>
          </w:p>
        </w:tc>
      </w:tr>
      <w:tr>
        <w:tc>
          <w:tcPr>
            <w:tcW w:type="dxa" w:w="3384"/>
          </w:tcPr>
          <w:p>
            <w:pPr>
              <w:spacing w:after="20"/>
            </w:pPr>
            <w:r>
              <w:rPr>
                <w:color w:val="1C3A36"/>
                <w:sz w:val="16"/>
              </w:rPr>
              <w:t>add back depreciation and amortisation</w:t>
            </w:r>
          </w:p>
        </w:tc>
        <w:tc>
          <w:tcPr>
            <w:tcW w:type="dxa" w:w="1325"/>
          </w:tcPr>
          <w:p>
            <w:pPr>
              <w:spacing w:after="20"/>
              <w:jc w:val="right"/>
            </w:pPr>
            <w:r>
              <w:rPr>
                <w:color w:val="1C3A36"/>
                <w:sz w:val="16"/>
              </w:rPr>
              <w:t>148</w:t>
            </w:r>
          </w:p>
        </w:tc>
        <w:tc>
          <w:tcPr>
            <w:tcW w:type="dxa" w:w="1325"/>
          </w:tcPr>
          <w:p>
            <w:pPr>
              <w:spacing w:after="20"/>
              <w:jc w:val="right"/>
            </w:pPr>
            <w:r>
              <w:rPr>
                <w:color w:val="1C3A36"/>
                <w:sz w:val="16"/>
              </w:rPr>
              <w:t>148</w:t>
            </w:r>
          </w:p>
        </w:tc>
        <w:tc>
          <w:tcPr>
            <w:tcW w:type="dxa" w:w="1325"/>
          </w:tcPr>
          <w:p>
            <w:pPr>
              <w:spacing w:after="20"/>
              <w:jc w:val="right"/>
            </w:pPr>
            <w:r>
              <w:rPr>
                <w:color w:val="1C3A36"/>
                <w:sz w:val="16"/>
              </w:rPr>
              <w:t>148</w:t>
            </w:r>
          </w:p>
        </w:tc>
        <w:tc>
          <w:tcPr>
            <w:tcW w:type="dxa" w:w="1325"/>
          </w:tcPr>
          <w:p>
            <w:pPr>
              <w:spacing w:after="20"/>
              <w:jc w:val="right"/>
            </w:pPr>
            <w:r>
              <w:rPr>
                <w:color w:val="1C3A36"/>
                <w:sz w:val="16"/>
              </w:rPr>
              <w:t>148</w:t>
            </w:r>
          </w:p>
        </w:tc>
        <w:tc>
          <w:tcPr>
            <w:tcW w:type="dxa" w:w="1325"/>
          </w:tcPr>
          <w:p>
            <w:pPr>
              <w:spacing w:after="20"/>
              <w:jc w:val="right"/>
            </w:pPr>
            <w:r>
              <w:rPr>
                <w:color w:val="1C3A36"/>
                <w:sz w:val="16"/>
              </w:rPr>
              <w:t>148</w:t>
            </w:r>
          </w:p>
        </w:tc>
      </w:tr>
      <w:tr>
        <w:tc>
          <w:tcPr>
            <w:tcW w:type="dxa" w:w="3384"/>
          </w:tcPr>
          <w:p>
            <w:pPr>
              <w:spacing w:after="20"/>
            </w:pPr>
            <w:r>
              <w:rPr>
                <w:color w:val="1C3A36"/>
                <w:sz w:val="16"/>
              </w:rPr>
              <w:t>less capital expenditure (ACTUAL run rate, inflated)</w:t>
            </w:r>
          </w:p>
        </w:tc>
        <w:tc>
          <w:tcPr>
            <w:tcW w:type="dxa" w:w="1325"/>
          </w:tcPr>
          <w:p>
            <w:pPr>
              <w:spacing w:after="20"/>
              <w:jc w:val="right"/>
            </w:pPr>
            <w:r>
              <w:rPr>
                <w:color w:val="1C3A36"/>
                <w:sz w:val="16"/>
              </w:rPr>
              <w:t>(146)</w:t>
            </w:r>
          </w:p>
        </w:tc>
        <w:tc>
          <w:tcPr>
            <w:tcW w:type="dxa" w:w="1325"/>
          </w:tcPr>
          <w:p>
            <w:pPr>
              <w:spacing w:after="20"/>
              <w:jc w:val="right"/>
            </w:pPr>
            <w:r>
              <w:rPr>
                <w:color w:val="1C3A36"/>
                <w:sz w:val="16"/>
              </w:rPr>
              <w:t>(164)</w:t>
            </w:r>
          </w:p>
        </w:tc>
        <w:tc>
          <w:tcPr>
            <w:tcW w:type="dxa" w:w="1325"/>
          </w:tcPr>
          <w:p>
            <w:pPr>
              <w:spacing w:after="20"/>
              <w:jc w:val="right"/>
            </w:pPr>
            <w:r>
              <w:rPr>
                <w:color w:val="1C3A36"/>
                <w:sz w:val="16"/>
              </w:rPr>
              <w:t>(183)</w:t>
            </w:r>
          </w:p>
        </w:tc>
        <w:tc>
          <w:tcPr>
            <w:tcW w:type="dxa" w:w="1325"/>
          </w:tcPr>
          <w:p>
            <w:pPr>
              <w:spacing w:after="20"/>
              <w:jc w:val="right"/>
            </w:pPr>
            <w:r>
              <w:rPr>
                <w:color w:val="1C3A36"/>
                <w:sz w:val="16"/>
              </w:rPr>
              <w:t>(202)</w:t>
            </w:r>
          </w:p>
        </w:tc>
        <w:tc>
          <w:tcPr>
            <w:tcW w:type="dxa" w:w="1325"/>
          </w:tcPr>
          <w:p>
            <w:pPr>
              <w:spacing w:after="20"/>
              <w:jc w:val="right"/>
            </w:pPr>
            <w:r>
              <w:rPr>
                <w:color w:val="1C3A36"/>
                <w:sz w:val="16"/>
              </w:rPr>
              <w:t>(221)</w:t>
            </w:r>
          </w:p>
        </w:tc>
      </w:tr>
      <w:tr>
        <w:tc>
          <w:tcPr>
            <w:tcW w:type="dxa" w:w="3384"/>
          </w:tcPr>
          <w:p>
            <w:pPr>
              <w:spacing w:after="20"/>
            </w:pPr>
            <w:r>
              <w:rPr>
                <w:color w:val="1C3A36"/>
                <w:sz w:val="16"/>
              </w:rPr>
              <w:t>less change in net working capital</w:t>
            </w:r>
          </w:p>
        </w:tc>
        <w:tc>
          <w:tcPr>
            <w:tcW w:type="dxa" w:w="1325"/>
          </w:tcPr>
          <w:p>
            <w:pPr>
              <w:spacing w:after="20"/>
              <w:jc w:val="right"/>
            </w:pPr>
            <w:r>
              <w:rPr>
                <w:color w:val="1C3A36"/>
                <w:sz w:val="16"/>
              </w:rPr>
              <w:t>(208)</w:t>
            </w:r>
          </w:p>
        </w:tc>
        <w:tc>
          <w:tcPr>
            <w:tcW w:type="dxa" w:w="1325"/>
          </w:tcPr>
          <w:p>
            <w:pPr>
              <w:spacing w:after="20"/>
              <w:jc w:val="right"/>
            </w:pPr>
            <w:r>
              <w:rPr>
                <w:color w:val="1C3A36"/>
                <w:sz w:val="16"/>
              </w:rPr>
              <w:t>(206)</w:t>
            </w:r>
          </w:p>
        </w:tc>
        <w:tc>
          <w:tcPr>
            <w:tcW w:type="dxa" w:w="1325"/>
          </w:tcPr>
          <w:p>
            <w:pPr>
              <w:spacing w:after="20"/>
              <w:jc w:val="right"/>
            </w:pPr>
            <w:r>
              <w:rPr>
                <w:color w:val="1C3A36"/>
                <w:sz w:val="16"/>
              </w:rPr>
              <w:t>(196)</w:t>
            </w:r>
          </w:p>
        </w:tc>
        <w:tc>
          <w:tcPr>
            <w:tcW w:type="dxa" w:w="1325"/>
          </w:tcPr>
          <w:p>
            <w:pPr>
              <w:spacing w:after="20"/>
              <w:jc w:val="right"/>
            </w:pPr>
            <w:r>
              <w:rPr>
                <w:color w:val="1C3A36"/>
                <w:sz w:val="16"/>
              </w:rPr>
              <w:t>(190)</w:t>
            </w:r>
          </w:p>
        </w:tc>
        <w:tc>
          <w:tcPr>
            <w:tcW w:type="dxa" w:w="1325"/>
          </w:tcPr>
          <w:p>
            <w:pPr>
              <w:spacing w:after="20"/>
              <w:jc w:val="right"/>
            </w:pPr>
            <w:r>
              <w:rPr>
                <w:color w:val="1C3A36"/>
                <w:sz w:val="16"/>
              </w:rPr>
              <w:t>(185)</w:t>
            </w:r>
          </w:p>
        </w:tc>
      </w:tr>
      <w:tr>
        <w:tc>
          <w:tcPr>
            <w:tcW w:type="dxa" w:w="3384"/>
            <w:shd w:val="clear" w:color="auto" w:fill="F6F1E6"/>
          </w:tcPr>
          <w:p>
            <w:pPr>
              <w:spacing w:after="20"/>
            </w:pPr>
            <w:r>
              <w:rPr>
                <w:b/>
                <w:color w:val="1C3A36"/>
                <w:sz w:val="16"/>
              </w:rPr>
              <w:t>FREE CASH FLOW TO THE FIRM</w:t>
            </w:r>
          </w:p>
        </w:tc>
        <w:tc>
          <w:tcPr>
            <w:tcW w:type="dxa" w:w="1325"/>
            <w:shd w:val="clear" w:color="auto" w:fill="F6F1E6"/>
          </w:tcPr>
          <w:p>
            <w:pPr>
              <w:spacing w:after="20"/>
              <w:jc w:val="right"/>
            </w:pPr>
            <w:r>
              <w:rPr>
                <w:b/>
                <w:color w:val="1C3A36"/>
                <w:sz w:val="16"/>
              </w:rPr>
              <w:t>955</w:t>
            </w:r>
          </w:p>
        </w:tc>
        <w:tc>
          <w:tcPr>
            <w:tcW w:type="dxa" w:w="1325"/>
            <w:shd w:val="clear" w:color="auto" w:fill="F6F1E6"/>
          </w:tcPr>
          <w:p>
            <w:pPr>
              <w:spacing w:after="20"/>
              <w:jc w:val="right"/>
            </w:pPr>
            <w:r>
              <w:rPr>
                <w:b/>
                <w:color w:val="1C3A36"/>
                <w:sz w:val="16"/>
              </w:rPr>
              <w:t>1,032</w:t>
            </w:r>
          </w:p>
        </w:tc>
        <w:tc>
          <w:tcPr>
            <w:tcW w:type="dxa" w:w="1325"/>
            <w:shd w:val="clear" w:color="auto" w:fill="F6F1E6"/>
          </w:tcPr>
          <w:p>
            <w:pPr>
              <w:spacing w:after="20"/>
              <w:jc w:val="right"/>
            </w:pPr>
            <w:r>
              <w:rPr>
                <w:b/>
                <w:color w:val="1C3A36"/>
                <w:sz w:val="16"/>
              </w:rPr>
              <w:t>1,093</w:t>
            </w:r>
          </w:p>
        </w:tc>
        <w:tc>
          <w:tcPr>
            <w:tcW w:type="dxa" w:w="1325"/>
            <w:shd w:val="clear" w:color="auto" w:fill="F6F1E6"/>
          </w:tcPr>
          <w:p>
            <w:pPr>
              <w:spacing w:after="20"/>
              <w:jc w:val="right"/>
            </w:pPr>
            <w:r>
              <w:rPr>
                <w:b/>
                <w:color w:val="1C3A36"/>
                <w:sz w:val="16"/>
              </w:rPr>
              <w:t>1,145</w:t>
            </w:r>
          </w:p>
        </w:tc>
        <w:tc>
          <w:tcPr>
            <w:tcW w:type="dxa" w:w="1325"/>
            <w:shd w:val="clear" w:color="auto" w:fill="F6F1E6"/>
          </w:tcPr>
          <w:p>
            <w:pPr>
              <w:spacing w:after="20"/>
              <w:jc w:val="right"/>
            </w:pPr>
            <w:r>
              <w:rPr>
                <w:b/>
                <w:color w:val="1C3A36"/>
                <w:sz w:val="16"/>
              </w:rPr>
              <w:t>1,156</w:t>
            </w:r>
          </w:p>
        </w:tc>
      </w:tr>
      <w:tr>
        <w:tc>
          <w:tcPr>
            <w:tcW w:type="dxa" w:w="3384"/>
          </w:tcPr>
          <w:p>
            <w:pPr>
              <w:spacing w:after="20"/>
            </w:pPr>
            <w:r>
              <w:rPr>
                <w:color w:val="1C3A36"/>
                <w:sz w:val="16"/>
              </w:rPr>
              <w:t>Discount factor</w:t>
            </w:r>
          </w:p>
        </w:tc>
        <w:tc>
          <w:tcPr>
            <w:tcW w:type="dxa" w:w="1325"/>
          </w:tcPr>
          <w:p>
            <w:pPr>
              <w:spacing w:after="20"/>
              <w:jc w:val="right"/>
            </w:pPr>
            <w:r>
              <w:rPr>
                <w:color w:val="1C3A36"/>
                <w:sz w:val="16"/>
              </w:rPr>
              <w:t>0.7600</w:t>
            </w:r>
          </w:p>
        </w:tc>
        <w:tc>
          <w:tcPr>
            <w:tcW w:type="dxa" w:w="1325"/>
          </w:tcPr>
          <w:p>
            <w:pPr>
              <w:spacing w:after="20"/>
              <w:jc w:val="right"/>
            </w:pPr>
            <w:r>
              <w:rPr>
                <w:color w:val="1C3A36"/>
                <w:sz w:val="16"/>
              </w:rPr>
              <w:t>0.6022</w:t>
            </w:r>
          </w:p>
        </w:tc>
        <w:tc>
          <w:tcPr>
            <w:tcW w:type="dxa" w:w="1325"/>
          </w:tcPr>
          <w:p>
            <w:pPr>
              <w:spacing w:after="20"/>
              <w:jc w:val="right"/>
            </w:pPr>
            <w:r>
              <w:rPr>
                <w:color w:val="1C3A36"/>
                <w:sz w:val="16"/>
              </w:rPr>
              <w:t>0.4939</w:t>
            </w:r>
          </w:p>
        </w:tc>
        <w:tc>
          <w:tcPr>
            <w:tcW w:type="dxa" w:w="1325"/>
          </w:tcPr>
          <w:p>
            <w:pPr>
              <w:spacing w:after="20"/>
              <w:jc w:val="right"/>
            </w:pPr>
            <w:r>
              <w:rPr>
                <w:color w:val="1C3A36"/>
                <w:sz w:val="16"/>
              </w:rPr>
              <w:t>0.4162</w:t>
            </w:r>
          </w:p>
        </w:tc>
        <w:tc>
          <w:tcPr>
            <w:tcW w:type="dxa" w:w="1325"/>
          </w:tcPr>
          <w:p>
            <w:pPr>
              <w:spacing w:after="20"/>
              <w:jc w:val="right"/>
            </w:pPr>
            <w:r>
              <w:rPr>
                <w:color w:val="1C3A36"/>
                <w:sz w:val="16"/>
              </w:rPr>
              <w:t>0.3571</w:t>
            </w:r>
          </w:p>
        </w:tc>
      </w:tr>
      <w:tr>
        <w:tc>
          <w:tcPr>
            <w:tcW w:type="dxa" w:w="3384"/>
            <w:shd w:val="clear" w:color="auto" w:fill="F6F1E6"/>
          </w:tcPr>
          <w:p>
            <w:pPr>
              <w:spacing w:after="20"/>
            </w:pPr>
            <w:r>
              <w:rPr>
                <w:b/>
                <w:color w:val="1C3A36"/>
                <w:sz w:val="16"/>
              </w:rPr>
              <w:t>PRESENT VALUE</w:t>
            </w:r>
          </w:p>
        </w:tc>
        <w:tc>
          <w:tcPr>
            <w:tcW w:type="dxa" w:w="1325"/>
            <w:shd w:val="clear" w:color="auto" w:fill="F6F1E6"/>
          </w:tcPr>
          <w:p>
            <w:pPr>
              <w:spacing w:after="20"/>
              <w:jc w:val="right"/>
            </w:pPr>
            <w:r>
              <w:rPr>
                <w:b/>
                <w:color w:val="1C3A36"/>
                <w:sz w:val="16"/>
              </w:rPr>
              <w:t>726</w:t>
            </w:r>
          </w:p>
        </w:tc>
        <w:tc>
          <w:tcPr>
            <w:tcW w:type="dxa" w:w="1325"/>
            <w:shd w:val="clear" w:color="auto" w:fill="F6F1E6"/>
          </w:tcPr>
          <w:p>
            <w:pPr>
              <w:spacing w:after="20"/>
              <w:jc w:val="right"/>
            </w:pPr>
            <w:r>
              <w:rPr>
                <w:b/>
                <w:color w:val="1C3A36"/>
                <w:sz w:val="16"/>
              </w:rPr>
              <w:t>622</w:t>
            </w:r>
          </w:p>
        </w:tc>
        <w:tc>
          <w:tcPr>
            <w:tcW w:type="dxa" w:w="1325"/>
            <w:shd w:val="clear" w:color="auto" w:fill="F6F1E6"/>
          </w:tcPr>
          <w:p>
            <w:pPr>
              <w:spacing w:after="20"/>
              <w:jc w:val="right"/>
            </w:pPr>
            <w:r>
              <w:rPr>
                <w:b/>
                <w:color w:val="1C3A36"/>
                <w:sz w:val="16"/>
              </w:rPr>
              <w:t>540</w:t>
            </w:r>
          </w:p>
        </w:tc>
        <w:tc>
          <w:tcPr>
            <w:tcW w:type="dxa" w:w="1325"/>
            <w:shd w:val="clear" w:color="auto" w:fill="F6F1E6"/>
          </w:tcPr>
          <w:p>
            <w:pPr>
              <w:spacing w:after="20"/>
              <w:jc w:val="right"/>
            </w:pPr>
            <w:r>
              <w:rPr>
                <w:b/>
                <w:color w:val="1C3A36"/>
                <w:sz w:val="16"/>
              </w:rPr>
              <w:t>477</w:t>
            </w:r>
          </w:p>
        </w:tc>
        <w:tc>
          <w:tcPr>
            <w:tcW w:type="dxa" w:w="1325"/>
            <w:shd w:val="clear" w:color="auto" w:fill="F6F1E6"/>
          </w:tcPr>
          <w:p>
            <w:pPr>
              <w:spacing w:after="20"/>
              <w:jc w:val="right"/>
            </w:pPr>
            <w:r>
              <w:rPr>
                <w:b/>
                <w:color w:val="1C3A36"/>
                <w:sz w:val="16"/>
              </w:rPr>
              <w:t>413</w:t>
            </w:r>
          </w:p>
        </w:tc>
      </w:tr>
    </w:tbl>
    <w:p>
      <w:pPr>
        <w:spacing w:after="40"/>
      </w:pPr>
    </w:p>
    <w:p>
      <w:pPr>
        <w:spacing w:after="200" w:before="0"/>
      </w:pPr>
      <w:r>
        <w:rPr>
          <w:b w:val="0"/>
          <w:i/>
          <w:color w:val="6E7B77"/>
          <w:sz w:val="17"/>
        </w:rPr>
        <w:t>Capital expenditure is held at the ACTUAL cash run rate from the two filings, inflated — EGP 146mn in the first forecast year against a depreciation charge of EGP 148mn. The previous edition modelled EGP 604mn. A reader who believes the plant must eventually be renewed should raise this line; it is the sharpest single criticism available of this valuation and section 1.9 and section 7 both say so.</w:t>
      </w:r>
    </w:p>
    <w:p>
      <w:pPr>
        <w:spacing w:after="40"/>
        <w:jc w:val="center"/>
      </w:pPr>
      <w:r>
        <w:drawing>
          <wp:inline xmlns:a="http://schemas.openxmlformats.org/drawingml/2006/main" xmlns:pic="http://schemas.openxmlformats.org/drawingml/2006/picture">
            <wp:extent cx="6035040" cy="2621280"/>
            <wp:docPr id="3" name="Picture 3"/>
            <wp:cNvGraphicFramePr>
              <a:graphicFrameLocks noChangeAspect="1"/>
            </wp:cNvGraphicFramePr>
            <a:graphic>
              <a:graphicData uri="http://schemas.openxmlformats.org/drawingml/2006/picture">
                <pic:pic>
                  <pic:nvPicPr>
                    <pic:cNvPr id="0" name="fig8_waterfall.png"/>
                    <pic:cNvPicPr/>
                  </pic:nvPicPr>
                  <pic:blipFill>
                    <a:blip r:embed="rId11"/>
                    <a:stretch>
                      <a:fillRect/>
                    </a:stretch>
                  </pic:blipFill>
                  <pic:spPr>
                    <a:xfrm>
                      <a:off x="0" y="0"/>
                      <a:ext cx="6035040" cy="2621280"/>
                    </a:xfrm>
                    <a:prstGeom prst="rect"/>
                  </pic:spPr>
                </pic:pic>
              </a:graphicData>
            </a:graphic>
          </wp:inline>
        </w:drawing>
      </w:r>
    </w:p>
    <w:p>
      <w:pPr>
        <w:spacing w:after="200" w:before="0"/>
      </w:pPr>
      <w:r>
        <w:rPr>
          <w:b w:val="0"/>
          <w:i/>
          <w:color w:val="6E7B77"/>
          <w:sz w:val="17"/>
        </w:rPr>
        <w:t>Figure 3 — the waterfall for the first forecast year, drawn to scale.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544"/>
        <w:gridCol w:w="2088"/>
        <w:gridCol w:w="1872"/>
      </w:tblGrid>
      <w:tr>
        <w:tc>
          <w:tcPr>
            <w:tcW w:type="dxa" w:w="5544"/>
            <w:shd w:val="clear" w:color="auto" w:fill="EAF0EE"/>
          </w:tcPr>
          <w:p>
            <w:pPr>
              <w:spacing w:after="20"/>
            </w:pPr>
            <w:r>
              <w:rPr>
                <w:b/>
                <w:color w:val="1C3A36"/>
                <w:sz w:val="17"/>
              </w:rPr>
              <w:t>Enterprise value to equity</w:t>
            </w:r>
          </w:p>
        </w:tc>
        <w:tc>
          <w:tcPr>
            <w:tcW w:type="dxa" w:w="2088"/>
            <w:shd w:val="clear" w:color="auto" w:fill="EAF0EE"/>
          </w:tcPr>
          <w:p>
            <w:pPr>
              <w:spacing w:after="20"/>
            </w:pPr>
            <w:r>
              <w:rPr>
                <w:b/>
                <w:color w:val="1C3A36"/>
                <w:sz w:val="17"/>
              </w:rPr>
              <w:t>EGP mn</w:t>
            </w:r>
          </w:p>
        </w:tc>
        <w:tc>
          <w:tcPr>
            <w:tcW w:type="dxa" w:w="1872"/>
            <w:shd w:val="clear" w:color="auto" w:fill="EAF0EE"/>
          </w:tcPr>
          <w:p>
            <w:pPr>
              <w:spacing w:after="20"/>
            </w:pPr>
            <w:r>
              <w:rPr>
                <w:b/>
                <w:color w:val="1C3A36"/>
                <w:sz w:val="17"/>
              </w:rPr>
              <w:t>EGP / share</w:t>
            </w:r>
          </w:p>
        </w:tc>
      </w:tr>
      <w:tr>
        <w:tc>
          <w:tcPr>
            <w:tcW w:type="dxa" w:w="5544"/>
          </w:tcPr>
          <w:p>
            <w:pPr>
              <w:spacing w:after="20"/>
            </w:pPr>
            <w:r>
              <w:rPr>
                <w:color w:val="1C3A36"/>
                <w:sz w:val="17"/>
              </w:rPr>
              <w:t>Present value of the explicit five years</w:t>
            </w:r>
          </w:p>
        </w:tc>
        <w:tc>
          <w:tcPr>
            <w:tcW w:type="dxa" w:w="2088"/>
          </w:tcPr>
          <w:p>
            <w:pPr>
              <w:spacing w:after="20"/>
              <w:jc w:val="right"/>
            </w:pPr>
            <w:r>
              <w:rPr>
                <w:color w:val="1C3A36"/>
                <w:sz w:val="17"/>
              </w:rPr>
              <w:t>2,777</w:t>
            </w:r>
          </w:p>
        </w:tc>
        <w:tc>
          <w:tcPr>
            <w:tcW w:type="dxa" w:w="1872"/>
          </w:tcPr>
          <w:p>
            <w:pPr>
              <w:spacing w:after="20"/>
              <w:jc w:val="right"/>
            </w:pPr>
            <w:r>
              <w:rPr>
                <w:color w:val="1C3A36"/>
                <w:sz w:val="17"/>
              </w:rPr>
              <w:t>2.15</w:t>
            </w:r>
          </w:p>
        </w:tc>
      </w:tr>
      <w:tr>
        <w:tc>
          <w:tcPr>
            <w:tcW w:type="dxa" w:w="5544"/>
          </w:tcPr>
          <w:p>
            <w:pPr>
              <w:spacing w:after="20"/>
            </w:pPr>
            <w:r>
              <w:rPr>
                <w:color w:val="1C3A36"/>
                <w:sz w:val="17"/>
              </w:rPr>
              <w:t>Present value of the terminal block</w:t>
            </w:r>
          </w:p>
        </w:tc>
        <w:tc>
          <w:tcPr>
            <w:tcW w:type="dxa" w:w="2088"/>
          </w:tcPr>
          <w:p>
            <w:pPr>
              <w:spacing w:after="20"/>
              <w:jc w:val="right"/>
            </w:pPr>
            <w:r>
              <w:rPr>
                <w:color w:val="1C3A36"/>
                <w:sz w:val="17"/>
              </w:rPr>
              <w:t>3,942</w:t>
            </w:r>
          </w:p>
        </w:tc>
        <w:tc>
          <w:tcPr>
            <w:tcW w:type="dxa" w:w="1872"/>
          </w:tcPr>
          <w:p>
            <w:pPr>
              <w:spacing w:after="20"/>
              <w:jc w:val="right"/>
            </w:pPr>
            <w:r>
              <w:rPr>
                <w:color w:val="1C3A36"/>
                <w:sz w:val="17"/>
              </w:rPr>
              <w:t>3.05</w:t>
            </w:r>
          </w:p>
        </w:tc>
      </w:tr>
      <w:tr>
        <w:tc>
          <w:tcPr>
            <w:tcW w:type="dxa" w:w="5544"/>
            <w:shd w:val="clear" w:color="auto" w:fill="F6F1E6"/>
          </w:tcPr>
          <w:p>
            <w:pPr>
              <w:spacing w:after="20"/>
            </w:pPr>
            <w:r>
              <w:rPr>
                <w:b/>
                <w:color w:val="1C3A36"/>
                <w:sz w:val="17"/>
              </w:rPr>
              <w:t>TERMINAL VALUE AS A PERCENTAGE OF ENTERPRISE VALUE</w:t>
            </w:r>
          </w:p>
        </w:tc>
        <w:tc>
          <w:tcPr>
            <w:tcW w:type="dxa" w:w="2088"/>
            <w:shd w:val="clear" w:color="auto" w:fill="F6F1E6"/>
          </w:tcPr>
          <w:p>
            <w:pPr>
              <w:spacing w:after="20"/>
              <w:jc w:val="right"/>
            </w:pPr>
            <w:r>
              <w:rPr>
                <w:b/>
                <w:color w:val="1C3A36"/>
                <w:sz w:val="17"/>
              </w:rPr>
              <w:t>58.7%</w:t>
            </w:r>
          </w:p>
        </w:tc>
        <w:tc>
          <w:tcPr>
            <w:tcW w:type="dxa" w:w="1872"/>
            <w:shd w:val="clear" w:color="auto" w:fill="F6F1E6"/>
          </w:tcPr>
          <w:p>
            <w:pPr>
              <w:spacing w:after="20"/>
              <w:jc w:val="right"/>
            </w:pPr>
            <w:r>
              <w:rPr>
                <w:b/>
                <w:color w:val="1C3A36"/>
                <w:sz w:val="17"/>
              </w:rPr>
            </w:r>
          </w:p>
        </w:tc>
      </w:tr>
      <w:tr>
        <w:tc>
          <w:tcPr>
            <w:tcW w:type="dxa" w:w="5544"/>
            <w:shd w:val="clear" w:color="auto" w:fill="F6F1E6"/>
          </w:tcPr>
          <w:p>
            <w:pPr>
              <w:spacing w:after="20"/>
            </w:pPr>
            <w:r>
              <w:rPr>
                <w:b/>
                <w:color w:val="1C3A36"/>
                <w:sz w:val="17"/>
              </w:rPr>
              <w:t>ENTERPRISE VALUE (the operating assets)</w:t>
            </w:r>
          </w:p>
        </w:tc>
        <w:tc>
          <w:tcPr>
            <w:tcW w:type="dxa" w:w="2088"/>
            <w:shd w:val="clear" w:color="auto" w:fill="F6F1E6"/>
          </w:tcPr>
          <w:p>
            <w:pPr>
              <w:spacing w:after="20"/>
              <w:jc w:val="right"/>
            </w:pPr>
            <w:r>
              <w:rPr>
                <w:b/>
                <w:color w:val="1C3A36"/>
                <w:sz w:val="17"/>
              </w:rPr>
              <w:t>6,719</w:t>
            </w:r>
          </w:p>
        </w:tc>
        <w:tc>
          <w:tcPr>
            <w:tcW w:type="dxa" w:w="1872"/>
            <w:shd w:val="clear" w:color="auto" w:fill="F6F1E6"/>
          </w:tcPr>
          <w:p>
            <w:pPr>
              <w:spacing w:after="20"/>
              <w:jc w:val="right"/>
            </w:pPr>
            <w:r>
              <w:rPr>
                <w:b/>
                <w:color w:val="1C3A36"/>
                <w:sz w:val="17"/>
              </w:rPr>
              <w:t>5.20</w:t>
            </w:r>
          </w:p>
        </w:tc>
      </w:tr>
      <w:tr>
        <w:tc>
          <w:tcPr>
            <w:tcW w:type="dxa" w:w="5544"/>
          </w:tcPr>
          <w:p>
            <w:pPr>
              <w:spacing w:after="20"/>
            </w:pPr>
            <w:r>
              <w:rPr>
                <w:color w:val="1C3A36"/>
                <w:sz w:val="17"/>
              </w:rPr>
              <w:t>less minority interests at 4.645%, ON THE ENTERPRISE VALUE</w:t>
            </w:r>
          </w:p>
        </w:tc>
        <w:tc>
          <w:tcPr>
            <w:tcW w:type="dxa" w:w="2088"/>
          </w:tcPr>
          <w:p>
            <w:pPr>
              <w:spacing w:after="20"/>
              <w:jc w:val="right"/>
            </w:pPr>
            <w:r>
              <w:rPr>
                <w:color w:val="1C3A36"/>
                <w:sz w:val="17"/>
              </w:rPr>
              <w:t>(312)</w:t>
            </w:r>
          </w:p>
        </w:tc>
        <w:tc>
          <w:tcPr>
            <w:tcW w:type="dxa" w:w="1872"/>
          </w:tcPr>
          <w:p>
            <w:pPr>
              <w:spacing w:after="20"/>
              <w:jc w:val="right"/>
            </w:pPr>
            <w:r>
              <w:rPr>
                <w:color w:val="1C3A36"/>
                <w:sz w:val="17"/>
              </w:rPr>
              <w:t>(0.24)</w:t>
            </w:r>
          </w:p>
        </w:tc>
      </w:tr>
      <w:tr>
        <w:tc>
          <w:tcPr>
            <w:tcW w:type="dxa" w:w="5544"/>
          </w:tcPr>
          <w:p>
            <w:pPr>
              <w:spacing w:after="20"/>
            </w:pPr>
            <w:r>
              <w:rPr>
                <w:color w:val="1C3A36"/>
                <w:sz w:val="17"/>
              </w:rPr>
              <w:t>= operating assets attributable to shareholders</w:t>
            </w:r>
          </w:p>
        </w:tc>
        <w:tc>
          <w:tcPr>
            <w:tcW w:type="dxa" w:w="2088"/>
          </w:tcPr>
          <w:p>
            <w:pPr>
              <w:spacing w:after="20"/>
              <w:jc w:val="right"/>
            </w:pPr>
            <w:r>
              <w:rPr>
                <w:color w:val="1C3A36"/>
                <w:sz w:val="17"/>
              </w:rPr>
              <w:t>6,407</w:t>
            </w:r>
          </w:p>
        </w:tc>
        <w:tc>
          <w:tcPr>
            <w:tcW w:type="dxa" w:w="1872"/>
          </w:tcPr>
          <w:p>
            <w:pPr>
              <w:spacing w:after="20"/>
              <w:jc w:val="right"/>
            </w:pPr>
            <w:r>
              <w:rPr>
                <w:color w:val="1C3A36"/>
                <w:sz w:val="17"/>
              </w:rPr>
              <w:t>4.96</w:t>
            </w:r>
          </w:p>
        </w:tc>
      </w:tr>
      <w:tr>
        <w:tc>
          <w:tcPr>
            <w:tcW w:type="dxa" w:w="5544"/>
          </w:tcPr>
          <w:p>
            <w:pPr>
              <w:spacing w:after="20"/>
            </w:pPr>
            <w:r>
              <w:rPr>
                <w:color w:val="1C3A36"/>
                <w:sz w:val="17"/>
              </w:rPr>
              <w:t>less net debt (negative — net cash is ADDED in full)</w:t>
            </w:r>
          </w:p>
        </w:tc>
        <w:tc>
          <w:tcPr>
            <w:tcW w:type="dxa" w:w="2088"/>
          </w:tcPr>
          <w:p>
            <w:pPr>
              <w:spacing w:after="20"/>
              <w:jc w:val="right"/>
            </w:pPr>
            <w:r>
              <w:rPr>
                <w:color w:val="1C3A36"/>
                <w:sz w:val="17"/>
              </w:rPr>
              <w:t>-2,443</w:t>
            </w:r>
          </w:p>
        </w:tc>
        <w:tc>
          <w:tcPr>
            <w:tcW w:type="dxa" w:w="1872"/>
          </w:tcPr>
          <w:p>
            <w:pPr>
              <w:spacing w:after="20"/>
              <w:jc w:val="right"/>
            </w:pPr>
            <w:r>
              <w:rPr>
                <w:color w:val="1C3A36"/>
                <w:sz w:val="17"/>
              </w:rPr>
              <w:t>-1.89</w:t>
            </w:r>
          </w:p>
        </w:tc>
      </w:tr>
      <w:tr>
        <w:tc>
          <w:tcPr>
            <w:tcW w:type="dxa" w:w="5544"/>
            <w:shd w:val="clear" w:color="auto" w:fill="F6F1E6"/>
          </w:tcPr>
          <w:p>
            <w:pPr>
              <w:spacing w:after="20"/>
            </w:pPr>
            <w:r>
              <w:rPr>
                <w:b/>
                <w:color w:val="1C3A36"/>
                <w:sz w:val="17"/>
              </w:rPr>
              <w:t>EQUITY ATTRIBUTABLE TO SHAREHOLDERS</w:t>
            </w:r>
          </w:p>
        </w:tc>
        <w:tc>
          <w:tcPr>
            <w:tcW w:type="dxa" w:w="2088"/>
            <w:shd w:val="clear" w:color="auto" w:fill="F6F1E6"/>
          </w:tcPr>
          <w:p>
            <w:pPr>
              <w:spacing w:after="20"/>
              <w:jc w:val="right"/>
            </w:pPr>
            <w:r>
              <w:rPr>
                <w:b/>
                <w:color w:val="1C3A36"/>
                <w:sz w:val="17"/>
              </w:rPr>
              <w:t>8,849</w:t>
            </w:r>
          </w:p>
        </w:tc>
        <w:tc>
          <w:tcPr>
            <w:tcW w:type="dxa" w:w="1872"/>
            <w:shd w:val="clear" w:color="auto" w:fill="F6F1E6"/>
          </w:tcPr>
          <w:p>
            <w:pPr>
              <w:spacing w:after="20"/>
              <w:jc w:val="right"/>
            </w:pPr>
            <w:r>
              <w:rPr>
                <w:b/>
                <w:color w:val="1C3A36"/>
                <w:sz w:val="17"/>
              </w:rPr>
              <w:t>6.85</w:t>
            </w:r>
          </w:p>
        </w:tc>
      </w:tr>
      <w:tr>
        <w:tc>
          <w:tcPr>
            <w:tcW w:type="dxa" w:w="5544"/>
          </w:tcPr>
          <w:p>
            <w:pPr>
              <w:spacing w:after="20"/>
            </w:pPr>
            <w:r>
              <w:rPr>
                <w:color w:val="1C3A36"/>
                <w:sz w:val="17"/>
              </w:rPr>
              <w:t>Market price</w:t>
            </w:r>
          </w:p>
        </w:tc>
        <w:tc>
          <w:tcPr>
            <w:tcW w:type="dxa" w:w="2088"/>
          </w:tcPr>
          <w:p>
            <w:pPr>
              <w:spacing w:after="20"/>
              <w:jc w:val="right"/>
            </w:pPr>
            <w:r>
              <w:rPr>
                <w:color w:val="1C3A36"/>
                <w:sz w:val="17"/>
              </w:rPr>
            </w:r>
          </w:p>
        </w:tc>
        <w:tc>
          <w:tcPr>
            <w:tcW w:type="dxa" w:w="1872"/>
          </w:tcPr>
          <w:p>
            <w:pPr>
              <w:spacing w:after="20"/>
              <w:jc w:val="right"/>
            </w:pPr>
            <w:r>
              <w:rPr>
                <w:color w:val="1C3A36"/>
                <w:sz w:val="17"/>
              </w:rPr>
              <w:t>9.10</w:t>
            </w:r>
          </w:p>
        </w:tc>
      </w:tr>
    </w:tbl>
    <w:p>
      <w:pPr>
        <w:spacing w:after="40"/>
      </w:pPr>
    </w:p>
    <w:p>
      <w:pPr>
        <w:spacing w:after="200" w:before="0"/>
      </w:pPr>
      <w:r>
        <w:rPr>
          <w:b w:val="0"/>
          <w:i/>
          <w:color w:val="6E7B77"/>
          <w:sz w:val="17"/>
        </w:rPr>
        <w:t>The minority comes off the OPERATING enterprise value BEFORE the cash is added, because deducting a percentage of a total that already includes the cash would hand the minority a slice of the parent's balance. The rate is the DISCLOSED 4.645%, not the 3.0% the previous edition inferred. Two disclosed balances sit outside this bridge and are named rather than buried: EGP 509mn of deposits PLEDGED against credit facilities, which are not free cash and are excluded from net debt, and the EGP 921mn tax-disputes and claims provision — EGP 0.71 a share — which a reader who thinks the exposure is incremental should subtract.</w:t>
      </w:r>
    </w:p>
    <w:p>
      <w:pPr>
        <w:spacing w:after="80" w:before="200"/>
      </w:pPr>
      <w:r>
        <w:rPr>
          <w:b/>
          <w:i w:val="0"/>
          <w:color w:val="1C3A36"/>
          <w:sz w:val="24"/>
        </w:rPr>
        <w:t>1.9  The terminal block, and the check that now binds</w:t>
      </w:r>
    </w:p>
    <w:p>
      <w:pPr>
        <w:spacing w:after="120" w:before="0"/>
      </w:pPr>
      <w:r>
        <w:rPr>
          <w:b w:val="0"/>
          <w:i w:val="0"/>
          <w:color w:val="1C3A36"/>
          <w:sz w:val="21"/>
        </w:rPr>
        <w:t>Growth in perpetuity has to be paid for with capital. The reinvestment rate is forced to satisfy growth = return × reinvestment: at a terminal return of 35.4%, funding 5% of growth requires reinvesting 14.1% of profit. Terminal value is EGP 11,040mn, 58.7% of enterprise value.</w:t>
      </w:r>
    </w:p>
    <w:p>
      <w:pPr>
        <w:spacing w:after="120" w:before="0"/>
      </w:pPr>
      <w:r>
        <w:rPr>
          <w:b w:val="0"/>
          <w:i w:val="0"/>
          <w:color w:val="1C3A36"/>
          <w:sz w:val="21"/>
        </w:rPr>
        <w:t>THAT IS NOT THE HONEST READING OF THIS COMPANY'S RECORD, AND THE STUDY WILL NOT SMOOTH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84"/>
        <w:gridCol w:w="1584"/>
        <w:gridCol w:w="1584"/>
        <w:gridCol w:w="1584"/>
      </w:tblGrid>
      <w:tr>
        <w:tc>
          <w:tcPr>
            <w:tcW w:type="dxa" w:w="3672"/>
            <w:shd w:val="clear" w:color="auto" w:fill="EAF0EE"/>
          </w:tcPr>
          <w:p>
            <w:pPr>
              <w:spacing w:after="20"/>
            </w:pPr>
            <w:r>
              <w:rPr>
                <w:b/>
                <w:color w:val="1C3A36"/>
                <w:sz w:val="16"/>
              </w:rPr>
            </w:r>
          </w:p>
        </w:tc>
        <w:tc>
          <w:tcPr>
            <w:tcW w:type="dxa" w:w="1584"/>
            <w:shd w:val="clear" w:color="auto" w:fill="EAF0EE"/>
          </w:tcPr>
          <w:p>
            <w:pPr>
              <w:spacing w:after="20"/>
            </w:pPr>
            <w:r>
              <w:rPr>
                <w:b/>
                <w:color w:val="1C3A36"/>
                <w:sz w:val="16"/>
              </w:rPr>
              <w:t>6M Dec-2024</w:t>
            </w:r>
          </w:p>
        </w:tc>
        <w:tc>
          <w:tcPr>
            <w:tcW w:type="dxa" w:w="1584"/>
            <w:shd w:val="clear" w:color="auto" w:fill="EAF0EE"/>
          </w:tcPr>
          <w:p>
            <w:pPr>
              <w:spacing w:after="20"/>
            </w:pPr>
            <w:r>
              <w:rPr>
                <w:b/>
                <w:color w:val="1C3A36"/>
                <w:sz w:val="16"/>
              </w:rPr>
              <w:t>3M Mar-2025</w:t>
            </w:r>
          </w:p>
        </w:tc>
        <w:tc>
          <w:tcPr>
            <w:tcW w:type="dxa" w:w="1584"/>
            <w:shd w:val="clear" w:color="auto" w:fill="EAF0EE"/>
          </w:tcPr>
          <w:p>
            <w:pPr>
              <w:spacing w:after="20"/>
            </w:pPr>
            <w:r>
              <w:rPr>
                <w:b/>
                <w:color w:val="1C3A36"/>
                <w:sz w:val="16"/>
              </w:rPr>
              <w:t>6M Dec-2025</w:t>
            </w:r>
          </w:p>
        </w:tc>
        <w:tc>
          <w:tcPr>
            <w:tcW w:type="dxa" w:w="1584"/>
            <w:shd w:val="clear" w:color="auto" w:fill="EAF0EE"/>
          </w:tcPr>
          <w:p>
            <w:pPr>
              <w:spacing w:after="20"/>
            </w:pPr>
            <w:r>
              <w:rPr>
                <w:b/>
                <w:color w:val="1C3A36"/>
                <w:sz w:val="16"/>
              </w:rPr>
              <w:t>3M Mar-2026</w:t>
            </w:r>
          </w:p>
        </w:tc>
      </w:tr>
      <w:tr>
        <w:tc>
          <w:tcPr>
            <w:tcW w:type="dxa" w:w="3672"/>
          </w:tcPr>
          <w:p>
            <w:pPr>
              <w:spacing w:after="20"/>
            </w:pPr>
            <w:r>
              <w:rPr>
                <w:color w:val="1C3A36"/>
                <w:sz w:val="16"/>
              </w:rPr>
              <w:t>Annualised return on invested capital</w:t>
            </w:r>
          </w:p>
        </w:tc>
        <w:tc>
          <w:tcPr>
            <w:tcW w:type="dxa" w:w="1584"/>
          </w:tcPr>
          <w:p>
            <w:pPr>
              <w:spacing w:after="20"/>
              <w:jc w:val="right"/>
            </w:pPr>
            <w:r>
              <w:rPr>
                <w:color w:val="1C3A36"/>
                <w:sz w:val="16"/>
              </w:rPr>
              <w:t>28.1%</w:t>
            </w:r>
          </w:p>
        </w:tc>
        <w:tc>
          <w:tcPr>
            <w:tcW w:type="dxa" w:w="1584"/>
          </w:tcPr>
          <w:p>
            <w:pPr>
              <w:spacing w:after="20"/>
              <w:jc w:val="right"/>
            </w:pPr>
            <w:r>
              <w:rPr>
                <w:color w:val="1C3A36"/>
                <w:sz w:val="16"/>
              </w:rPr>
              <w:t>22.2%</w:t>
            </w:r>
          </w:p>
        </w:tc>
        <w:tc>
          <w:tcPr>
            <w:tcW w:type="dxa" w:w="1584"/>
          </w:tcPr>
          <w:p>
            <w:pPr>
              <w:spacing w:after="20"/>
              <w:jc w:val="right"/>
            </w:pPr>
            <w:r>
              <w:rPr>
                <w:color w:val="1C3A36"/>
                <w:sz w:val="16"/>
              </w:rPr>
              <w:t>24.9%</w:t>
            </w:r>
          </w:p>
        </w:tc>
        <w:tc>
          <w:tcPr>
            <w:tcW w:type="dxa" w:w="1584"/>
          </w:tcPr>
          <w:p>
            <w:pPr>
              <w:spacing w:after="20"/>
              <w:jc w:val="right"/>
            </w:pPr>
            <w:r>
              <w:rPr>
                <w:color w:val="1C3A36"/>
                <w:sz w:val="16"/>
              </w:rPr>
              <w:t>66.0%</w:t>
            </w:r>
          </w:p>
        </w:tc>
      </w:tr>
      <w:tr>
        <w:tc>
          <w:tcPr>
            <w:tcW w:type="dxa" w:w="3672"/>
          </w:tcPr>
          <w:p>
            <w:pPr>
              <w:spacing w:after="20"/>
            </w:pPr>
            <w:r>
              <w:rPr>
                <w:color w:val="1C3A36"/>
                <w:sz w:val="16"/>
              </w:rPr>
              <w:t>Reinvestment rate (capex less depreciation, over NOPAT)</w:t>
            </w:r>
          </w:p>
        </w:tc>
        <w:tc>
          <w:tcPr>
            <w:tcW w:type="dxa" w:w="1584"/>
          </w:tcPr>
          <w:p>
            <w:pPr>
              <w:spacing w:after="20"/>
              <w:jc w:val="right"/>
            </w:pPr>
            <w:r>
              <w:rPr>
                <w:color w:val="1C3A36"/>
                <w:sz w:val="16"/>
              </w:rPr>
              <w:t>-6.9%</w:t>
            </w:r>
          </w:p>
        </w:tc>
        <w:tc>
          <w:tcPr>
            <w:tcW w:type="dxa" w:w="1584"/>
          </w:tcPr>
          <w:p>
            <w:pPr>
              <w:spacing w:after="20"/>
              <w:jc w:val="right"/>
            </w:pPr>
            <w:r>
              <w:rPr>
                <w:color w:val="1C3A36"/>
                <w:sz w:val="16"/>
              </w:rPr>
              <w:t>+12.7%</w:t>
            </w:r>
          </w:p>
        </w:tc>
        <w:tc>
          <w:tcPr>
            <w:tcW w:type="dxa" w:w="1584"/>
          </w:tcPr>
          <w:p>
            <w:pPr>
              <w:spacing w:after="20"/>
              <w:jc w:val="right"/>
            </w:pPr>
            <w:r>
              <w:rPr>
                <w:color w:val="1C3A36"/>
                <w:sz w:val="16"/>
              </w:rPr>
              <w:t>-10.5%</w:t>
            </w:r>
          </w:p>
        </w:tc>
        <w:tc>
          <w:tcPr>
            <w:tcW w:type="dxa" w:w="1584"/>
          </w:tcPr>
          <w:p>
            <w:pPr>
              <w:spacing w:after="20"/>
              <w:jc w:val="right"/>
            </w:pPr>
            <w:r>
              <w:rPr>
                <w:color w:val="1C3A36"/>
                <w:sz w:val="16"/>
              </w:rPr>
              <w:t>+4.9%</w:t>
            </w:r>
          </w:p>
        </w:tc>
      </w:tr>
      <w:tr>
        <w:tc>
          <w:tcPr>
            <w:tcW w:type="dxa" w:w="3672"/>
            <w:shd w:val="clear" w:color="auto" w:fill="F6F1E6"/>
          </w:tcPr>
          <w:p>
            <w:pPr>
              <w:spacing w:after="20"/>
            </w:pPr>
            <w:r>
              <w:rPr>
                <w:b/>
                <w:color w:val="1C3A36"/>
                <w:sz w:val="16"/>
              </w:rPr>
              <w:t>Implied steady-state growth</w:t>
            </w:r>
          </w:p>
        </w:tc>
        <w:tc>
          <w:tcPr>
            <w:tcW w:type="dxa" w:w="1584"/>
            <w:shd w:val="clear" w:color="auto" w:fill="F6F1E6"/>
          </w:tcPr>
          <w:p>
            <w:pPr>
              <w:spacing w:after="20"/>
              <w:jc w:val="right"/>
            </w:pPr>
            <w:r>
              <w:rPr>
                <w:b/>
                <w:color w:val="1C3A36"/>
                <w:sz w:val="16"/>
              </w:rPr>
              <w:t>-1.9%</w:t>
            </w:r>
          </w:p>
        </w:tc>
        <w:tc>
          <w:tcPr>
            <w:tcW w:type="dxa" w:w="1584"/>
            <w:shd w:val="clear" w:color="auto" w:fill="F6F1E6"/>
          </w:tcPr>
          <w:p>
            <w:pPr>
              <w:spacing w:after="20"/>
              <w:jc w:val="right"/>
            </w:pPr>
            <w:r>
              <w:rPr>
                <w:b/>
                <w:color w:val="1C3A36"/>
                <w:sz w:val="16"/>
              </w:rPr>
              <w:t>+2.8%</w:t>
            </w:r>
          </w:p>
        </w:tc>
        <w:tc>
          <w:tcPr>
            <w:tcW w:type="dxa" w:w="1584"/>
            <w:shd w:val="clear" w:color="auto" w:fill="F6F1E6"/>
          </w:tcPr>
          <w:p>
            <w:pPr>
              <w:spacing w:after="20"/>
              <w:jc w:val="right"/>
            </w:pPr>
            <w:r>
              <w:rPr>
                <w:b/>
                <w:color w:val="1C3A36"/>
                <w:sz w:val="16"/>
              </w:rPr>
              <w:t>-2.6%</w:t>
            </w:r>
          </w:p>
        </w:tc>
        <w:tc>
          <w:tcPr>
            <w:tcW w:type="dxa" w:w="1584"/>
            <w:shd w:val="clear" w:color="auto" w:fill="F6F1E6"/>
          </w:tcPr>
          <w:p>
            <w:pPr>
              <w:spacing w:after="20"/>
              <w:jc w:val="right"/>
            </w:pPr>
            <w:r>
              <w:rPr>
                <w:b/>
                <w:color w:val="1C3A36"/>
                <w:sz w:val="16"/>
              </w:rPr>
              <w:t>+3.2%</w:t>
            </w:r>
          </w:p>
        </w:tc>
      </w:tr>
    </w:tbl>
    <w:p>
      <w:pPr>
        <w:spacing w:after="40"/>
      </w:pPr>
    </w:p>
    <w:p>
      <w:pPr>
        <w:spacing w:after="200" w:before="0"/>
      </w:pPr>
      <w:r>
        <w:rPr>
          <w:b w:val="0"/>
          <w:i/>
          <w:color w:val="6E7B77"/>
          <w:sz w:val="17"/>
        </w:rPr>
        <w:t>Reinvestment is NEGATIVE in every audited period, because cash capital expenditure runs below the depreciation charge. Growth = return × reinvestment therefore implies a steady-state rate of about 0.4% — the company is shrinking its capital base, not compounding it.</w:t>
      </w:r>
    </w:p>
    <w:p>
      <w:pPr>
        <w:spacing w:after="120" w:before="0"/>
      </w:pPr>
      <w:r>
        <w:rPr>
          <w:b w:val="0"/>
          <w:i w:val="0"/>
          <w:color w:val="1C3A36"/>
          <w:sz w:val="21"/>
        </w:rPr>
        <w:t>So the adopted terminal rate of 5% is NOT supported by the reinvestment identity. Two readings are defensible and both are published rather than one being chosen quietly. Either the under-investment is temporary and capital expenditure must rise toward depreciation — in which case free cash flow in the explicit window is overstated by roughly EGP 2mn a year and the value falls — or it is durable, in which case the terminal growth rate should be at or below zero and the terminal block, 58.7% of enterprise value, is too large. The sensitivity grid runs terminal growth down to 3% and a reader can go lower; section 7 carries this as the study's sharpest unresolved weakness.</w:t>
      </w:r>
    </w:p>
    <w:p>
      <w:pPr>
        <w:spacing w:after="80" w:before="200"/>
      </w:pPr>
      <w:r>
        <w:rPr>
          <w:b/>
          <w:i w:val="0"/>
          <w:color w:val="1C3A36"/>
          <w:sz w:val="24"/>
        </w:rPr>
        <w:t>1.10  Sensitivities</w:t>
      </w:r>
    </w:p>
    <w:p>
      <w:pPr>
        <w:spacing w:after="40"/>
        <w:jc w:val="center"/>
      </w:pPr>
      <w:r>
        <w:drawing>
          <wp:inline xmlns:a="http://schemas.openxmlformats.org/drawingml/2006/main" xmlns:pic="http://schemas.openxmlformats.org/drawingml/2006/picture">
            <wp:extent cx="5760720" cy="2674620"/>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5760720" cy="2674620"/>
                    </a:xfrm>
                    <a:prstGeom prst="rect"/>
                  </pic:spPr>
                </pic:pic>
              </a:graphicData>
            </a:graphic>
          </wp:inline>
        </w:drawing>
      </w:r>
    </w:p>
    <w:p>
      <w:pPr>
        <w:spacing w:after="200" w:before="0"/>
      </w:pPr>
      <w:r>
        <w:rPr>
          <w:b w:val="0"/>
          <w:i/>
          <w:color w:val="6E7B77"/>
          <w:sz w:val="17"/>
        </w:rPr>
        <w:t>Figure 4 — fair value across the terminal cost of capital and the terminal growth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952"/>
        <w:gridCol w:w="4392"/>
      </w:tblGrid>
      <w:tr>
        <w:tc>
          <w:tcPr>
            <w:tcW w:type="dxa" w:w="2664"/>
            <w:shd w:val="clear" w:color="auto" w:fill="EAF0EE"/>
          </w:tcPr>
          <w:p>
            <w:pPr>
              <w:spacing w:after="20"/>
            </w:pPr>
            <w:r>
              <w:rPr>
                <w:b/>
                <w:color w:val="1C3A36"/>
                <w:sz w:val="16"/>
              </w:rPr>
              <w:t>Driver</w:t>
            </w:r>
          </w:p>
        </w:tc>
        <w:tc>
          <w:tcPr>
            <w:tcW w:type="dxa" w:w="2952"/>
            <w:shd w:val="clear" w:color="auto" w:fill="EAF0EE"/>
          </w:tcPr>
          <w:p>
            <w:pPr>
              <w:spacing w:after="20"/>
            </w:pPr>
            <w:r>
              <w:rPr>
                <w:b/>
                <w:color w:val="1C3A36"/>
                <w:sz w:val="16"/>
              </w:rPr>
              <w:t>Range tested</w:t>
            </w:r>
          </w:p>
        </w:tc>
        <w:tc>
          <w:tcPr>
            <w:tcW w:type="dxa" w:w="4392"/>
            <w:shd w:val="clear" w:color="auto" w:fill="EAF0EE"/>
          </w:tcPr>
          <w:p>
            <w:pPr>
              <w:spacing w:after="20"/>
            </w:pPr>
            <w:r>
              <w:rPr>
                <w:b/>
                <w:color w:val="1C3A36"/>
                <w:sz w:val="16"/>
              </w:rPr>
              <w:t>Fair value across the range (EGP)</w:t>
            </w:r>
          </w:p>
        </w:tc>
      </w:tr>
      <w:tr>
        <w:tc>
          <w:tcPr>
            <w:tcW w:type="dxa" w:w="2664"/>
          </w:tcPr>
          <w:p>
            <w:pPr>
              <w:spacing w:after="20"/>
            </w:pPr>
            <w:r>
              <w:rPr>
                <w:color w:val="1C3A36"/>
                <w:sz w:val="16"/>
              </w:rPr>
              <w:t>Terminal cost of capital</w:t>
            </w:r>
          </w:p>
        </w:tc>
        <w:tc>
          <w:tcPr>
            <w:tcW w:type="dxa" w:w="2952"/>
          </w:tcPr>
          <w:p>
            <w:pPr>
              <w:spacing w:after="20"/>
            </w:pPr>
            <w:r>
              <w:rPr>
                <w:color w:val="1C3A36"/>
                <w:sz w:val="16"/>
              </w:rPr>
              <w:t>14.5% – 18.5%</w:t>
            </w:r>
          </w:p>
        </w:tc>
        <w:tc>
          <w:tcPr>
            <w:tcW w:type="dxa" w:w="4392"/>
          </w:tcPr>
          <w:p>
            <w:pPr>
              <w:spacing w:after="20"/>
            </w:pPr>
            <w:r>
              <w:rPr>
                <w:color w:val="1C3A36"/>
                <w:sz w:val="16"/>
              </w:rPr>
              <w:t>7.67 · 7.22 · 6.85 · 6.54 · 6.27</w:t>
            </w:r>
          </w:p>
        </w:tc>
      </w:tr>
      <w:tr>
        <w:tc>
          <w:tcPr>
            <w:tcW w:type="dxa" w:w="2664"/>
          </w:tcPr>
          <w:p>
            <w:pPr>
              <w:spacing w:after="20"/>
            </w:pPr>
            <w:r>
              <w:rPr>
                <w:color w:val="1C3A36"/>
                <w:sz w:val="16"/>
              </w:rPr>
              <w:t>Terminal growth</w:t>
            </w:r>
          </w:p>
        </w:tc>
        <w:tc>
          <w:tcPr>
            <w:tcW w:type="dxa" w:w="2952"/>
          </w:tcPr>
          <w:p>
            <w:pPr>
              <w:spacing w:after="20"/>
            </w:pPr>
            <w:r>
              <w:rPr>
                <w:color w:val="1C3A36"/>
                <w:sz w:val="16"/>
              </w:rPr>
              <w:t>3% – 7%</w:t>
            </w:r>
          </w:p>
        </w:tc>
        <w:tc>
          <w:tcPr>
            <w:tcW w:type="dxa" w:w="4392"/>
          </w:tcPr>
          <w:p>
            <w:pPr>
              <w:spacing w:after="20"/>
            </w:pPr>
            <w:r>
              <w:rPr>
                <w:color w:val="1C3A36"/>
                <w:sz w:val="16"/>
              </w:rPr>
              <w:t>6.53 · 6.68 · 6.85 · 7.06 · 7.31</w:t>
            </w:r>
          </w:p>
        </w:tc>
      </w:tr>
      <w:tr>
        <w:tc>
          <w:tcPr>
            <w:tcW w:type="dxa" w:w="2664"/>
          </w:tcPr>
          <w:p>
            <w:pPr>
              <w:spacing w:after="20"/>
            </w:pPr>
            <w:r>
              <w:rPr>
                <w:color w:val="1C3A36"/>
                <w:sz w:val="16"/>
              </w:rPr>
              <w:t>Explicit-window cost of capital</w:t>
            </w:r>
          </w:p>
        </w:tc>
        <w:tc>
          <w:tcPr>
            <w:tcW w:type="dxa" w:w="2952"/>
          </w:tcPr>
          <w:p>
            <w:pPr>
              <w:spacing w:after="20"/>
            </w:pPr>
            <w:r>
              <w:rPr>
                <w:color w:val="1C3A36"/>
                <w:sz w:val="16"/>
              </w:rPr>
              <w:t>28.6% – 34.6%</w:t>
            </w:r>
          </w:p>
        </w:tc>
        <w:tc>
          <w:tcPr>
            <w:tcW w:type="dxa" w:w="4392"/>
          </w:tcPr>
          <w:p>
            <w:pPr>
              <w:spacing w:after="20"/>
            </w:pPr>
            <w:r>
              <w:rPr>
                <w:color w:val="1C3A36"/>
                <w:sz w:val="16"/>
              </w:rPr>
              <w:t>7.09 · 6.97 · 6.85 · 6.74 · 6.63</w:t>
            </w:r>
          </w:p>
        </w:tc>
      </w:tr>
      <w:tr>
        <w:tc>
          <w:tcPr>
            <w:tcW w:type="dxa" w:w="2664"/>
          </w:tcPr>
          <w:p>
            <w:pPr>
              <w:spacing w:after="20"/>
            </w:pPr>
            <w:r>
              <w:rPr>
                <w:color w:val="1C3A36"/>
                <w:sz w:val="16"/>
              </w:rPr>
              <w:t>Beta</w:t>
            </w:r>
          </w:p>
        </w:tc>
        <w:tc>
          <w:tcPr>
            <w:tcW w:type="dxa" w:w="2952"/>
          </w:tcPr>
          <w:p>
            <w:pPr>
              <w:spacing w:after="20"/>
            </w:pPr>
            <w:r>
              <w:rPr>
                <w:color w:val="1C3A36"/>
                <w:sz w:val="16"/>
              </w:rPr>
              <w:t>0.60 – 1.30</w:t>
            </w:r>
          </w:p>
        </w:tc>
        <w:tc>
          <w:tcPr>
            <w:tcW w:type="dxa" w:w="4392"/>
          </w:tcPr>
          <w:p>
            <w:pPr>
              <w:spacing w:after="20"/>
            </w:pPr>
            <w:r>
              <w:rPr>
                <w:color w:val="1C3A36"/>
                <w:sz w:val="16"/>
              </w:rPr>
              <w:t>8.24 · 7.40 · 6.93 · 6.35 · 6.01</w:t>
            </w:r>
          </w:p>
        </w:tc>
      </w:tr>
      <w:tr>
        <w:tc>
          <w:tcPr>
            <w:tcW w:type="dxa" w:w="2664"/>
          </w:tcPr>
          <w:p>
            <w:pPr>
              <w:spacing w:after="20"/>
            </w:pPr>
            <w:r>
              <w:rPr>
                <w:color w:val="1C3A36"/>
                <w:sz w:val="16"/>
              </w:rPr>
              <w:t>Gross margin shift</w:t>
            </w:r>
          </w:p>
        </w:tc>
        <w:tc>
          <w:tcPr>
            <w:tcW w:type="dxa" w:w="2952"/>
          </w:tcPr>
          <w:p>
            <w:pPr>
              <w:spacing w:after="20"/>
            </w:pPr>
            <w:r>
              <w:rPr>
                <w:color w:val="1C3A36"/>
                <w:sz w:val="16"/>
              </w:rPr>
              <w:t>-1.0% – +1.0%</w:t>
            </w:r>
          </w:p>
        </w:tc>
        <w:tc>
          <w:tcPr>
            <w:tcW w:type="dxa" w:w="4392"/>
          </w:tcPr>
          <w:p>
            <w:pPr>
              <w:spacing w:after="20"/>
            </w:pPr>
            <w:r>
              <w:rPr>
                <w:color w:val="1C3A36"/>
                <w:sz w:val="16"/>
              </w:rPr>
              <w:t>4.81 · 5.83 · 6.85 · 7.87 · 8.89</w:t>
            </w:r>
          </w:p>
        </w:tc>
      </w:tr>
      <w:tr>
        <w:tc>
          <w:tcPr>
            <w:tcW w:type="dxa" w:w="2664"/>
          </w:tcPr>
          <w:p>
            <w:pPr>
              <w:spacing w:after="20"/>
            </w:pPr>
            <w:r>
              <w:rPr>
                <w:color w:val="1C3A36"/>
                <w:sz w:val="16"/>
              </w:rPr>
              <w:t>Volume growth</w:t>
            </w:r>
          </w:p>
        </w:tc>
        <w:tc>
          <w:tcPr>
            <w:tcW w:type="dxa" w:w="2952"/>
          </w:tcPr>
          <w:p>
            <w:pPr>
              <w:spacing w:after="20"/>
            </w:pPr>
            <w:r>
              <w:rPr>
                <w:color w:val="1C3A36"/>
                <w:sz w:val="16"/>
              </w:rPr>
              <w:t>zero to double the assumed path</w:t>
            </w:r>
          </w:p>
        </w:tc>
        <w:tc>
          <w:tcPr>
            <w:tcW w:type="dxa" w:w="4392"/>
          </w:tcPr>
          <w:p>
            <w:pPr>
              <w:spacing w:after="20"/>
            </w:pPr>
            <w:r>
              <w:rPr>
                <w:color w:val="1C3A36"/>
                <w:sz w:val="16"/>
              </w:rPr>
              <w:t>2.76 · 4.64 · 6.85 · 9.22 · 11.76</w:t>
            </w:r>
          </w:p>
        </w:tc>
      </w:tr>
      <w:tr>
        <w:tc>
          <w:tcPr>
            <w:tcW w:type="dxa" w:w="2664"/>
          </w:tcPr>
          <w:p>
            <w:pPr>
              <w:spacing w:after="20"/>
            </w:pPr>
            <w:r>
              <w:rPr>
                <w:color w:val="1C3A36"/>
                <w:sz w:val="16"/>
              </w:rPr>
              <w:t>Realised price growth</w:t>
            </w:r>
          </w:p>
        </w:tc>
        <w:tc>
          <w:tcPr>
            <w:tcW w:type="dxa" w:w="2952"/>
          </w:tcPr>
          <w:p>
            <w:pPr>
              <w:spacing w:after="20"/>
            </w:pPr>
            <w:r>
              <w:rPr>
                <w:color w:val="1C3A36"/>
                <w:sz w:val="16"/>
              </w:rPr>
              <w:t>−10% to +10% on the assumed path</w:t>
            </w:r>
          </w:p>
        </w:tc>
        <w:tc>
          <w:tcPr>
            <w:tcW w:type="dxa" w:w="4392"/>
          </w:tcPr>
          <w:p>
            <w:pPr>
              <w:spacing w:after="20"/>
            </w:pPr>
            <w:r>
              <w:rPr>
                <w:color w:val="1C3A36"/>
                <w:sz w:val="16"/>
              </w:rPr>
              <w:t>6.02 · 6.43 · 6.85 · 7.27 · 7.70</w:t>
            </w:r>
          </w:p>
        </w:tc>
      </w:tr>
      <w:tr>
        <w:tc>
          <w:tcPr>
            <w:tcW w:type="dxa" w:w="2664"/>
          </w:tcPr>
          <w:p>
            <w:pPr>
              <w:spacing w:after="20"/>
            </w:pPr>
            <w:r>
              <w:rPr>
                <w:color w:val="1C3A36"/>
                <w:sz w:val="16"/>
              </w:rPr>
              <w:t>Net working capital</w:t>
            </w:r>
          </w:p>
        </w:tc>
        <w:tc>
          <w:tcPr>
            <w:tcW w:type="dxa" w:w="2952"/>
          </w:tcPr>
          <w:p>
            <w:pPr>
              <w:spacing w:after="20"/>
            </w:pPr>
            <w:r>
              <w:rPr>
                <w:color w:val="1C3A36"/>
                <w:sz w:val="16"/>
              </w:rPr>
              <w:t>0% – 5% of revenue</w:t>
            </w:r>
          </w:p>
        </w:tc>
        <w:tc>
          <w:tcPr>
            <w:tcW w:type="dxa" w:w="4392"/>
          </w:tcPr>
          <w:p>
            <w:pPr>
              <w:spacing w:after="20"/>
            </w:pPr>
            <w:r>
              <w:rPr>
                <w:color w:val="1C3A36"/>
                <w:sz w:val="16"/>
              </w:rPr>
              <w:t>8.52 · 8.12 · 6.85 · 7.32 · 6.52</w:t>
            </w:r>
          </w:p>
        </w:tc>
      </w:tr>
    </w:tbl>
    <w:p>
      <w:pPr>
        <w:spacing w:after="40"/>
      </w:pPr>
    </w:p>
    <w:p>
      <w:pPr>
        <w:spacing w:after="200" w:before="0"/>
      </w:pPr>
      <w:r>
        <w:rPr>
          <w:b w:val="0"/>
          <w:i/>
          <w:color w:val="6E7B77"/>
          <w:sz w:val="17"/>
        </w:rPr>
        <w:t>The gross-margin row is the one to read first. A half-point either way on a business whose gross margin is 7.51% moves the answer by roughly EGP 1.02 a share — and the filed record swings between 5.05% and 10.19% from one quarter to the next. That is the honest measure of how much precision this valuation admits.</w:t>
      </w:r>
    </w:p>
    <w:p>
      <w:pPr>
        <w:spacing w:after="80" w:before="200"/>
      </w:pPr>
      <w:r>
        <w:rPr>
          <w:b/>
          <w:i w:val="0"/>
          <w:color w:val="1C3A36"/>
          <w:sz w:val="24"/>
        </w:rPr>
        <w:t>1.11  The three cross-check lenses</w:t>
      </w:r>
    </w:p>
    <w:p>
      <w:pPr>
        <w:spacing w:after="120" w:before="0"/>
      </w:pPr>
      <w:r>
        <w:rPr>
          <w:b w:val="0"/>
          <w:i w:val="0"/>
          <w:color w:val="1C3A36"/>
          <w:sz w:val="21"/>
        </w:rPr>
        <w:t>Relative multiples. 4.5× on 2027E EBITDA of EGP 1,759mn gives an enterprise value AS AT that year end; discounted back at the model's own factor of 0.6022 and with the interim free cash flow of EGP 1,348mn added back rather than dropped, that is EGP 6.41 a share.</w:t>
      </w:r>
    </w:p>
    <w:p>
      <w:pPr>
        <w:spacing w:after="120" w:before="0"/>
      </w:pPr>
      <w:r>
        <w:rPr>
          <w:b w:val="0"/>
          <w:i w:val="0"/>
          <w:color w:val="1C3A36"/>
          <w:sz w:val="21"/>
        </w:rPr>
        <w:t>Normalised earnings power. Every component is taken from 2028E: EBIT of EGP 1,701mn plus the AUDITED credit-interest line annualised at EGP 316mn, taxed at 22.12% and after minorities, gives EGP 1.16 a share. At 7.5× that is EGP 8.70. The interest line is disclosed in note 14-B and in both cash-flow statements; the previous edition used a modelled interest path off a projected cash balance instead.</w:t>
      </w:r>
    </w:p>
    <w:p>
      <w:pPr>
        <w:spacing w:after="120" w:before="0"/>
      </w:pPr>
      <w:r>
        <w:rPr>
          <w:b w:val="0"/>
          <w:i w:val="0"/>
          <w:color w:val="1C3A36"/>
          <w:sz w:val="21"/>
        </w:rPr>
        <w:t>Book value and sustainable return. The justified price-to-book identity gives 1.9× = (sustainable return 28% less growth 5%) ÷ (perpetual cost of equity 17.1% less growth), applied to AUDITED attributable book value of EGP 3.71 a share, for EGP 7.06. The book value is the filed parent equity divided by shares — not a reconstruction.</w:t>
      </w:r>
    </w:p>
    <w:p>
      <w:pPr>
        <w:spacing w:after="120" w:before="280"/>
      </w:pPr>
      <w:r>
        <w:rPr>
          <w:b/>
          <w:i w:val="0"/>
          <w:color w:val="1C3A36"/>
          <w:sz w:val="30"/>
        </w:rPr>
        <w:t>2  The price record</w:t>
      </w:r>
    </w:p>
    <w:p>
      <w:pPr>
        <w:spacing w:after="40"/>
        <w:jc w:val="center"/>
      </w:pPr>
      <w:r>
        <w:drawing>
          <wp:inline xmlns:a="http://schemas.openxmlformats.org/drawingml/2006/main" xmlns:pic="http://schemas.openxmlformats.org/drawingml/2006/picture">
            <wp:extent cx="6309360" cy="2463654"/>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463654"/>
                    </a:xfrm>
                    <a:prstGeom prst="rect"/>
                  </pic:spPr>
                </pic:pic>
              </a:graphicData>
            </a:graphic>
          </wp:inline>
        </w:drawing>
      </w:r>
    </w:p>
    <w:p>
      <w:pPr>
        <w:spacing w:after="200" w:before="0"/>
      </w:pPr>
      <w:r>
        <w:rPr>
          <w:b w:val="0"/>
          <w:i/>
          <w:color w:val="6E7B77"/>
          <w:sz w:val="17"/>
        </w:rPr>
        <w:t>Figure 5 — the closing price against its 20, 50, 100 and 200-session moving averages.</w:t>
      </w:r>
    </w:p>
    <w:p>
      <w:pPr>
        <w:spacing w:after="120" w:before="0"/>
      </w:pPr>
      <w:r>
        <w:rPr>
          <w:b w:val="0"/>
          <w:i w:val="0"/>
          <w:color w:val="1C3A36"/>
          <w:sz w:val="21"/>
        </w:rPr>
        <w:t>The series runs from 2011-01-02 to 2026-08-06 and covers 3,754 clean sessions out of 3,755 raw rows, over 15.6 years at 240.8 sessions a year, which matches the exchange's Sunday-to-Thursday calendar. One row carrying a non-positive price was removed; 9.6% of sessions are flat. The largest single-session move in the whole history is 0.1813 in log terms, just INSIDE the exchange's ±20% daily price limit of 0.1823, so there is no unadjusted corporate action hiding in the series.</w:t>
      </w:r>
    </w:p>
    <w:p>
      <w:pPr>
        <w:spacing w:after="120" w:before="280"/>
      </w:pPr>
      <w:r>
        <w:rPr>
          <w:b/>
          <w:i w:val="0"/>
          <w:color w:val="1C3A36"/>
          <w:sz w:val="30"/>
        </w:rPr>
        <w:t>3  Where the price could trade</w:t>
      </w:r>
    </w:p>
    <w:p>
      <w:pPr>
        <w:spacing w:after="120" w:before="0"/>
      </w:pPr>
      <w:r>
        <w:rPr>
          <w:b w:val="0"/>
          <w:i w:val="0"/>
          <w:color w:val="1C3A36"/>
          <w:sz w:val="21"/>
        </w:rPr>
        <w:t>This section is a different object from the valuation above and is never blended with it. It is a probability map of the share price over one and three months, produced by simulating 50,000 paths from the cleaned price history with a volatility model fitted on the whole Egyptian market rather than on this name alone.</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 the forward price cone to three months. The dashed rule is the fundamental central estimate; the dotted rule is the market price.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2448"/>
        <w:gridCol w:w="2448"/>
      </w:tblGrid>
      <w:tr>
        <w:tc>
          <w:tcPr>
            <w:tcW w:type="dxa" w:w="4608"/>
            <w:shd w:val="clear" w:color="auto" w:fill="EAF0EE"/>
          </w:tcPr>
          <w:p>
            <w:pPr>
              <w:spacing w:after="20"/>
            </w:pPr>
            <w:r>
              <w:rPr>
                <w:b/>
                <w:color w:val="1C3A36"/>
                <w:sz w:val="17"/>
              </w:rPr>
            </w:r>
          </w:p>
        </w:tc>
        <w:tc>
          <w:tcPr>
            <w:tcW w:type="dxa" w:w="2448"/>
            <w:shd w:val="clear" w:color="auto" w:fill="EAF0EE"/>
          </w:tcPr>
          <w:p>
            <w:pPr>
              <w:spacing w:after="20"/>
            </w:pPr>
            <w:r>
              <w:rPr>
                <w:b/>
                <w:color w:val="1C3A36"/>
                <w:sz w:val="17"/>
              </w:rPr>
              <w:t>One month</w:t>
            </w:r>
          </w:p>
        </w:tc>
        <w:tc>
          <w:tcPr>
            <w:tcW w:type="dxa" w:w="2448"/>
            <w:shd w:val="clear" w:color="auto" w:fill="EAF0EE"/>
          </w:tcPr>
          <w:p>
            <w:pPr>
              <w:spacing w:after="20"/>
            </w:pPr>
            <w:r>
              <w:rPr>
                <w:b/>
                <w:color w:val="1C3A36"/>
                <w:sz w:val="17"/>
              </w:rPr>
              <w:t>Three months</w:t>
            </w:r>
          </w:p>
        </w:tc>
      </w:tr>
      <w:tr>
        <w:tc>
          <w:tcPr>
            <w:tcW w:type="dxa" w:w="4608"/>
          </w:tcPr>
          <w:p>
            <w:pPr>
              <w:spacing w:after="20"/>
            </w:pPr>
            <w:r>
              <w:rPr>
                <w:color w:val="1C3A36"/>
                <w:sz w:val="17"/>
              </w:rPr>
              <w:t>Calendar horizon date</w:t>
            </w:r>
          </w:p>
        </w:tc>
        <w:tc>
          <w:tcPr>
            <w:tcW w:type="dxa" w:w="2448"/>
          </w:tcPr>
          <w:p>
            <w:pPr>
              <w:spacing w:after="20"/>
              <w:jc w:val="right"/>
            </w:pPr>
            <w:r>
              <w:rPr>
                <w:color w:val="1C3A36"/>
                <w:sz w:val="17"/>
              </w:rPr>
              <w:t>2026-09-06</w:t>
            </w:r>
          </w:p>
        </w:tc>
        <w:tc>
          <w:tcPr>
            <w:tcW w:type="dxa" w:w="2448"/>
          </w:tcPr>
          <w:p>
            <w:pPr>
              <w:spacing w:after="20"/>
              <w:jc w:val="right"/>
            </w:pPr>
            <w:r>
              <w:rPr>
                <w:color w:val="1C3A36"/>
                <w:sz w:val="17"/>
              </w:rPr>
              <w:t>2026-11-06</w:t>
            </w:r>
          </w:p>
        </w:tc>
      </w:tr>
      <w:tr>
        <w:tc>
          <w:tcPr>
            <w:tcW w:type="dxa" w:w="4608"/>
          </w:tcPr>
          <w:p>
            <w:pPr>
              <w:spacing w:after="20"/>
            </w:pPr>
            <w:r>
              <w:rPr>
                <w:color w:val="1C3A36"/>
                <w:sz w:val="17"/>
              </w:rPr>
              <w:t>Check date actually used</w:t>
            </w:r>
          </w:p>
        </w:tc>
        <w:tc>
          <w:tcPr>
            <w:tcW w:type="dxa" w:w="2448"/>
          </w:tcPr>
          <w:p>
            <w:pPr>
              <w:spacing w:after="20"/>
              <w:jc w:val="right"/>
            </w:pPr>
            <w:r>
              <w:rPr>
                <w:color w:val="1C3A36"/>
                <w:sz w:val="17"/>
              </w:rPr>
              <w:t>2026-09-06</w:t>
            </w:r>
          </w:p>
        </w:tc>
        <w:tc>
          <w:tcPr>
            <w:tcW w:type="dxa" w:w="2448"/>
          </w:tcPr>
          <w:p>
            <w:pPr>
              <w:spacing w:after="20"/>
              <w:jc w:val="right"/>
            </w:pPr>
            <w:r>
              <w:rPr>
                <w:color w:val="1C3A36"/>
                <w:sz w:val="17"/>
              </w:rPr>
              <w:t>2026-11-08</w:t>
            </w:r>
          </w:p>
        </w:tc>
      </w:tr>
      <w:tr>
        <w:tc>
          <w:tcPr>
            <w:tcW w:type="dxa" w:w="4608"/>
          </w:tcPr>
          <w:p>
            <w:pPr>
              <w:spacing w:after="20"/>
            </w:pPr>
            <w:r>
              <w:rPr>
                <w:color w:val="1C3A36"/>
                <w:sz w:val="17"/>
              </w:rPr>
              <w:t>Sessions simulated</w:t>
            </w:r>
          </w:p>
        </w:tc>
        <w:tc>
          <w:tcPr>
            <w:tcW w:type="dxa" w:w="2448"/>
          </w:tcPr>
          <w:p>
            <w:pPr>
              <w:spacing w:after="20"/>
              <w:jc w:val="right"/>
            </w:pPr>
            <w:r>
              <w:rPr>
                <w:color w:val="1C3A36"/>
                <w:sz w:val="17"/>
              </w:rPr>
              <w:t>20</w:t>
            </w:r>
          </w:p>
        </w:tc>
        <w:tc>
          <w:tcPr>
            <w:tcW w:type="dxa" w:w="2448"/>
          </w:tcPr>
          <w:p>
            <w:pPr>
              <w:spacing w:after="20"/>
              <w:jc w:val="right"/>
            </w:pPr>
            <w:r>
              <w:rPr>
                <w:color w:val="1C3A36"/>
                <w:sz w:val="17"/>
              </w:rPr>
              <w:t>62</w:t>
            </w:r>
          </w:p>
        </w:tc>
      </w:tr>
      <w:tr>
        <w:tc>
          <w:tcPr>
            <w:tcW w:type="dxa" w:w="4608"/>
          </w:tcPr>
          <w:p>
            <w:pPr>
              <w:spacing w:after="20"/>
            </w:pPr>
            <w:r>
              <w:rPr>
                <w:color w:val="1C3A36"/>
                <w:sz w:val="17"/>
              </w:rPr>
              <w:t>5th percentile</w:t>
            </w:r>
          </w:p>
        </w:tc>
        <w:tc>
          <w:tcPr>
            <w:tcW w:type="dxa" w:w="2448"/>
          </w:tcPr>
          <w:p>
            <w:pPr>
              <w:spacing w:after="20"/>
              <w:jc w:val="right"/>
            </w:pPr>
            <w:r>
              <w:rPr>
                <w:color w:val="1C3A36"/>
                <w:sz w:val="17"/>
              </w:rPr>
              <w:t>7.71</w:t>
            </w:r>
          </w:p>
        </w:tc>
        <w:tc>
          <w:tcPr>
            <w:tcW w:type="dxa" w:w="2448"/>
          </w:tcPr>
          <w:p>
            <w:pPr>
              <w:spacing w:after="20"/>
              <w:jc w:val="right"/>
            </w:pPr>
            <w:r>
              <w:rPr>
                <w:color w:val="1C3A36"/>
                <w:sz w:val="17"/>
              </w:rPr>
              <w:t>6.90</w:t>
            </w:r>
          </w:p>
        </w:tc>
      </w:tr>
      <w:tr>
        <w:tc>
          <w:tcPr>
            <w:tcW w:type="dxa" w:w="4608"/>
          </w:tcPr>
          <w:p>
            <w:pPr>
              <w:spacing w:after="20"/>
            </w:pPr>
            <w:r>
              <w:rPr>
                <w:color w:val="1C3A36"/>
                <w:sz w:val="17"/>
              </w:rPr>
              <w:t>25th percentile</w:t>
            </w:r>
          </w:p>
        </w:tc>
        <w:tc>
          <w:tcPr>
            <w:tcW w:type="dxa" w:w="2448"/>
          </w:tcPr>
          <w:p>
            <w:pPr>
              <w:spacing w:after="20"/>
              <w:jc w:val="right"/>
            </w:pPr>
            <w:r>
              <w:rPr>
                <w:color w:val="1C3A36"/>
                <w:sz w:val="17"/>
              </w:rPr>
              <w:t>8.60</w:t>
            </w:r>
          </w:p>
        </w:tc>
        <w:tc>
          <w:tcPr>
            <w:tcW w:type="dxa" w:w="2448"/>
          </w:tcPr>
          <w:p>
            <w:pPr>
              <w:spacing w:after="20"/>
              <w:jc w:val="right"/>
            </w:pPr>
            <w:r>
              <w:rPr>
                <w:color w:val="1C3A36"/>
                <w:sz w:val="17"/>
              </w:rPr>
              <w:t>8.34</w:t>
            </w:r>
          </w:p>
        </w:tc>
      </w:tr>
      <w:tr>
        <w:tc>
          <w:tcPr>
            <w:tcW w:type="dxa" w:w="4608"/>
          </w:tcPr>
          <w:p>
            <w:pPr>
              <w:spacing w:after="20"/>
            </w:pPr>
            <w:r>
              <w:rPr>
                <w:color w:val="1C3A36"/>
                <w:sz w:val="17"/>
              </w:rPr>
              <w:t>Median</w:t>
            </w:r>
          </w:p>
        </w:tc>
        <w:tc>
          <w:tcPr>
            <w:tcW w:type="dxa" w:w="2448"/>
          </w:tcPr>
          <w:p>
            <w:pPr>
              <w:spacing w:after="20"/>
              <w:jc w:val="right"/>
            </w:pPr>
            <w:r>
              <w:rPr>
                <w:color w:val="1C3A36"/>
                <w:sz w:val="17"/>
              </w:rPr>
              <w:t>9.17</w:t>
            </w:r>
          </w:p>
        </w:tc>
        <w:tc>
          <w:tcPr>
            <w:tcW w:type="dxa" w:w="2448"/>
          </w:tcPr>
          <w:p>
            <w:pPr>
              <w:spacing w:after="20"/>
              <w:jc w:val="right"/>
            </w:pPr>
            <w:r>
              <w:rPr>
                <w:color w:val="1C3A36"/>
                <w:sz w:val="17"/>
              </w:rPr>
              <w:t>9.33</w:t>
            </w:r>
          </w:p>
        </w:tc>
      </w:tr>
      <w:tr>
        <w:tc>
          <w:tcPr>
            <w:tcW w:type="dxa" w:w="4608"/>
          </w:tcPr>
          <w:p>
            <w:pPr>
              <w:spacing w:after="20"/>
            </w:pPr>
            <w:r>
              <w:rPr>
                <w:color w:val="1C3A36"/>
                <w:sz w:val="17"/>
              </w:rPr>
              <w:t>75th percentile</w:t>
            </w:r>
          </w:p>
        </w:tc>
        <w:tc>
          <w:tcPr>
            <w:tcW w:type="dxa" w:w="2448"/>
          </w:tcPr>
          <w:p>
            <w:pPr>
              <w:spacing w:after="20"/>
              <w:jc w:val="right"/>
            </w:pPr>
            <w:r>
              <w:rPr>
                <w:color w:val="1C3A36"/>
                <w:sz w:val="17"/>
              </w:rPr>
              <w:t>9.79</w:t>
            </w:r>
          </w:p>
        </w:tc>
        <w:tc>
          <w:tcPr>
            <w:tcW w:type="dxa" w:w="2448"/>
          </w:tcPr>
          <w:p>
            <w:pPr>
              <w:spacing w:after="20"/>
              <w:jc w:val="right"/>
            </w:pPr>
            <w:r>
              <w:rPr>
                <w:color w:val="1C3A36"/>
                <w:sz w:val="17"/>
              </w:rPr>
              <w:t>10.42</w:t>
            </w:r>
          </w:p>
        </w:tc>
      </w:tr>
      <w:tr>
        <w:tc>
          <w:tcPr>
            <w:tcW w:type="dxa" w:w="4608"/>
          </w:tcPr>
          <w:p>
            <w:pPr>
              <w:spacing w:after="20"/>
            </w:pPr>
            <w:r>
              <w:rPr>
                <w:color w:val="1C3A36"/>
                <w:sz w:val="17"/>
              </w:rPr>
              <w:t>95th percentile</w:t>
            </w:r>
          </w:p>
        </w:tc>
        <w:tc>
          <w:tcPr>
            <w:tcW w:type="dxa" w:w="2448"/>
          </w:tcPr>
          <w:p>
            <w:pPr>
              <w:spacing w:after="20"/>
              <w:jc w:val="right"/>
            </w:pPr>
            <w:r>
              <w:rPr>
                <w:color w:val="1C3A36"/>
                <w:sz w:val="17"/>
              </w:rPr>
              <w:t>10.91</w:t>
            </w:r>
          </w:p>
        </w:tc>
        <w:tc>
          <w:tcPr>
            <w:tcW w:type="dxa" w:w="2448"/>
          </w:tcPr>
          <w:p>
            <w:pPr>
              <w:spacing w:after="20"/>
              <w:jc w:val="right"/>
            </w:pPr>
            <w:r>
              <w:rPr>
                <w:color w:val="1C3A36"/>
                <w:sz w:val="17"/>
              </w:rPr>
              <w:t>12.60</w:t>
            </w:r>
          </w:p>
        </w:tc>
      </w:tr>
      <w:tr>
        <w:tc>
          <w:tcPr>
            <w:tcW w:type="dxa" w:w="4608"/>
          </w:tcPr>
          <w:p>
            <w:pPr>
              <w:spacing w:after="20"/>
            </w:pPr>
            <w:r>
              <w:rPr>
                <w:color w:val="1C3A36"/>
                <w:sz w:val="17"/>
              </w:rPr>
              <w:t>Probability above today’s price</w:t>
            </w:r>
          </w:p>
        </w:tc>
        <w:tc>
          <w:tcPr>
            <w:tcW w:type="dxa" w:w="2448"/>
          </w:tcPr>
          <w:p>
            <w:pPr>
              <w:spacing w:after="20"/>
              <w:jc w:val="right"/>
            </w:pPr>
            <w:r>
              <w:rPr>
                <w:color w:val="1C3A36"/>
                <w:sz w:val="17"/>
              </w:rPr>
              <w:t>53.3%</w:t>
            </w:r>
          </w:p>
        </w:tc>
        <w:tc>
          <w:tcPr>
            <w:tcW w:type="dxa" w:w="2448"/>
          </w:tcPr>
          <w:p>
            <w:pPr>
              <w:spacing w:after="20"/>
              <w:jc w:val="right"/>
            </w:pPr>
            <w:r>
              <w:rPr>
                <w:color w:val="1C3A36"/>
                <w:sz w:val="17"/>
              </w:rPr>
              <w:t>56.0%</w:t>
            </w:r>
          </w:p>
        </w:tc>
      </w:tr>
      <w:tr>
        <w:tc>
          <w:tcPr>
            <w:tcW w:type="dxa" w:w="4608"/>
          </w:tcPr>
          <w:p>
            <w:pPr>
              <w:spacing w:after="20"/>
            </w:pPr>
            <w:r>
              <w:rPr>
                <w:color w:val="1C3A36"/>
                <w:sz w:val="17"/>
              </w:rPr>
              <w:t>Probability 10% or more up</w:t>
            </w:r>
          </w:p>
        </w:tc>
        <w:tc>
          <w:tcPr>
            <w:tcW w:type="dxa" w:w="2448"/>
          </w:tcPr>
          <w:p>
            <w:pPr>
              <w:spacing w:after="20"/>
              <w:jc w:val="right"/>
            </w:pPr>
            <w:r>
              <w:rPr>
                <w:color w:val="1C3A36"/>
                <w:sz w:val="17"/>
              </w:rPr>
              <w:t>18.3%</w:t>
            </w:r>
          </w:p>
        </w:tc>
        <w:tc>
          <w:tcPr>
            <w:tcW w:type="dxa" w:w="2448"/>
          </w:tcPr>
          <w:p>
            <w:pPr>
              <w:spacing w:after="20"/>
              <w:jc w:val="right"/>
            </w:pPr>
            <w:r>
              <w:rPr>
                <w:color w:val="1C3A36"/>
                <w:sz w:val="17"/>
              </w:rPr>
              <w:t>33.2%</w:t>
            </w:r>
          </w:p>
        </w:tc>
      </w:tr>
      <w:tr>
        <w:tc>
          <w:tcPr>
            <w:tcW w:type="dxa" w:w="4608"/>
          </w:tcPr>
          <w:p>
            <w:pPr>
              <w:spacing w:after="20"/>
            </w:pPr>
            <w:r>
              <w:rPr>
                <w:color w:val="1C3A36"/>
                <w:sz w:val="17"/>
              </w:rPr>
              <w:t>Probability 10% or more down</w:t>
            </w:r>
          </w:p>
        </w:tc>
        <w:tc>
          <w:tcPr>
            <w:tcW w:type="dxa" w:w="2448"/>
          </w:tcPr>
          <w:p>
            <w:pPr>
              <w:spacing w:after="20"/>
              <w:jc w:val="right"/>
            </w:pPr>
            <w:r>
              <w:rPr>
                <w:color w:val="1C3A36"/>
                <w:sz w:val="17"/>
              </w:rPr>
              <w:t>12.7%</w:t>
            </w:r>
          </w:p>
        </w:tc>
        <w:tc>
          <w:tcPr>
            <w:tcW w:type="dxa" w:w="2448"/>
          </w:tcPr>
          <w:p>
            <w:pPr>
              <w:spacing w:after="20"/>
              <w:jc w:val="right"/>
            </w:pPr>
            <w:r>
              <w:rPr>
                <w:color w:val="1C3A36"/>
                <w:sz w:val="17"/>
              </w:rPr>
              <w:t>21.6%</w:t>
            </w:r>
          </w:p>
        </w:tc>
      </w:tr>
      <w:tr>
        <w:tc>
          <w:tcPr>
            <w:tcW w:type="dxa" w:w="4608"/>
          </w:tcPr>
          <w:p>
            <w:pPr>
              <w:spacing w:after="20"/>
            </w:pPr>
            <w:r>
              <w:rPr>
                <w:color w:val="1C3A36"/>
                <w:sz w:val="17"/>
              </w:rPr>
              <w:t>Annualised volatility at the anchor</w:t>
            </w:r>
          </w:p>
        </w:tc>
        <w:tc>
          <w:tcPr>
            <w:tcW w:type="dxa" w:w="2448"/>
          </w:tcPr>
          <w:p>
            <w:pPr>
              <w:spacing w:after="20"/>
              <w:jc w:val="right"/>
            </w:pPr>
            <w:r>
              <w:rPr>
                <w:color w:val="1C3A36"/>
                <w:sz w:val="17"/>
              </w:rPr>
              <w:t>41.8%</w:t>
            </w:r>
          </w:p>
        </w:tc>
        <w:tc>
          <w:tcPr>
            <w:tcW w:type="dxa" w:w="2448"/>
          </w:tcPr>
          <w:p>
            <w:pPr>
              <w:spacing w:after="20"/>
              <w:jc w:val="right"/>
            </w:pPr>
            <w:r>
              <w:rPr>
                <w:color w:val="1C3A36"/>
                <w:sz w:val="17"/>
              </w:rPr>
              <w:t>40.9%</w:t>
            </w:r>
          </w:p>
        </w:tc>
      </w:tr>
    </w:tbl>
    <w:p>
      <w:pPr>
        <w:spacing w:after="40"/>
      </w:pPr>
    </w:p>
    <w:p>
      <w:pPr>
        <w:spacing w:after="200" w:before="0"/>
      </w:pPr>
      <w:r>
        <w:rPr>
          <w:b w:val="0"/>
          <w:i/>
          <w:color w:val="6E7B77"/>
          <w:sz w:val="17"/>
        </w:rPr>
        <w:t>The Egyptian Exchange trades Sunday to Thursday, so the three-month calendar target 2026-11-06 falls on a non-trading day and the cone is graded on the first session at or after it, 2026-11-08.</w:t>
      </w:r>
    </w:p>
    <w:p>
      <w:pPr>
        <w:spacing w:after="120" w:before="0"/>
      </w:pPr>
      <w:r>
        <w:rPr>
          <w:b w:val="0"/>
          <w:i w:val="0"/>
          <w:color w:val="1C3A36"/>
          <w:sz w:val="20"/>
        </w:rPr>
        <w:t>The drift is not a view. Over three months the simulated log drift is +0.0235 — the CARRY and nothing else: the local risk-free rate of 19.5% less the dividend yield of 8.8%, less the half-variance term. NO PART OF THE DRIFT COMES FROM THE VALUATION.</w:t>
      </w:r>
    </w:p>
    <w:p>
      <w:pPr>
        <w:spacing w:after="120" w:before="0"/>
      </w:pPr>
      <w:r>
        <w:rPr>
          <w:b w:val="0"/>
          <w:i w:val="0"/>
          <w:color w:val="1C3A36"/>
          <w:sz w:val="21"/>
        </w:rPr>
        <w:t>THE NAME-LEVEL CALIBRATION VERDICT IS PARITY, NOT SKILL, and that is stated before the favourable numbers rather than after them. On the production window set — the 17 post-break origins the standing gate scores — the margin over a carry-anchored random walk is +0.68% and the confidence interval straddles zero at every bootstrap block size. What carries the cone into this study is the MARKET-level gate: the 30-name Egyptian panel scores +1.58% with a confidence interval of [0.009, 0.022], which is a PASS. A reader looking for a name-level demonstration of forecasting edge will not find one here.</w:t>
      </w:r>
    </w:p>
    <w:p>
      <w:pPr>
        <w:spacing w:after="120" w:before="280"/>
      </w:pPr>
      <w:r>
        <w:rPr>
          <w:b/>
          <w:i w:val="0"/>
          <w:color w:val="1C3A36"/>
          <w:sz w:val="30"/>
        </w:rPr>
        <w:t>4  The two answers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4824"/>
        <w:gridCol w:w="1728"/>
      </w:tblGrid>
      <w:tr>
        <w:tc>
          <w:tcPr>
            <w:tcW w:type="dxa" w:w="3384"/>
            <w:shd w:val="clear" w:color="auto" w:fill="EAF0EE"/>
          </w:tcPr>
          <w:p>
            <w:pPr>
              <w:spacing w:after="20"/>
            </w:pPr>
            <w:r>
              <w:rPr>
                <w:b/>
                <w:color w:val="1C3A36"/>
                <w:sz w:val="17"/>
              </w:rPr>
            </w:r>
          </w:p>
        </w:tc>
        <w:tc>
          <w:tcPr>
            <w:tcW w:type="dxa" w:w="4824"/>
            <w:shd w:val="clear" w:color="auto" w:fill="EAF0EE"/>
          </w:tcPr>
          <w:p>
            <w:pPr>
              <w:spacing w:after="20"/>
            </w:pPr>
            <w:r>
              <w:rPr>
                <w:b/>
                <w:color w:val="1C3A36"/>
                <w:sz w:val="17"/>
              </w:rPr>
              <w:t>What it says</w:t>
            </w:r>
          </w:p>
        </w:tc>
        <w:tc>
          <w:tcPr>
            <w:tcW w:type="dxa" w:w="1728"/>
            <w:shd w:val="clear" w:color="auto" w:fill="EAF0EE"/>
          </w:tcPr>
          <w:p>
            <w:pPr>
              <w:spacing w:after="20"/>
            </w:pPr>
            <w:r>
              <w:rPr>
                <w:b/>
                <w:color w:val="1C3A36"/>
                <w:sz w:val="17"/>
              </w:rPr>
              <w:t>Value</w:t>
            </w:r>
          </w:p>
        </w:tc>
      </w:tr>
      <w:tr>
        <w:tc>
          <w:tcPr>
            <w:tcW w:type="dxa" w:w="3384"/>
          </w:tcPr>
          <w:p>
            <w:pPr>
              <w:spacing w:after="20"/>
            </w:pPr>
            <w:r>
              <w:rPr>
                <w:color w:val="1C3A36"/>
                <w:sz w:val="17"/>
              </w:rPr>
              <w:t>Fundamental central</w:t>
            </w:r>
          </w:p>
        </w:tc>
        <w:tc>
          <w:tcPr>
            <w:tcW w:type="dxa" w:w="4824"/>
          </w:tcPr>
          <w:p>
            <w:pPr>
              <w:spacing w:after="20"/>
            </w:pPr>
            <w:r>
              <w:rPr>
                <w:color w:val="1C3A36"/>
                <w:sz w:val="17"/>
              </w:rPr>
              <w:t>What the business appears to be worth on the audited figures</w:t>
            </w:r>
          </w:p>
        </w:tc>
        <w:tc>
          <w:tcPr>
            <w:tcW w:type="dxa" w:w="1728"/>
          </w:tcPr>
          <w:p>
            <w:pPr>
              <w:spacing w:after="20"/>
              <w:jc w:val="right"/>
            </w:pPr>
            <w:r>
              <w:rPr>
                <w:color w:val="1C3A36"/>
                <w:sz w:val="17"/>
              </w:rPr>
              <w:t>7.16</w:t>
            </w:r>
          </w:p>
        </w:tc>
      </w:tr>
      <w:tr>
        <w:tc>
          <w:tcPr>
            <w:tcW w:type="dxa" w:w="3384"/>
          </w:tcPr>
          <w:p>
            <w:pPr>
              <w:spacing w:after="20"/>
            </w:pPr>
            <w:r>
              <w:rPr>
                <w:color w:val="1C3A36"/>
                <w:sz w:val="17"/>
              </w:rPr>
              <w:t>Market price</w:t>
            </w:r>
          </w:p>
        </w:tc>
        <w:tc>
          <w:tcPr>
            <w:tcW w:type="dxa" w:w="4824"/>
          </w:tcPr>
          <w:p>
            <w:pPr>
              <w:spacing w:after="20"/>
            </w:pPr>
            <w:r>
              <w:rPr>
                <w:color w:val="1C3A36"/>
                <w:sz w:val="17"/>
              </w:rPr>
              <w:t>What it costs today</w:t>
            </w:r>
          </w:p>
        </w:tc>
        <w:tc>
          <w:tcPr>
            <w:tcW w:type="dxa" w:w="1728"/>
          </w:tcPr>
          <w:p>
            <w:pPr>
              <w:spacing w:after="20"/>
              <w:jc w:val="right"/>
            </w:pPr>
            <w:r>
              <w:rPr>
                <w:color w:val="1C3A36"/>
                <w:sz w:val="17"/>
              </w:rPr>
              <w:t>9.10</w:t>
            </w:r>
          </w:p>
        </w:tc>
      </w:tr>
      <w:tr>
        <w:tc>
          <w:tcPr>
            <w:tcW w:type="dxa" w:w="3384"/>
          </w:tcPr>
          <w:p>
            <w:pPr>
              <w:spacing w:after="20"/>
            </w:pPr>
            <w:r>
              <w:rPr>
                <w:color w:val="1C3A36"/>
                <w:sz w:val="17"/>
              </w:rPr>
              <w:t>Gap</w:t>
            </w:r>
          </w:p>
        </w:tc>
        <w:tc>
          <w:tcPr>
            <w:tcW w:type="dxa" w:w="4824"/>
          </w:tcPr>
          <w:p>
            <w:pPr>
              <w:spacing w:after="20"/>
            </w:pPr>
            <w:r>
              <w:rPr>
                <w:color w:val="1C3A36"/>
                <w:sz w:val="17"/>
              </w:rPr>
              <w:t>Fundamental against market</w:t>
            </w:r>
          </w:p>
        </w:tc>
        <w:tc>
          <w:tcPr>
            <w:tcW w:type="dxa" w:w="1728"/>
          </w:tcPr>
          <w:p>
            <w:pPr>
              <w:spacing w:after="20"/>
              <w:jc w:val="right"/>
            </w:pPr>
            <w:r>
              <w:rPr>
                <w:color w:val="1C3A36"/>
                <w:sz w:val="17"/>
              </w:rPr>
              <w:t>-21.3%</w:t>
            </w:r>
          </w:p>
        </w:tc>
      </w:tr>
      <w:tr>
        <w:tc>
          <w:tcPr>
            <w:tcW w:type="dxa" w:w="3384"/>
          </w:tcPr>
          <w:p>
            <w:pPr>
              <w:spacing w:after="20"/>
            </w:pPr>
            <w:r>
              <w:rPr>
                <w:color w:val="1C3A36"/>
                <w:sz w:val="17"/>
              </w:rPr>
              <w:t>Three-month median of the price map</w:t>
            </w:r>
          </w:p>
        </w:tc>
        <w:tc>
          <w:tcPr>
            <w:tcW w:type="dxa" w:w="4824"/>
          </w:tcPr>
          <w:p>
            <w:pPr>
              <w:spacing w:after="20"/>
            </w:pPr>
            <w:r>
              <w:rPr>
                <w:color w:val="1C3A36"/>
                <w:sz w:val="17"/>
              </w:rPr>
              <w:t>The centre of the simulated distribution, which knows nothing about the valuation</w:t>
            </w:r>
          </w:p>
        </w:tc>
        <w:tc>
          <w:tcPr>
            <w:tcW w:type="dxa" w:w="1728"/>
          </w:tcPr>
          <w:p>
            <w:pPr>
              <w:spacing w:after="20"/>
              <w:jc w:val="right"/>
            </w:pPr>
            <w:r>
              <w:rPr>
                <w:color w:val="1C3A36"/>
                <w:sz w:val="17"/>
              </w:rPr>
              <w:t>9.33</w:t>
            </w:r>
          </w:p>
        </w:tc>
      </w:tr>
      <w:tr>
        <w:tc>
          <w:tcPr>
            <w:tcW w:type="dxa" w:w="3384"/>
          </w:tcPr>
          <w:p>
            <w:pPr>
              <w:spacing w:after="20"/>
            </w:pPr>
            <w:r>
              <w:rPr>
                <w:color w:val="1C3A36"/>
                <w:sz w:val="17"/>
              </w:rPr>
              <w:t>Probability the price is above the fundamental central in three months</w:t>
            </w:r>
          </w:p>
        </w:tc>
        <w:tc>
          <w:tcPr>
            <w:tcW w:type="dxa" w:w="4824"/>
          </w:tcPr>
          <w:p>
            <w:pPr>
              <w:spacing w:after="20"/>
            </w:pPr>
            <w:r>
              <w:rPr>
                <w:color w:val="1C3A36"/>
                <w:sz w:val="17"/>
              </w:rPr>
              <w:t>Read directly off the simulated distribution</w:t>
            </w:r>
          </w:p>
        </w:tc>
        <w:tc>
          <w:tcPr>
            <w:tcW w:type="dxa" w:w="1728"/>
          </w:tcPr>
          <w:p>
            <w:pPr>
              <w:spacing w:after="20"/>
              <w:jc w:val="right"/>
            </w:pPr>
            <w:r>
              <w:rPr>
                <w:color w:val="1C3A36"/>
                <w:sz w:val="17"/>
              </w:rPr>
              <w:t>93.1%</w:t>
            </w:r>
          </w:p>
        </w:tc>
      </w:tr>
    </w:tbl>
    <w:p>
      <w:pPr>
        <w:spacing w:after="40"/>
      </w:pPr>
    </w:p>
    <w:p>
      <w:pPr>
        <w:spacing w:after="120" w:before="280"/>
      </w:pPr>
      <w:r>
        <w:rPr>
          <w:b/>
          <w:i w:val="0"/>
          <w:color w:val="1C3A36"/>
          <w:sz w:val="30"/>
        </w:rPr>
        <w:t>5  What would move the answer</w:t>
      </w:r>
    </w:p>
    <w:p>
      <w:pPr>
        <w:pStyle w:val="ListBullet"/>
        <w:spacing w:after="60"/>
      </w:pPr>
      <w:r>
        <w:rPr>
          <w:b/>
          <w:color w:val="1C3A36"/>
          <w:sz w:val="21"/>
        </w:rPr>
        <w:t xml:space="preserve">The gross margin, which is genuinely volatile. </w:t>
      </w:r>
      <w:r>
        <w:rPr>
          <w:color w:val="1C3A36"/>
          <w:sz w:val="21"/>
        </w:rPr>
        <w:t>The filed record swings from 5.05% in the March-2025 quarter to 10.19% in the March-2026 quarter. A half-point across the whole path is worth about EGP 1.02 a share. Nothing else in this study moves the answer as much per unit of uncertainty.</w:t>
      </w:r>
    </w:p>
    <w:p>
      <w:pPr>
        <w:pStyle w:val="ListBullet"/>
        <w:spacing w:after="60"/>
      </w:pPr>
      <w:r>
        <w:rPr>
          <w:b/>
          <w:color w:val="1C3A36"/>
          <w:sz w:val="21"/>
        </w:rPr>
        <w:t xml:space="preserve">Whether the under-investment reverses. </w:t>
      </w:r>
      <w:r>
        <w:rPr>
          <w:color w:val="1C3A36"/>
          <w:sz w:val="21"/>
        </w:rPr>
        <w:t>Cash capital expenditure is 0.86 times depreciation. If that is a deferral rather than a permanent feature, free cash flow in the explicit window is overstated by roughly EGP 2mn a year and the terminal block is built on a return that will not persist.</w:t>
      </w:r>
    </w:p>
    <w:p>
      <w:pPr>
        <w:pStyle w:val="ListBullet"/>
        <w:spacing w:after="60"/>
      </w:pPr>
      <w:r>
        <w:rPr>
          <w:b/>
          <w:color w:val="1C3A36"/>
          <w:sz w:val="21"/>
        </w:rPr>
        <w:t xml:space="preserve">The pace of Egyptian disinflation. </w:t>
      </w:r>
      <w:r>
        <w:rPr>
          <w:color w:val="1C3A36"/>
          <w:sz w:val="21"/>
        </w:rPr>
        <w:t>Two points off the terminal cost of capital is worth about EGP 0.82 a share. The terminal rate is built from the central bank's own published target; if disinflation stalls, that assumption breaks first.</w:t>
      </w:r>
    </w:p>
    <w:p>
      <w:pPr>
        <w:pStyle w:val="ListBullet"/>
        <w:spacing w:after="60"/>
      </w:pPr>
      <w:r>
        <w:rPr>
          <w:b/>
          <w:color w:val="1C3A36"/>
          <w:sz w:val="21"/>
        </w:rPr>
        <w:t xml:space="preserve">The counterparty, which is the state on both sides. </w:t>
      </w:r>
      <w:r>
        <w:rPr>
          <w:color w:val="1C3A36"/>
          <w:sz w:val="21"/>
        </w:rPr>
        <w:t>The Egyptian General Petroleum Corporation bought EGP 15,872mn of product in the audited half — 76.5% of net sales — and supplied EGP 16.3bn of feedstock in the same period. It sits on both sides of the trade. It is NOT a shareholder; Alexandria Petroleum Company holds 20.77%. A change in either administered price moves the margin with no change in the external environment.</w:t>
      </w:r>
    </w:p>
    <w:p>
      <w:pPr>
        <w:pStyle w:val="ListBullet"/>
        <w:spacing w:after="60"/>
      </w:pPr>
      <w:r>
        <w:rPr>
          <w:b/>
          <w:color w:val="1C3A36"/>
          <w:sz w:val="21"/>
        </w:rPr>
        <w:t xml:space="preserve">Two disclosed balances outside the bridge. </w:t>
      </w:r>
      <w:r>
        <w:rPr>
          <w:color w:val="1C3A36"/>
          <w:sz w:val="21"/>
        </w:rPr>
        <w:t>A tax-disputes provision of EGP 921mn — EGP 0.71 a share — sits on the balance sheet, and EGP 509mn of deposits is pledged against credit facilities and is not free cash. Neither is inside the bridge.</w:t>
      </w:r>
    </w:p>
    <w:p>
      <w:pPr>
        <w:spacing w:after="120" w:before="280"/>
      </w:pPr>
      <w:r>
        <w:rPr>
          <w:b/>
          <w:i w:val="0"/>
          <w:color w:val="1C3A36"/>
          <w:sz w:val="30"/>
        </w:rPr>
        <w:t>6  Probability zones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48"/>
        <w:gridCol w:w="2160"/>
      </w:tblGrid>
      <w:tr>
        <w:tc>
          <w:tcPr>
            <w:tcW w:type="dxa" w:w="6048"/>
            <w:shd w:val="clear" w:color="auto" w:fill="EAF0EE"/>
          </w:tcPr>
          <w:p>
            <w:pPr>
              <w:spacing w:after="20"/>
            </w:pPr>
            <w:r>
              <w:rPr>
                <w:b/>
                <w:color w:val="1C3A36"/>
                <w:sz w:val="17"/>
              </w:rPr>
              <w:t>Zone at three months</w:t>
            </w:r>
          </w:p>
        </w:tc>
        <w:tc>
          <w:tcPr>
            <w:tcW w:type="dxa" w:w="2160"/>
            <w:shd w:val="clear" w:color="auto" w:fill="EAF0EE"/>
          </w:tcPr>
          <w:p>
            <w:pPr>
              <w:spacing w:after="20"/>
            </w:pPr>
            <w:r>
              <w:rPr>
                <w:b/>
                <w:color w:val="1C3A36"/>
                <w:sz w:val="17"/>
              </w:rPr>
              <w:t>Probability</w:t>
            </w:r>
          </w:p>
        </w:tc>
      </w:tr>
      <w:tr>
        <w:tc>
          <w:tcPr>
            <w:tcW w:type="dxa" w:w="6048"/>
          </w:tcPr>
          <w:p>
            <w:pPr>
              <w:spacing w:after="20"/>
            </w:pPr>
            <w:r>
              <w:rPr>
                <w:color w:val="1C3A36"/>
                <w:sz w:val="17"/>
              </w:rPr>
              <w:t>Below EGP 7.50</w:t>
            </w:r>
          </w:p>
        </w:tc>
        <w:tc>
          <w:tcPr>
            <w:tcW w:type="dxa" w:w="2160"/>
          </w:tcPr>
          <w:p>
            <w:pPr>
              <w:spacing w:after="20"/>
              <w:jc w:val="right"/>
            </w:pPr>
            <w:r>
              <w:rPr>
                <w:color w:val="1C3A36"/>
                <w:sz w:val="17"/>
              </w:rPr>
              <w:t>10.3%</w:t>
            </w:r>
          </w:p>
        </w:tc>
      </w:tr>
      <w:tr>
        <w:tc>
          <w:tcPr>
            <w:tcW w:type="dxa" w:w="6048"/>
          </w:tcPr>
          <w:p>
            <w:pPr>
              <w:spacing w:after="20"/>
            </w:pPr>
            <w:r>
              <w:rPr>
                <w:color w:val="1C3A36"/>
                <w:sz w:val="17"/>
              </w:rPr>
              <w:t>EGP 7.50 – 7.16 (below the central estimate)</w:t>
            </w:r>
          </w:p>
        </w:tc>
        <w:tc>
          <w:tcPr>
            <w:tcW w:type="dxa" w:w="2160"/>
          </w:tcPr>
          <w:p>
            <w:pPr>
              <w:spacing w:after="20"/>
              <w:jc w:val="right"/>
            </w:pPr>
            <w:r>
              <w:rPr>
                <w:color w:val="1C3A36"/>
                <w:sz w:val="17"/>
              </w:rPr>
              <w:t>0.0%</w:t>
            </w:r>
          </w:p>
        </w:tc>
      </w:tr>
      <w:tr>
        <w:tc>
          <w:tcPr>
            <w:tcW w:type="dxa" w:w="6048"/>
          </w:tcPr>
          <w:p>
            <w:pPr>
              <w:spacing w:after="20"/>
            </w:pPr>
            <w:r>
              <w:rPr>
                <w:color w:val="1C3A36"/>
                <w:sz w:val="17"/>
              </w:rPr>
              <w:t>EGP 7.16 – 9.10 (central to today)</w:t>
            </w:r>
          </w:p>
        </w:tc>
        <w:tc>
          <w:tcPr>
            <w:tcW w:type="dxa" w:w="2160"/>
          </w:tcPr>
          <w:p>
            <w:pPr>
              <w:spacing w:after="20"/>
              <w:jc w:val="right"/>
            </w:pPr>
            <w:r>
              <w:rPr>
                <w:color w:val="1C3A36"/>
                <w:sz w:val="17"/>
              </w:rPr>
              <w:t>37.1%</w:t>
            </w:r>
          </w:p>
        </w:tc>
      </w:tr>
      <w:tr>
        <w:tc>
          <w:tcPr>
            <w:tcW w:type="dxa" w:w="6048"/>
          </w:tcPr>
          <w:p>
            <w:pPr>
              <w:spacing w:after="20"/>
            </w:pPr>
            <w:r>
              <w:rPr>
                <w:color w:val="1C3A36"/>
                <w:sz w:val="17"/>
              </w:rPr>
              <w:t>EGP 9.10 – 11.00 (above today)</w:t>
            </w:r>
          </w:p>
        </w:tc>
        <w:tc>
          <w:tcPr>
            <w:tcW w:type="dxa" w:w="2160"/>
          </w:tcPr>
          <w:p>
            <w:pPr>
              <w:spacing w:after="20"/>
              <w:jc w:val="right"/>
            </w:pPr>
            <w:r>
              <w:rPr>
                <w:color w:val="1C3A36"/>
                <w:sz w:val="17"/>
              </w:rPr>
              <w:t>40.1%</w:t>
            </w:r>
          </w:p>
        </w:tc>
      </w:tr>
      <w:tr>
        <w:tc>
          <w:tcPr>
            <w:tcW w:type="dxa" w:w="6048"/>
          </w:tcPr>
          <w:p>
            <w:pPr>
              <w:spacing w:after="20"/>
            </w:pPr>
            <w:r>
              <w:rPr>
                <w:color w:val="1C3A36"/>
                <w:sz w:val="17"/>
              </w:rPr>
              <w:t>Above EGP 11.00</w:t>
            </w:r>
          </w:p>
        </w:tc>
        <w:tc>
          <w:tcPr>
            <w:tcW w:type="dxa" w:w="2160"/>
          </w:tcPr>
          <w:p>
            <w:pPr>
              <w:spacing w:after="20"/>
              <w:jc w:val="right"/>
            </w:pPr>
            <w:r>
              <w:rPr>
                <w:color w:val="1C3A36"/>
                <w:sz w:val="17"/>
              </w:rPr>
              <w:t>15.9%</w:t>
            </w:r>
          </w:p>
        </w:tc>
      </w:tr>
    </w:tbl>
    <w:p>
      <w:pPr>
        <w:spacing w:after="40"/>
      </w:pPr>
    </w:p>
    <w:p>
      <w:pPr>
        <w:spacing w:after="200" w:before="0"/>
      </w:pPr>
      <w:r>
        <w:rPr>
          <w:b w:val="0"/>
          <w:i/>
          <w:color w:val="6E7B77"/>
          <w:sz w:val="17"/>
        </w:rPr>
        <w:t>Cut at the market price and at the fundamental central estimate, so the reader can see how much of the simulated distribution sits on each side of each.</w:t>
      </w:r>
    </w:p>
    <w:p>
      <w:pPr>
        <w:spacing w:after="120" w:before="280"/>
      </w:pPr>
      <w:r>
        <w:rPr>
          <w:b/>
          <w:i w:val="0"/>
          <w:color w:val="1C3A36"/>
          <w:sz w:val="30"/>
        </w:rPr>
        <w:t>7  Caveats — what is weak in this study</w:t>
      </w:r>
    </w:p>
    <w:p>
      <w:pPr>
        <w:pStyle w:val="ListBullet"/>
        <w:spacing w:after="60"/>
      </w:pPr>
      <w:r>
        <w:rPr>
          <w:b/>
          <w:color w:val="1C3A36"/>
          <w:sz w:val="21"/>
        </w:rPr>
        <w:t xml:space="preserve">THE TERMINAL RATE AND THE REINVESTMENT RECORD CONTRADICT EACH OTHER. </w:t>
      </w:r>
      <w:r>
        <w:rPr>
          <w:color w:val="1C3A36"/>
          <w:sz w:val="21"/>
        </w:rPr>
        <w:t>Cash capital expenditure runs at 0.86 times depreciation across both filed periods. The model carries that forward, which lifts free cash flow. But growth = return × reinvestment then implies a NEGATIVE steady-state growth rate, while the terminal block adopts 5% and carries 58.7% of enterprise value. Those two statements cannot both be right. This is the sharpest unresolved weakness in the study and it is not answered here — it is disclosed, priced in the sensitivity grid, and left to the reader.</w:t>
      </w:r>
    </w:p>
    <w:p>
      <w:pPr>
        <w:pStyle w:val="ListBullet"/>
        <w:spacing w:after="60"/>
      </w:pPr>
      <w:r>
        <w:rPr>
          <w:b/>
          <w:color w:val="1C3A36"/>
          <w:sz w:val="21"/>
        </w:rPr>
        <w:t xml:space="preserve">The base year is annualised, not filed. </w:t>
      </w:r>
      <w:r>
        <w:rPr>
          <w:color w:val="1C3A36"/>
          <w:sz w:val="21"/>
        </w:rPr>
        <w:t>There is no clean audited twelve-month period. The base year is nine contiguous audited months annualised by four thirds. If the missing April-to-June 2025 quarter was unusual in either direction, the base year is off by that amount and everything scales with it.</w:t>
      </w:r>
    </w:p>
    <w:p>
      <w:pPr>
        <w:pStyle w:val="ListBullet"/>
        <w:spacing w:after="60"/>
      </w:pPr>
      <w:r>
        <w:rPr>
          <w:b/>
          <w:color w:val="1C3A36"/>
          <w:sz w:val="21"/>
        </w:rPr>
        <w:t xml:space="preserve">The margin is genuinely volatile and the forecast smooths it. </w:t>
      </w:r>
      <w:r>
        <w:rPr>
          <w:color w:val="1C3A36"/>
          <w:sz w:val="21"/>
        </w:rPr>
        <w:t>The filed gross margin swings from 5.05% to 10.19% between adjacent quarters. The forecast holds it near 7.17%. A single quarter is not a trend in either direction, and a reader who weights the March-2026 print more heavily would get a materially higher answer.</w:t>
      </w:r>
    </w:p>
    <w:p>
      <w:pPr>
        <w:pStyle w:val="ListBullet"/>
        <w:spacing w:after="60"/>
      </w:pPr>
      <w:r>
        <w:rPr>
          <w:b/>
          <w:color w:val="1C3A36"/>
          <w:sz w:val="21"/>
        </w:rPr>
        <w:t xml:space="preserve">The terminal value carries most of the weight. </w:t>
      </w:r>
      <w:r>
        <w:rPr>
          <w:color w:val="1C3A36"/>
          <w:sz w:val="21"/>
        </w:rPr>
        <w:t>58.7% of enterprise value sits beyond year five. Both terminal anchors are house views, disclosed as such, and neither is reverse-engineered from a price.</w:t>
      </w:r>
    </w:p>
    <w:p>
      <w:pPr>
        <w:pStyle w:val="ListBullet"/>
        <w:spacing w:after="60"/>
      </w:pPr>
      <w:r>
        <w:rPr>
          <w:b/>
          <w:color w:val="1C3A36"/>
          <w:sz w:val="21"/>
        </w:rPr>
        <w:t xml:space="preserve">The counterparty is the state, on both sides. </w:t>
      </w:r>
      <w:r>
        <w:rPr>
          <w:color w:val="1C3A36"/>
          <w:sz w:val="21"/>
        </w:rPr>
        <w:t>The company neither buys its feedstock nor sells most of its output in an arm's-length market: EGPC took 76.5% of net sales in the audited half and supplied the feedstock. A margin forecast for a business like that is a forecast about an administered relationship.</w:t>
      </w:r>
    </w:p>
    <w:p>
      <w:pPr>
        <w:pStyle w:val="ListBullet"/>
        <w:spacing w:after="60"/>
      </w:pPr>
      <w:r>
        <w:rPr>
          <w:b/>
          <w:color w:val="1C3A36"/>
          <w:sz w:val="21"/>
        </w:rPr>
        <w:t xml:space="preserve">A provision sits outside the bridge. </w:t>
      </w:r>
      <w:r>
        <w:rPr>
          <w:color w:val="1C3A36"/>
          <w:sz w:val="21"/>
        </w:rPr>
        <w:t>The EGP 921mn tax-disputes provision is recognised on the balance sheet but is not deducted from equity value in the bridge, on the view that the earnings discounted here are struck after the related tax charge. A reader who thinks the exposure is incremental should subtract EGP 0.71 a share.</w:t>
      </w:r>
    </w:p>
    <w:p>
      <w:pPr>
        <w:pStyle w:val="ListBullet"/>
        <w:spacing w:after="60"/>
      </w:pPr>
      <w:r>
        <w:rPr>
          <w:b/>
          <w:color w:val="1C3A36"/>
          <w:sz w:val="21"/>
        </w:rPr>
        <w:t xml:space="preserve">Two free parameters remain, and they are named. </w:t>
      </w:r>
      <w:r>
        <w:rPr>
          <w:color w:val="1C3A36"/>
          <w:sz w:val="21"/>
        </w:rPr>
        <w:t>Volume growth by line and the growth in the realised price per tonne are the only free operating parameters left, and both are house judgements. Everything else — the margin composition, the tax rate, the asset base, the minority share, the dividend — is read off a filing.</w:t>
      </w:r>
    </w:p>
    <w:p>
      <w:pPr>
        <w:spacing w:after="120" w:before="280"/>
      </w:pPr>
      <w:r>
        <w:rPr>
          <w:b/>
          <w:i w:val="0"/>
          <w:color w:val="1C3A36"/>
          <w:sz w:val="30"/>
        </w:rPr>
        <w:t>Appendix A  The filed periods</w:t>
      </w:r>
    </w:p>
    <w:p>
      <w:pPr>
        <w:spacing w:after="80" w:before="200"/>
      </w:pPr>
      <w:r>
        <w:rPr>
          <w:b/>
          <w:i w:val="0"/>
          <w:color w:val="1C3A36"/>
          <w:sz w:val="24"/>
        </w:rPr>
        <w:t>A.1  Profit or loss, as filed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757"/>
        <w:gridCol w:w="1757"/>
        <w:gridCol w:w="1757"/>
        <w:gridCol w:w="1757"/>
      </w:tblGrid>
      <w:tr>
        <w:tc>
          <w:tcPr>
            <w:tcW w:type="dxa" w:w="2952"/>
            <w:shd w:val="clear" w:color="auto" w:fill="EAF0EE"/>
          </w:tcPr>
          <w:p>
            <w:pPr>
              <w:spacing w:after="20"/>
            </w:pPr>
            <w:r>
              <w:rPr>
                <w:b/>
                <w:color w:val="1C3A36"/>
                <w:sz w:val="16"/>
              </w:rPr>
              <w:t>EGP mn</w:t>
            </w:r>
          </w:p>
        </w:tc>
        <w:tc>
          <w:tcPr>
            <w:tcW w:type="dxa" w:w="1757"/>
            <w:shd w:val="clear" w:color="auto" w:fill="EAF0EE"/>
          </w:tcPr>
          <w:p>
            <w:pPr>
              <w:spacing w:after="20"/>
            </w:pPr>
            <w:r>
              <w:rPr>
                <w:b/>
                <w:color w:val="1C3A36"/>
                <w:sz w:val="16"/>
              </w:rPr>
              <w:t>6M Dec-2024</w:t>
            </w:r>
          </w:p>
        </w:tc>
        <w:tc>
          <w:tcPr>
            <w:tcW w:type="dxa" w:w="1757"/>
            <w:shd w:val="clear" w:color="auto" w:fill="EAF0EE"/>
          </w:tcPr>
          <w:p>
            <w:pPr>
              <w:spacing w:after="20"/>
            </w:pPr>
            <w:r>
              <w:rPr>
                <w:b/>
                <w:color w:val="1C3A36"/>
                <w:sz w:val="16"/>
              </w:rPr>
              <w:t>3M Mar-2025</w:t>
            </w:r>
          </w:p>
        </w:tc>
        <w:tc>
          <w:tcPr>
            <w:tcW w:type="dxa" w:w="1757"/>
            <w:shd w:val="clear" w:color="auto" w:fill="EAF0EE"/>
          </w:tcPr>
          <w:p>
            <w:pPr>
              <w:spacing w:after="20"/>
            </w:pPr>
            <w:r>
              <w:rPr>
                <w:b/>
                <w:color w:val="1C3A36"/>
                <w:sz w:val="16"/>
              </w:rPr>
              <w:t>6M Dec-2025</w:t>
            </w:r>
          </w:p>
        </w:tc>
        <w:tc>
          <w:tcPr>
            <w:tcW w:type="dxa" w:w="1757"/>
            <w:shd w:val="clear" w:color="auto" w:fill="EAF0EE"/>
          </w:tcPr>
          <w:p>
            <w:pPr>
              <w:spacing w:after="20"/>
            </w:pPr>
            <w:r>
              <w:rPr>
                <w:b/>
                <w:color w:val="1C3A36"/>
                <w:sz w:val="16"/>
              </w:rPr>
              <w:t>3M Mar-2026</w:t>
            </w:r>
          </w:p>
        </w:tc>
      </w:tr>
      <w:tr>
        <w:tc>
          <w:tcPr>
            <w:tcW w:type="dxa" w:w="2952"/>
          </w:tcPr>
          <w:p>
            <w:pPr>
              <w:spacing w:after="20"/>
            </w:pPr>
            <w:r>
              <w:rPr>
                <w:color w:val="1C3A36"/>
                <w:sz w:val="16"/>
              </w:rPr>
              <w:t>Net sales</w:t>
            </w:r>
          </w:p>
        </w:tc>
        <w:tc>
          <w:tcPr>
            <w:tcW w:type="dxa" w:w="1757"/>
          </w:tcPr>
          <w:p>
            <w:pPr>
              <w:spacing w:after="20"/>
              <w:jc w:val="right"/>
            </w:pPr>
            <w:r>
              <w:rPr>
                <w:color w:val="1C3A36"/>
                <w:sz w:val="16"/>
              </w:rPr>
              <w:t>18,246</w:t>
            </w:r>
          </w:p>
        </w:tc>
        <w:tc>
          <w:tcPr>
            <w:tcW w:type="dxa" w:w="1757"/>
          </w:tcPr>
          <w:p>
            <w:pPr>
              <w:spacing w:after="20"/>
              <w:jc w:val="right"/>
            </w:pPr>
            <w:r>
              <w:rPr>
                <w:color w:val="1C3A36"/>
                <w:sz w:val="16"/>
              </w:rPr>
              <w:t>10,068</w:t>
            </w:r>
          </w:p>
        </w:tc>
        <w:tc>
          <w:tcPr>
            <w:tcW w:type="dxa" w:w="1757"/>
          </w:tcPr>
          <w:p>
            <w:pPr>
              <w:spacing w:after="20"/>
              <w:jc w:val="right"/>
            </w:pPr>
            <w:r>
              <w:rPr>
                <w:color w:val="1C3A36"/>
                <w:sz w:val="16"/>
              </w:rPr>
              <w:t>20,736</w:t>
            </w:r>
          </w:p>
        </w:tc>
        <w:tc>
          <w:tcPr>
            <w:tcW w:type="dxa" w:w="1757"/>
          </w:tcPr>
          <w:p>
            <w:pPr>
              <w:spacing w:after="20"/>
              <w:jc w:val="right"/>
            </w:pPr>
            <w:r>
              <w:rPr>
                <w:color w:val="1C3A36"/>
                <w:sz w:val="16"/>
              </w:rPr>
              <w:t>10,511</w:t>
            </w:r>
          </w:p>
        </w:tc>
      </w:tr>
      <w:tr>
        <w:tc>
          <w:tcPr>
            <w:tcW w:type="dxa" w:w="2952"/>
          </w:tcPr>
          <w:p>
            <w:pPr>
              <w:spacing w:after="20"/>
            </w:pPr>
            <w:r>
              <w:rPr>
                <w:color w:val="1C3A36"/>
                <w:sz w:val="16"/>
              </w:rPr>
              <w:t>Cost of sales</w:t>
            </w:r>
          </w:p>
        </w:tc>
        <w:tc>
          <w:tcPr>
            <w:tcW w:type="dxa" w:w="1757"/>
          </w:tcPr>
          <w:p>
            <w:pPr>
              <w:spacing w:after="20"/>
              <w:jc w:val="right"/>
            </w:pPr>
            <w:r>
              <w:rPr>
                <w:color w:val="1C3A36"/>
                <w:sz w:val="16"/>
              </w:rPr>
              <w:t>(16,995)</w:t>
            </w:r>
          </w:p>
        </w:tc>
        <w:tc>
          <w:tcPr>
            <w:tcW w:type="dxa" w:w="1757"/>
          </w:tcPr>
          <w:p>
            <w:pPr>
              <w:spacing w:after="20"/>
              <w:jc w:val="right"/>
            </w:pPr>
            <w:r>
              <w:rPr>
                <w:color w:val="1C3A36"/>
                <w:sz w:val="16"/>
              </w:rPr>
              <w:t>(9,560)</w:t>
            </w:r>
          </w:p>
        </w:tc>
        <w:tc>
          <w:tcPr>
            <w:tcW w:type="dxa" w:w="1757"/>
          </w:tcPr>
          <w:p>
            <w:pPr>
              <w:spacing w:after="20"/>
              <w:jc w:val="right"/>
            </w:pPr>
            <w:r>
              <w:rPr>
                <w:color w:val="1C3A36"/>
                <w:sz w:val="16"/>
              </w:rPr>
              <w:t>(19,462)</w:t>
            </w:r>
          </w:p>
        </w:tc>
        <w:tc>
          <w:tcPr>
            <w:tcW w:type="dxa" w:w="1757"/>
          </w:tcPr>
          <w:p>
            <w:pPr>
              <w:spacing w:after="20"/>
              <w:jc w:val="right"/>
            </w:pPr>
            <w:r>
              <w:rPr>
                <w:color w:val="1C3A36"/>
                <w:sz w:val="16"/>
              </w:rPr>
              <w:t>(9,440)</w:t>
            </w:r>
          </w:p>
        </w:tc>
      </w:tr>
      <w:tr>
        <w:tc>
          <w:tcPr>
            <w:tcW w:type="dxa" w:w="2952"/>
            <w:shd w:val="clear" w:color="auto" w:fill="F6F1E6"/>
          </w:tcPr>
          <w:p>
            <w:pPr>
              <w:spacing w:after="20"/>
            </w:pPr>
            <w:r>
              <w:rPr>
                <w:b/>
                <w:color w:val="1C3A36"/>
                <w:sz w:val="16"/>
              </w:rPr>
              <w:t>GROSS PROFIT</w:t>
            </w:r>
          </w:p>
        </w:tc>
        <w:tc>
          <w:tcPr>
            <w:tcW w:type="dxa" w:w="1757"/>
            <w:shd w:val="clear" w:color="auto" w:fill="F6F1E6"/>
          </w:tcPr>
          <w:p>
            <w:pPr>
              <w:spacing w:after="20"/>
              <w:jc w:val="right"/>
            </w:pPr>
            <w:r>
              <w:rPr>
                <w:b/>
                <w:color w:val="1C3A36"/>
                <w:sz w:val="16"/>
              </w:rPr>
              <w:t>1,251</w:t>
            </w:r>
          </w:p>
        </w:tc>
        <w:tc>
          <w:tcPr>
            <w:tcW w:type="dxa" w:w="1757"/>
            <w:shd w:val="clear" w:color="auto" w:fill="F6F1E6"/>
          </w:tcPr>
          <w:p>
            <w:pPr>
              <w:spacing w:after="20"/>
              <w:jc w:val="right"/>
            </w:pPr>
            <w:r>
              <w:rPr>
                <w:b/>
                <w:color w:val="1C3A36"/>
                <w:sz w:val="16"/>
              </w:rPr>
              <w:t>509</w:t>
            </w:r>
          </w:p>
        </w:tc>
        <w:tc>
          <w:tcPr>
            <w:tcW w:type="dxa" w:w="1757"/>
            <w:shd w:val="clear" w:color="auto" w:fill="F6F1E6"/>
          </w:tcPr>
          <w:p>
            <w:pPr>
              <w:spacing w:after="20"/>
              <w:jc w:val="right"/>
            </w:pPr>
            <w:r>
              <w:rPr>
                <w:b/>
                <w:color w:val="1C3A36"/>
                <w:sz w:val="16"/>
              </w:rPr>
              <w:t>1,274</w:t>
            </w:r>
          </w:p>
        </w:tc>
        <w:tc>
          <w:tcPr>
            <w:tcW w:type="dxa" w:w="1757"/>
            <w:shd w:val="clear" w:color="auto" w:fill="F6F1E6"/>
          </w:tcPr>
          <w:p>
            <w:pPr>
              <w:spacing w:after="20"/>
              <w:jc w:val="right"/>
            </w:pPr>
            <w:r>
              <w:rPr>
                <w:b/>
                <w:color w:val="1C3A36"/>
                <w:sz w:val="16"/>
              </w:rPr>
              <w:t>1,071</w:t>
            </w:r>
          </w:p>
        </w:tc>
      </w:tr>
      <w:tr>
        <w:tc>
          <w:tcPr>
            <w:tcW w:type="dxa" w:w="2952"/>
          </w:tcPr>
          <w:p>
            <w:pPr>
              <w:spacing w:after="20"/>
            </w:pPr>
            <w:r>
              <w:rPr>
                <w:color w:val="1C3A36"/>
                <w:sz w:val="16"/>
              </w:rPr>
              <w:t>Gross margin</w:t>
            </w:r>
          </w:p>
        </w:tc>
        <w:tc>
          <w:tcPr>
            <w:tcW w:type="dxa" w:w="1757"/>
          </w:tcPr>
          <w:p>
            <w:pPr>
              <w:spacing w:after="20"/>
              <w:jc w:val="right"/>
            </w:pPr>
            <w:r>
              <w:rPr>
                <w:color w:val="1C3A36"/>
                <w:sz w:val="16"/>
              </w:rPr>
              <w:t>6.85%</w:t>
            </w:r>
          </w:p>
        </w:tc>
        <w:tc>
          <w:tcPr>
            <w:tcW w:type="dxa" w:w="1757"/>
          </w:tcPr>
          <w:p>
            <w:pPr>
              <w:spacing w:after="20"/>
              <w:jc w:val="right"/>
            </w:pPr>
            <w:r>
              <w:rPr>
                <w:color w:val="1C3A36"/>
                <w:sz w:val="16"/>
              </w:rPr>
              <w:t>5.05%</w:t>
            </w:r>
          </w:p>
        </w:tc>
        <w:tc>
          <w:tcPr>
            <w:tcW w:type="dxa" w:w="1757"/>
          </w:tcPr>
          <w:p>
            <w:pPr>
              <w:spacing w:after="20"/>
              <w:jc w:val="right"/>
            </w:pPr>
            <w:r>
              <w:rPr>
                <w:color w:val="1C3A36"/>
                <w:sz w:val="16"/>
              </w:rPr>
              <w:t>6.14%</w:t>
            </w:r>
          </w:p>
        </w:tc>
        <w:tc>
          <w:tcPr>
            <w:tcW w:type="dxa" w:w="1757"/>
          </w:tcPr>
          <w:p>
            <w:pPr>
              <w:spacing w:after="20"/>
              <w:jc w:val="right"/>
            </w:pPr>
            <w:r>
              <w:rPr>
                <w:color w:val="1C3A36"/>
                <w:sz w:val="16"/>
              </w:rPr>
              <w:t>10.19%</w:t>
            </w:r>
          </w:p>
        </w:tc>
      </w:tr>
      <w:tr>
        <w:tc>
          <w:tcPr>
            <w:tcW w:type="dxa" w:w="2952"/>
          </w:tcPr>
          <w:p>
            <w:pPr>
              <w:spacing w:after="20"/>
            </w:pPr>
            <w:r>
              <w:rPr>
                <w:color w:val="1C3A36"/>
                <w:sz w:val="16"/>
              </w:rPr>
              <w:t>Operating profit</w:t>
            </w:r>
          </w:p>
        </w:tc>
        <w:tc>
          <w:tcPr>
            <w:tcW w:type="dxa" w:w="1757"/>
          </w:tcPr>
          <w:p>
            <w:pPr>
              <w:spacing w:after="20"/>
              <w:jc w:val="right"/>
            </w:pPr>
            <w:r>
              <w:rPr>
                <w:color w:val="1C3A36"/>
                <w:sz w:val="16"/>
              </w:rPr>
              <w:t>744</w:t>
            </w:r>
          </w:p>
        </w:tc>
        <w:tc>
          <w:tcPr>
            <w:tcW w:type="dxa" w:w="1757"/>
          </w:tcPr>
          <w:p>
            <w:pPr>
              <w:spacing w:after="20"/>
              <w:jc w:val="right"/>
            </w:pPr>
            <w:r>
              <w:rPr>
                <w:color w:val="1C3A36"/>
                <w:sz w:val="16"/>
              </w:rPr>
              <w:t>247</w:t>
            </w:r>
          </w:p>
        </w:tc>
        <w:tc>
          <w:tcPr>
            <w:tcW w:type="dxa" w:w="1757"/>
          </w:tcPr>
          <w:p>
            <w:pPr>
              <w:spacing w:after="20"/>
              <w:jc w:val="right"/>
            </w:pPr>
            <w:r>
              <w:rPr>
                <w:color w:val="1C3A36"/>
                <w:sz w:val="16"/>
              </w:rPr>
              <w:t>486</w:t>
            </w:r>
          </w:p>
        </w:tc>
        <w:tc>
          <w:tcPr>
            <w:tcW w:type="dxa" w:w="1757"/>
          </w:tcPr>
          <w:p>
            <w:pPr>
              <w:spacing w:after="20"/>
              <w:jc w:val="right"/>
            </w:pPr>
            <w:r>
              <w:rPr>
                <w:color w:val="1C3A36"/>
                <w:sz w:val="16"/>
              </w:rPr>
              <w:t>643</w:t>
            </w:r>
          </w:p>
        </w:tc>
      </w:tr>
    </w:tbl>
    <w:p>
      <w:pPr>
        <w:spacing w:after="40"/>
      </w:pPr>
    </w:p>
    <w:p>
      <w:pPr>
        <w:spacing w:after="200" w:before="0"/>
      </w:pPr>
      <w:r>
        <w:rPr>
          <w:b w:val="0"/>
          <w:i/>
          <w:color w:val="6E7B77"/>
          <w:sz w:val="17"/>
        </w:rPr>
        <w:t>Every column is as filed. No line is reconstructed, driven off a days assumption, or rolled back through profit and dividends — which is what the previous edition had to do for all four of its historical columns.</w:t>
      </w:r>
    </w:p>
    <w:p>
      <w:pPr>
        <w:spacing w:after="80" w:before="200"/>
      </w:pPr>
      <w:r>
        <w:rPr>
          <w:b/>
          <w:i w:val="0"/>
          <w:color w:val="1C3A36"/>
          <w:sz w:val="24"/>
        </w:rPr>
        <w:t>A.2  Balance sheet at 31 December 2025, as filed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48"/>
        <w:gridCol w:w="2304"/>
      </w:tblGrid>
      <w:tr>
        <w:tc>
          <w:tcPr>
            <w:tcW w:type="dxa" w:w="6048"/>
            <w:shd w:val="clear" w:color="auto" w:fill="EAF0EE"/>
          </w:tcPr>
          <w:p>
            <w:pPr>
              <w:spacing w:after="20"/>
            </w:pPr>
            <w:r>
              <w:rPr>
                <w:b/>
                <w:color w:val="1C3A36"/>
                <w:sz w:val="17"/>
              </w:rPr>
              <w:t>EGP mn</w:t>
            </w:r>
          </w:p>
        </w:tc>
        <w:tc>
          <w:tcPr>
            <w:tcW w:type="dxa" w:w="2304"/>
            <w:shd w:val="clear" w:color="auto" w:fill="EAF0EE"/>
          </w:tcPr>
          <w:p>
            <w:pPr>
              <w:spacing w:after="20"/>
            </w:pPr>
            <w:r>
              <w:rPr>
                <w:b/>
                <w:color w:val="1C3A36"/>
                <w:sz w:val="17"/>
              </w:rPr>
              <w:t>Audited</w:t>
            </w:r>
          </w:p>
        </w:tc>
      </w:tr>
      <w:tr>
        <w:tc>
          <w:tcPr>
            <w:tcW w:type="dxa" w:w="6048"/>
          </w:tcPr>
          <w:p>
            <w:pPr>
              <w:spacing w:after="20"/>
            </w:pPr>
            <w:r>
              <w:rPr>
                <w:color w:val="1C3A36"/>
                <w:sz w:val="17"/>
              </w:rPr>
              <w:t>Fixed assets, net (note 6)</w:t>
            </w:r>
          </w:p>
        </w:tc>
        <w:tc>
          <w:tcPr>
            <w:tcW w:type="dxa" w:w="2304"/>
          </w:tcPr>
          <w:p>
            <w:pPr>
              <w:spacing w:after="20"/>
              <w:jc w:val="right"/>
            </w:pPr>
            <w:r>
              <w:rPr>
                <w:color w:val="1C3A36"/>
                <w:sz w:val="17"/>
              </w:rPr>
              <w:t>893</w:t>
            </w:r>
          </w:p>
        </w:tc>
      </w:tr>
      <w:tr>
        <w:tc>
          <w:tcPr>
            <w:tcW w:type="dxa" w:w="6048"/>
          </w:tcPr>
          <w:p>
            <w:pPr>
              <w:spacing w:after="20"/>
            </w:pPr>
            <w:r>
              <w:rPr>
                <w:color w:val="1C3A36"/>
                <w:sz w:val="17"/>
              </w:rPr>
              <w:t>Projects under construction (note 7)</w:t>
            </w:r>
          </w:p>
        </w:tc>
        <w:tc>
          <w:tcPr>
            <w:tcW w:type="dxa" w:w="2304"/>
          </w:tcPr>
          <w:p>
            <w:pPr>
              <w:spacing w:after="20"/>
              <w:jc w:val="right"/>
            </w:pPr>
            <w:r>
              <w:rPr>
                <w:color w:val="1C3A36"/>
                <w:sz w:val="17"/>
              </w:rPr>
              <w:t>407</w:t>
            </w:r>
          </w:p>
        </w:tc>
      </w:tr>
      <w:tr>
        <w:tc>
          <w:tcPr>
            <w:tcW w:type="dxa" w:w="6048"/>
          </w:tcPr>
          <w:p>
            <w:pPr>
              <w:spacing w:after="20"/>
            </w:pPr>
            <w:r>
              <w:rPr>
                <w:color w:val="1C3A36"/>
                <w:sz w:val="17"/>
              </w:rPr>
              <w:t>Inventory, net (note 9-A)</w:t>
            </w:r>
          </w:p>
        </w:tc>
        <w:tc>
          <w:tcPr>
            <w:tcW w:type="dxa" w:w="2304"/>
          </w:tcPr>
          <w:p>
            <w:pPr>
              <w:spacing w:after="20"/>
              <w:jc w:val="right"/>
            </w:pPr>
            <w:r>
              <w:rPr>
                <w:color w:val="1C3A36"/>
                <w:sz w:val="17"/>
              </w:rPr>
              <w:t>2,847</w:t>
            </w:r>
          </w:p>
        </w:tc>
      </w:tr>
      <w:tr>
        <w:tc>
          <w:tcPr>
            <w:tcW w:type="dxa" w:w="6048"/>
          </w:tcPr>
          <w:p>
            <w:pPr>
              <w:spacing w:after="20"/>
            </w:pPr>
            <w:r>
              <w:rPr>
                <w:color w:val="1C3A36"/>
                <w:sz w:val="17"/>
              </w:rPr>
              <w:t>Accounts receivable, net (note 9-B)</w:t>
            </w:r>
          </w:p>
        </w:tc>
        <w:tc>
          <w:tcPr>
            <w:tcW w:type="dxa" w:w="2304"/>
          </w:tcPr>
          <w:p>
            <w:pPr>
              <w:spacing w:after="20"/>
              <w:jc w:val="right"/>
            </w:pPr>
            <w:r>
              <w:rPr>
                <w:color w:val="1C3A36"/>
                <w:sz w:val="17"/>
              </w:rPr>
              <w:t>573</w:t>
            </w:r>
          </w:p>
        </w:tc>
      </w:tr>
      <w:tr>
        <w:tc>
          <w:tcPr>
            <w:tcW w:type="dxa" w:w="6048"/>
          </w:tcPr>
          <w:p>
            <w:pPr>
              <w:spacing w:after="20"/>
            </w:pPr>
            <w:r>
              <w:rPr>
                <w:color w:val="1C3A36"/>
                <w:sz w:val="17"/>
              </w:rPr>
              <w:t>Debtors and other debit balances</w:t>
            </w:r>
          </w:p>
        </w:tc>
        <w:tc>
          <w:tcPr>
            <w:tcW w:type="dxa" w:w="2304"/>
          </w:tcPr>
          <w:p>
            <w:pPr>
              <w:spacing w:after="20"/>
              <w:jc w:val="right"/>
            </w:pPr>
            <w:r>
              <w:rPr>
                <w:color w:val="1C3A36"/>
                <w:sz w:val="17"/>
              </w:rPr>
              <w:t>366</w:t>
            </w:r>
          </w:p>
        </w:tc>
      </w:tr>
      <w:tr>
        <w:tc>
          <w:tcPr>
            <w:tcW w:type="dxa" w:w="6048"/>
          </w:tcPr>
          <w:p>
            <w:pPr>
              <w:spacing w:after="20"/>
            </w:pPr>
            <w:r>
              <w:rPr>
                <w:color w:val="1C3A36"/>
                <w:sz w:val="17"/>
              </w:rPr>
              <w:t>Cash at banks and on hand (note 9-E)</w:t>
            </w:r>
          </w:p>
        </w:tc>
        <w:tc>
          <w:tcPr>
            <w:tcW w:type="dxa" w:w="2304"/>
          </w:tcPr>
          <w:p>
            <w:pPr>
              <w:spacing w:after="20"/>
              <w:jc w:val="right"/>
            </w:pPr>
            <w:r>
              <w:rPr>
                <w:color w:val="1C3A36"/>
                <w:sz w:val="17"/>
              </w:rPr>
              <w:t>2,464</w:t>
            </w:r>
          </w:p>
        </w:tc>
      </w:tr>
      <w:tr>
        <w:tc>
          <w:tcPr>
            <w:tcW w:type="dxa" w:w="6048"/>
          </w:tcPr>
          <w:p>
            <w:pPr>
              <w:spacing w:after="20"/>
            </w:pPr>
            <w:r>
              <w:rPr>
                <w:color w:val="1C3A36"/>
                <w:sz w:val="17"/>
              </w:rPr>
              <w:t>Pledged deposits — not free cash</w:t>
            </w:r>
          </w:p>
        </w:tc>
        <w:tc>
          <w:tcPr>
            <w:tcW w:type="dxa" w:w="2304"/>
          </w:tcPr>
          <w:p>
            <w:pPr>
              <w:spacing w:after="20"/>
              <w:jc w:val="right"/>
            </w:pPr>
            <w:r>
              <w:rPr>
                <w:color w:val="1C3A36"/>
                <w:sz w:val="17"/>
              </w:rPr>
              <w:t>509</w:t>
            </w:r>
          </w:p>
        </w:tc>
      </w:tr>
      <w:tr>
        <w:tc>
          <w:tcPr>
            <w:tcW w:type="dxa" w:w="6048"/>
            <w:shd w:val="clear" w:color="auto" w:fill="F6F1E6"/>
          </w:tcPr>
          <w:p>
            <w:pPr>
              <w:spacing w:after="20"/>
            </w:pPr>
            <w:r>
              <w:rPr>
                <w:b/>
                <w:color w:val="1C3A36"/>
                <w:sz w:val="17"/>
              </w:rPr>
              <w:t>TOTAL ASSETS</w:t>
            </w:r>
          </w:p>
        </w:tc>
        <w:tc>
          <w:tcPr>
            <w:tcW w:type="dxa" w:w="2304"/>
            <w:shd w:val="clear" w:color="auto" w:fill="F6F1E6"/>
          </w:tcPr>
          <w:p>
            <w:pPr>
              <w:spacing w:after="20"/>
              <w:jc w:val="right"/>
            </w:pPr>
            <w:r>
              <w:rPr>
                <w:b/>
                <w:color w:val="1C3A36"/>
                <w:sz w:val="17"/>
              </w:rPr>
              <w:t>8,136</w:t>
            </w:r>
          </w:p>
        </w:tc>
      </w:tr>
      <w:tr>
        <w:tc>
          <w:tcPr>
            <w:tcW w:type="dxa" w:w="6048"/>
          </w:tcPr>
          <w:p>
            <w:pPr>
              <w:spacing w:after="20"/>
            </w:pPr>
            <w:r>
              <w:rPr>
                <w:color w:val="1C3A36"/>
                <w:sz w:val="17"/>
              </w:rPr>
              <w:t>Accounts and notes payable (note 10-3)</w:t>
            </w:r>
          </w:p>
        </w:tc>
        <w:tc>
          <w:tcPr>
            <w:tcW w:type="dxa" w:w="2304"/>
          </w:tcPr>
          <w:p>
            <w:pPr>
              <w:spacing w:after="20"/>
              <w:jc w:val="right"/>
            </w:pPr>
            <w:r>
              <w:rPr>
                <w:color w:val="1C3A36"/>
                <w:sz w:val="17"/>
              </w:rPr>
              <w:t>8</w:t>
            </w:r>
          </w:p>
        </w:tc>
      </w:tr>
      <w:tr>
        <w:tc>
          <w:tcPr>
            <w:tcW w:type="dxa" w:w="6048"/>
          </w:tcPr>
          <w:p>
            <w:pPr>
              <w:spacing w:after="20"/>
            </w:pPr>
            <w:r>
              <w:rPr>
                <w:color w:val="1C3A36"/>
                <w:sz w:val="17"/>
              </w:rPr>
              <w:t>Creditors and other credit balances (note 11)</w:t>
            </w:r>
          </w:p>
        </w:tc>
        <w:tc>
          <w:tcPr>
            <w:tcW w:type="dxa" w:w="2304"/>
          </w:tcPr>
          <w:p>
            <w:pPr>
              <w:spacing w:after="20"/>
              <w:jc w:val="right"/>
            </w:pPr>
            <w:r>
              <w:rPr>
                <w:color w:val="1C3A36"/>
                <w:sz w:val="17"/>
              </w:rPr>
              <w:t>2,044</w:t>
            </w:r>
          </w:p>
        </w:tc>
      </w:tr>
      <w:tr>
        <w:tc>
          <w:tcPr>
            <w:tcW w:type="dxa" w:w="6048"/>
          </w:tcPr>
          <w:p>
            <w:pPr>
              <w:spacing w:after="20"/>
            </w:pPr>
            <w:r>
              <w:rPr>
                <w:color w:val="1C3A36"/>
                <w:sz w:val="17"/>
              </w:rPr>
              <w:t>Provisions (note 10-1)</w:t>
            </w:r>
          </w:p>
        </w:tc>
        <w:tc>
          <w:tcPr>
            <w:tcW w:type="dxa" w:w="2304"/>
          </w:tcPr>
          <w:p>
            <w:pPr>
              <w:spacing w:after="20"/>
              <w:jc w:val="right"/>
            </w:pPr>
            <w:r>
              <w:rPr>
                <w:color w:val="1C3A36"/>
                <w:sz w:val="17"/>
              </w:rPr>
              <w:t>921</w:t>
            </w:r>
          </w:p>
        </w:tc>
      </w:tr>
      <w:tr>
        <w:tc>
          <w:tcPr>
            <w:tcW w:type="dxa" w:w="6048"/>
          </w:tcPr>
          <w:p>
            <w:pPr>
              <w:spacing w:after="20"/>
            </w:pPr>
            <w:r>
              <w:rPr>
                <w:color w:val="1C3A36"/>
                <w:sz w:val="17"/>
              </w:rPr>
              <w:t>Long-term and short-term loans</w:t>
            </w:r>
          </w:p>
        </w:tc>
        <w:tc>
          <w:tcPr>
            <w:tcW w:type="dxa" w:w="2304"/>
          </w:tcPr>
          <w:p>
            <w:pPr>
              <w:spacing w:after="20"/>
              <w:jc w:val="right"/>
            </w:pPr>
            <w:r>
              <w:rPr>
                <w:color w:val="1C3A36"/>
                <w:sz w:val="17"/>
              </w:rPr>
              <w:t>21.0</w:t>
            </w:r>
          </w:p>
        </w:tc>
      </w:tr>
      <w:tr>
        <w:tc>
          <w:tcPr>
            <w:tcW w:type="dxa" w:w="6048"/>
            <w:shd w:val="clear" w:color="auto" w:fill="F6F1E6"/>
          </w:tcPr>
          <w:p>
            <w:pPr>
              <w:spacing w:after="20"/>
            </w:pPr>
            <w:r>
              <w:rPr>
                <w:b/>
                <w:color w:val="1C3A36"/>
                <w:sz w:val="17"/>
              </w:rPr>
              <w:t>TOTAL LIABILITIES</w:t>
            </w:r>
          </w:p>
        </w:tc>
        <w:tc>
          <w:tcPr>
            <w:tcW w:type="dxa" w:w="2304"/>
            <w:shd w:val="clear" w:color="auto" w:fill="F6F1E6"/>
          </w:tcPr>
          <w:p>
            <w:pPr>
              <w:spacing w:after="20"/>
              <w:jc w:val="right"/>
            </w:pPr>
            <w:r>
              <w:rPr>
                <w:b/>
                <w:color w:val="1C3A36"/>
                <w:sz w:val="17"/>
              </w:rPr>
              <w:t>3,312</w:t>
            </w:r>
          </w:p>
        </w:tc>
      </w:tr>
      <w:tr>
        <w:tc>
          <w:tcPr>
            <w:tcW w:type="dxa" w:w="6048"/>
          </w:tcPr>
          <w:p>
            <w:pPr>
              <w:spacing w:after="20"/>
            </w:pPr>
            <w:r>
              <w:rPr>
                <w:color w:val="1C3A36"/>
                <w:sz w:val="17"/>
              </w:rPr>
              <w:t>Total AMOC equity</w:t>
            </w:r>
          </w:p>
        </w:tc>
        <w:tc>
          <w:tcPr>
            <w:tcW w:type="dxa" w:w="2304"/>
          </w:tcPr>
          <w:p>
            <w:pPr>
              <w:spacing w:after="20"/>
              <w:jc w:val="right"/>
            </w:pPr>
            <w:r>
              <w:rPr>
                <w:color w:val="1C3A36"/>
                <w:sz w:val="17"/>
              </w:rPr>
              <w:t>4,791</w:t>
            </w:r>
          </w:p>
        </w:tc>
      </w:tr>
      <w:tr>
        <w:tc>
          <w:tcPr>
            <w:tcW w:type="dxa" w:w="6048"/>
          </w:tcPr>
          <w:p>
            <w:pPr>
              <w:spacing w:after="20"/>
            </w:pPr>
            <w:r>
              <w:rPr>
                <w:color w:val="1C3A36"/>
                <w:sz w:val="17"/>
              </w:rPr>
              <w:t>Non-controlling interest</w:t>
            </w:r>
          </w:p>
        </w:tc>
        <w:tc>
          <w:tcPr>
            <w:tcW w:type="dxa" w:w="2304"/>
          </w:tcPr>
          <w:p>
            <w:pPr>
              <w:spacing w:after="20"/>
              <w:jc w:val="right"/>
            </w:pPr>
            <w:r>
              <w:rPr>
                <w:color w:val="1C3A36"/>
                <w:sz w:val="17"/>
              </w:rPr>
              <w:t>34</w:t>
            </w:r>
          </w:p>
        </w:tc>
      </w:tr>
      <w:tr>
        <w:tc>
          <w:tcPr>
            <w:tcW w:type="dxa" w:w="6048"/>
          </w:tcPr>
          <w:p>
            <w:pPr>
              <w:spacing w:after="20"/>
            </w:pPr>
            <w:r>
              <w:rPr>
                <w:color w:val="1C3A36"/>
                <w:sz w:val="17"/>
              </w:rPr>
              <w:t>NET WORKING CAPITAL</w:t>
            </w:r>
          </w:p>
        </w:tc>
        <w:tc>
          <w:tcPr>
            <w:tcW w:type="dxa" w:w="2304"/>
          </w:tcPr>
          <w:p>
            <w:pPr>
              <w:spacing w:after="20"/>
              <w:jc w:val="right"/>
            </w:pPr>
            <w:r>
              <w:rPr>
                <w:color w:val="1C3A36"/>
                <w:sz w:val="17"/>
              </w:rPr>
              <w:t>1,734</w:t>
            </w:r>
          </w:p>
        </w:tc>
      </w:tr>
      <w:tr>
        <w:tc>
          <w:tcPr>
            <w:tcW w:type="dxa" w:w="6048"/>
          </w:tcPr>
          <w:p>
            <w:pPr>
              <w:spacing w:after="20"/>
            </w:pPr>
            <w:r>
              <w:rPr>
                <w:color w:val="1C3A36"/>
                <w:sz w:val="17"/>
              </w:rPr>
              <w:t>INVESTED CAPITAL</w:t>
            </w:r>
          </w:p>
        </w:tc>
        <w:tc>
          <w:tcPr>
            <w:tcW w:type="dxa" w:w="2304"/>
          </w:tcPr>
          <w:p>
            <w:pPr>
              <w:spacing w:after="20"/>
              <w:jc w:val="right"/>
            </w:pPr>
            <w:r>
              <w:rPr>
                <w:color w:val="1C3A36"/>
                <w:sz w:val="17"/>
              </w:rPr>
              <w:t>3,034</w:t>
            </w:r>
          </w:p>
        </w:tc>
      </w:tr>
      <w:tr>
        <w:tc>
          <w:tcPr>
            <w:tcW w:type="dxa" w:w="6048"/>
            <w:shd w:val="clear" w:color="auto" w:fill="F6F1E6"/>
          </w:tcPr>
          <w:p>
            <w:pPr>
              <w:spacing w:after="20"/>
            </w:pPr>
            <w:r>
              <w:rPr>
                <w:b/>
                <w:color w:val="1C3A36"/>
                <w:sz w:val="17"/>
              </w:rPr>
              <w:t>NET CASH</w:t>
            </w:r>
          </w:p>
        </w:tc>
        <w:tc>
          <w:tcPr>
            <w:tcW w:type="dxa" w:w="2304"/>
            <w:shd w:val="clear" w:color="auto" w:fill="F6F1E6"/>
          </w:tcPr>
          <w:p>
            <w:pPr>
              <w:spacing w:after="20"/>
              <w:jc w:val="right"/>
            </w:pPr>
            <w:r>
              <w:rPr>
                <w:b/>
                <w:color w:val="1C3A36"/>
                <w:sz w:val="17"/>
              </w:rPr>
              <w:t>2,443</w:t>
            </w:r>
          </w:p>
        </w:tc>
      </w:tr>
    </w:tbl>
    <w:p>
      <w:pPr>
        <w:spacing w:after="40"/>
      </w:pPr>
    </w:p>
    <w:p>
      <w:pPr>
        <w:spacing w:after="200" w:before="0"/>
      </w:pPr>
      <w:r>
        <w:rPr>
          <w:b w:val="0"/>
          <w:i/>
          <w:color w:val="6E7B77"/>
          <w:sz w:val="17"/>
        </w:rPr>
        <w:t>Accounts and notes payable are EGP 8mn — the previous edition modelled a trade payable of about EGP 2,500mn funding the working-capital cycle. The funding actually sits in the EGPC current account of EGP 1,132mn inside creditors, which is a different thing with a different counterparty risk.</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produced by Testahil. It carries no rating, no recommendation and no price target.</w:t>
            </w:r>
          </w:p>
          <w:p>
            <w:pPr>
              <w:spacing w:after="100"/>
            </w:pPr>
            <w:r>
              <w:rPr>
                <w:b/>
                <w:color w:val="1C3A36"/>
                <w:sz w:val="19"/>
              </w:rPr>
              <w:t xml:space="preserve">Sources. </w:t>
            </w:r>
            <w:r>
              <w:rPr>
                <w:color w:val="1C3A36"/>
                <w:sz w:val="19"/>
              </w:rPr>
              <w:t>Every input carries a value, a source and a date, recorded in the accompanying source register issued as a separate document. Company figures are read off the audited and reviewed consolidated financial statements.</w:t>
            </w:r>
          </w:p>
          <w:p>
            <w:pPr>
              <w:spacing w:after="100"/>
            </w:pPr>
            <w:r>
              <w:rPr>
                <w:b/>
                <w:color w:val="1C3A36"/>
                <w:sz w:val="19"/>
              </w:rPr>
              <w:t xml:space="preserve">Not investment advice. </w:t>
            </w:r>
            <w:r>
              <w:rPr>
                <w:color w:val="1C3A36"/>
                <w:sz w:val="19"/>
              </w:rPr>
              <w:t>Educational analysis and personal analytical opinion. The preparer is not licensed by Egypt's Financial Regulatory Authority, manages no money and accepts no clients.</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