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13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172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eps reported</w:t>
            </w:r>
          </w:p>
        </w:tc>
        <w:tc>
          <w:tcPr>
            <w:tcW w:type="dxa" w:w="1368"/>
          </w:tcPr>
          <w:p>
            <w:pPr>
              <w:spacing w:after="20"/>
            </w:pPr>
            <w:r>
              <w:rPr>
                <w:color w:val="1C3A36"/>
                <w:sz w:val="15"/>
              </w:rPr>
              <w:t>FY23: 4.26; FY24: 7.22; FY25: 7.13</w:t>
            </w:r>
          </w:p>
        </w:tc>
        <w:tc>
          <w:tcPr>
            <w:tcW w:type="dxa" w:w="1123"/>
          </w:tcPr>
          <w:p>
            <w:pPr>
              <w:spacing w:after="20"/>
            </w:pPr>
            <w:r>
              <w:rPr>
                <w:color w:val="1C3A36"/>
                <w:sz w:val="15"/>
              </w:rPr>
              <w:t>2026-03-15</w:t>
            </w:r>
          </w:p>
        </w:tc>
        <w:tc>
          <w:tcPr>
            <w:tcW w:type="dxa" w:w="5933"/>
          </w:tcPr>
          <w:p>
            <w:pPr>
              <w:spacing w:after="20"/>
            </w:pPr>
            <w:r>
              <w:rPr>
                <w:color w:val="1C3A36"/>
                <w:sz w:val="15"/>
              </w:rPr>
              <w:t>Basic earnings per share as reported on the face of each year's audited consolidated statement of profit or loss (FY2023 diluted 4.25, FY2024 diluted 7.21, FY2025 basic and diluted both 7.13). Struck AFTER the Egyptian employee and board profit-share appropriation and over the weighted-average share count, so it is lower than attributable profit over shares outstanding; both bases are published</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electra sold 2025 mn</w:t>
            </w:r>
          </w:p>
        </w:tc>
        <w:tc>
          <w:tcPr>
            <w:tcW w:type="dxa" w:w="1368"/>
          </w:tcPr>
          <w:p>
            <w:pPr>
              <w:spacing w:after="20"/>
            </w:pPr>
            <w:r>
              <w:rPr>
                <w:color w:val="1C3A36"/>
                <w:sz w:val="15"/>
              </w:rPr>
              <w:t>32.1</w:t>
            </w:r>
          </w:p>
        </w:tc>
        <w:tc>
          <w:tcPr>
            <w:tcW w:type="dxa" w:w="1123"/>
          </w:tcPr>
          <w:p>
            <w:pPr>
              <w:spacing w:after="20"/>
            </w:pPr>
            <w:r>
              <w:rPr>
                <w:color w:val="1C3A36"/>
                <w:sz w:val="15"/>
              </w:rPr>
              <w:t>2026-03-01</w:t>
            </w:r>
          </w:p>
        </w:tc>
        <w:tc>
          <w:tcPr>
            <w:tcW w:type="dxa" w:w="5933"/>
          </w:tcPr>
          <w:p>
            <w:pPr>
              <w:spacing w:after="20"/>
            </w:pPr>
            <w:r>
              <w:rPr>
                <w:color w:val="1C3A36"/>
                <w:sz w:val="15"/>
              </w:rPr>
              <w:t>Shares sold into the market by Electra Investment Holding over calendar 2025, from the FY2025 shareholder table's movement against the FY2024 stake</w:t>
            </w:r>
          </w:p>
        </w:tc>
      </w:tr>
      <w:tr>
        <w:tc>
          <w:tcPr>
            <w:tcW w:type="dxa" w:w="1656"/>
          </w:tcPr>
          <w:p>
            <w:pPr>
              <w:spacing w:after="20"/>
            </w:pPr>
            <w:r>
              <w:rPr>
                <w:color w:val="1C3A36"/>
                <w:sz w:val="15"/>
              </w:rPr>
              <w:t>nd release fy25</w:t>
            </w:r>
          </w:p>
        </w:tc>
        <w:tc>
          <w:tcPr>
            <w:tcW w:type="dxa" w:w="1368"/>
          </w:tcPr>
          <w:p>
            <w:pPr>
              <w:spacing w:after="20"/>
            </w:pPr>
            <w:r>
              <w:rPr>
                <w:color w:val="1C3A36"/>
                <w:sz w:val="15"/>
              </w:rPr>
              <w:t>19,789.0</w:t>
            </w:r>
          </w:p>
        </w:tc>
        <w:tc>
          <w:tcPr>
            <w:tcW w:type="dxa" w:w="1123"/>
          </w:tcPr>
          <w:p>
            <w:pPr>
              <w:spacing w:after="20"/>
            </w:pPr>
            <w:r>
              <w:rPr>
                <w:color w:val="1C3A36"/>
                <w:sz w:val="15"/>
              </w:rPr>
              <w:t>2026-03-01</w:t>
            </w:r>
          </w:p>
        </w:tc>
        <w:tc>
          <w:tcPr>
            <w:tcW w:type="dxa" w:w="5933"/>
          </w:tcPr>
          <w:p>
            <w:pPr>
              <w:spacing w:after="20"/>
            </w:pPr>
            <w:r>
              <w:rPr>
                <w:color w:val="1C3A36"/>
                <w:sz w:val="15"/>
              </w:rPr>
              <w:t>Net debt as the company states it in its own FY2025 earnings release, on a narrower basis than the audited balance sheet (the definitional gap against this study's computed figure is disclosed rather than resolved)</w:t>
            </w:r>
          </w:p>
        </w:tc>
      </w:tr>
      <w:tr>
        <w:tc>
          <w:tcPr>
            <w:tcW w:type="dxa" w:w="1656"/>
          </w:tcPr>
          <w:p>
            <w:pPr>
              <w:spacing w:after="20"/>
            </w:pPr>
            <w:r>
              <w:rPr>
                <w:color w:val="1C3A36"/>
                <w:sz w:val="15"/>
              </w:rPr>
              <w:t>assoc bv fy23</w:t>
            </w:r>
          </w:p>
        </w:tc>
        <w:tc>
          <w:tcPr>
            <w:tcW w:type="dxa" w:w="1368"/>
          </w:tcPr>
          <w:p>
            <w:pPr>
              <w:spacing w:after="20"/>
            </w:pPr>
            <w:r>
              <w:rPr>
                <w:color w:val="1C3A36"/>
                <w:sz w:val="15"/>
              </w:rPr>
              <w:t>3,802.8</w:t>
            </w:r>
          </w:p>
        </w:tc>
        <w:tc>
          <w:tcPr>
            <w:tcW w:type="dxa" w:w="1123"/>
          </w:tcPr>
          <w:p>
            <w:pPr>
              <w:spacing w:after="20"/>
            </w:pPr>
            <w:r>
              <w:rPr>
                <w:color w:val="1C3A36"/>
                <w:sz w:val="15"/>
              </w:rPr>
              <w:t>2024-03-13</w:t>
            </w:r>
          </w:p>
        </w:tc>
        <w:tc>
          <w:tcPr>
            <w:tcW w:type="dxa" w:w="5933"/>
          </w:tcPr>
          <w:p>
            <w:pPr>
              <w:spacing w:after="20"/>
            </w:pPr>
            <w:r>
              <w:rPr>
                <w:color w:val="1C3A36"/>
                <w:sz w:val="15"/>
              </w:rPr>
              <w:t>Investments in associates and joint ventures, carrying value at 31 December 2023, FY2023 audited consolidated balance sheet</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 external span</w:t>
            </w:r>
          </w:p>
        </w:tc>
        <w:tc>
          <w:tcPr>
            <w:tcW w:type="dxa" w:w="1368"/>
          </w:tcPr>
          <w:p>
            <w:pPr>
              <w:spacing w:after="20"/>
            </w:pPr>
            <w:r>
              <w:rPr>
                <w:color w:val="1C3A36"/>
                <w:sz w:val="15"/>
              </w:rPr>
              <w:t>0.223, 0.23</w:t>
            </w:r>
          </w:p>
        </w:tc>
        <w:tc>
          <w:tcPr>
            <w:tcW w:type="dxa" w:w="1123"/>
          </w:tcPr>
          <w:p>
            <w:pPr>
              <w:spacing w:after="20"/>
            </w:pPr>
            <w:r>
              <w:rPr>
                <w:color w:val="1C3A36"/>
                <w:sz w:val="15"/>
              </w:rPr>
              <w:t>2026-08-05</w:t>
            </w:r>
          </w:p>
        </w:tc>
        <w:tc>
          <w:tcPr>
            <w:tcW w:type="dxa" w:w="5933"/>
          </w:tcPr>
          <w:p>
            <w:pPr>
              <w:spacing w:after="20"/>
            </w:pPr>
            <w:r>
              <w:rPr>
                <w:color w:val="1C3A36"/>
                <w:sz w:val="15"/>
              </w:rPr>
              <w:t>The span of external readings of Egypt's 10-year local-currency yield around the study's own reading. They disagree with each other, which is why the rate is carried in the sensitivity rather than presented as precise</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cash yield</w:t>
            </w:r>
          </w:p>
        </w:tc>
        <w:tc>
          <w:tcPr>
            <w:tcW w:type="dxa" w:w="1368"/>
          </w:tcPr>
          <w:p>
            <w:pPr>
              <w:spacing w:after="20"/>
            </w:pPr>
            <w:r>
              <w:rPr>
                <w:color w:val="1C3A36"/>
                <w:sz w:val="15"/>
              </w:rPr>
              <w:t>0.1</w:t>
            </w:r>
          </w:p>
        </w:tc>
        <w:tc>
          <w:tcPr>
            <w:tcW w:type="dxa" w:w="1123"/>
          </w:tcPr>
          <w:p>
            <w:pPr>
              <w:spacing w:after="20"/>
            </w:pPr>
            <w:r>
              <w:rPr>
                <w:color w:val="1C3A36"/>
                <w:sz w:val="15"/>
              </w:rPr>
              <w:t>2026-08-05</w:t>
            </w:r>
          </w:p>
        </w:tc>
        <w:tc>
          <w:tcPr>
            <w:tcW w:type="dxa" w:w="5933"/>
          </w:tcPr>
          <w:p>
            <w:pPr>
              <w:spacing w:after="20"/>
            </w:pPr>
            <w:r>
              <w:rPr>
                <w:color w:val="1C3A36"/>
                <w:sz w:val="15"/>
              </w:rPr>
              <w:t>Yield assumed on the cash balance inside the net-finance construction. A house judgement, registered because the document described it in prose while three separate formulas carried it as a literal</w:t>
            </w:r>
          </w:p>
        </w:tc>
      </w:tr>
      <w:tr>
        <w:tc>
          <w:tcPr>
            <w:tcW w:type="dxa" w:w="1656"/>
          </w:tcPr>
          <w:p>
            <w:pPr>
              <w:spacing w:after="20"/>
            </w:pPr>
            <w:r>
              <w:rPr>
                <w:color w:val="1C3A36"/>
                <w:sz w:val="15"/>
              </w:rPr>
              <w:t>w egp implied fy24</w:t>
            </w:r>
          </w:p>
        </w:tc>
        <w:tc>
          <w:tcPr>
            <w:tcW w:type="dxa" w:w="1368"/>
          </w:tcPr>
          <w:p>
            <w:pPr>
              <w:spacing w:after="20"/>
            </w:pPr>
            <w:r>
              <w:rPr>
                <w:color w:val="1C3A36"/>
                <w:sz w:val="15"/>
              </w:rPr>
              <w:t>0.44</w:t>
            </w:r>
          </w:p>
        </w:tc>
        <w:tc>
          <w:tcPr>
            <w:tcW w:type="dxa" w:w="1123"/>
          </w:tcPr>
          <w:p>
            <w:pPr>
              <w:spacing w:after="20"/>
            </w:pPr>
            <w:r>
              <w:rPr>
                <w:color w:val="1C3A36"/>
                <w:sz w:val="15"/>
              </w:rPr>
              <w:t>2025-03-13</w:t>
            </w:r>
          </w:p>
        </w:tc>
        <w:tc>
          <w:tcPr>
            <w:tcW w:type="dxa" w:w="5933"/>
          </w:tcPr>
          <w:p>
            <w:pPr>
              <w:spacing w:after="20"/>
            </w:pPr>
            <w:r>
              <w:rPr>
                <w:color w:val="1C3A36"/>
                <w:sz w:val="15"/>
              </w:rPr>
              <w:t>Pound share of the financial-debt book implied by the FY2024 back-solve of the effective rate against the three-way EGP/USD/EUR disclosure, on the same construction the FY2025 figure uses. INFERRED, not disclosed: the note gives average rates by currency bucket and never the bucket sizes</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applied forward and discounted back two years. A HOUSE JUDGEMENT WITH NO PEER ANCHOR: no peer multiple is computed anywhere in this study, and an earlier edition's claim that 'peers trade 8-11x' was unsupported by any calculation and is withdrawn here as it already was in the study. The figure is struck below this company's own trailing multiple as an Egyptian-market discount for sovereign, currency-convertibility and disclosure risk; the SIZE of that discount is a judgement and is not derived. Sensitised 5.5x to 8.0x, and the lens is a cross-check that is never weighted into the central</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H1-2026 interim 30.85%, WHICH IMPLIES 35.15% IN THE SECOND QUARTER ALONE. EVERY EARLIER EDITION OF THIS ENTRY STOPPED AT THE QUARTER AND CALLED IT 'the Q1-2026 uptick', while the half that contains it — registered in this same file as h1_26_tax and flagged there as material — ran five points higher again. Quoting the quarter as the current observation when the half it sits inside is known and worse is not a neutral choice of period. The adopted 24.5% is therefore BELOW every one of the last four observations and the study prices the alternative explicitly rather than leaving the reader to find it.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that level is ESCALATED AT THE HOUSE'S OWN US LONG-RUN INFLATION of 2.5% a year, reaching about 15,453/t by FY2030E. It is NOT held flat and this note said it was for two editions after the path changed: holding a dollar price flat in nominal terms is a real decline of 2.5% a year, which is a directional view on copper and not the absence of one. The level is still not a forecast — it is today's price carried forward in real terms. Copper is the largest single input into the Cables segment and a genuine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7.6%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19.7% of revenue</w:t>
            </w:r>
          </w:p>
        </w:tc>
        <w:tc>
          <w:tcPr>
            <w:tcW w:type="dxa" w:w="2520"/>
          </w:tcPr>
          <w:p>
            <w:pPr>
              <w:spacing w:after="20"/>
            </w:pPr>
            <w:r>
              <w:rPr>
                <w:color w:val="1C3A36"/>
                <w:sz w:val="15"/>
              </w:rPr>
              <w:t>Net working capital stays near 19.7% of revenue — the level measured on the REVIEWED 30 June 2026 balance sheet, not the FY2025 audited level of 19.87% an earlier edition of this row named</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22.9% of attributable EPS), rounded up for the rising trajectory the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9.1%</w:t>
            </w:r>
          </w:p>
        </w:tc>
        <w:tc>
          <w:tcPr>
            <w:tcW w:type="dxa" w:w="2520"/>
          </w:tcPr>
          <w:p>
            <w:pPr>
              <w:spacing w:after="20"/>
            </w:pPr>
            <w:r>
              <w:rPr>
                <w:color w:val="1C3A36"/>
                <w:sz w:val="15"/>
              </w:rPr>
              <w:t>Derived from the house macro path — 7.0% long-run Egyptian inflation compounded with a 2.0% real rate — and sensitised 7.1%-11.1% around it. NOT a standing centre chosen for the market: an earlier edition of this row published 5% 'sensitised 3-7%', which is the construction this study retired, and which does not contain the rate the study actually strikes</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then 25.8% (Q1-2026) and 30.9% (H1-2026) — which implies 35.2% in the second quarter alone, so the adopted rate sits below all four of the most recent readings.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of the 30.9% the reviewed half printed,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