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w:t>
            </w:r>
            <w:r>
              <w:rPr>
                <w:color w:val="9FB0AC"/>
                <w:sz w:val="19"/>
              </w:rPr>
              <w:t xml:space="preserve">   Educational analysis · not investment advice</w:t>
            </w:r>
          </w:p>
        </w:tc>
      </w:tr>
    </w:tbl>
    <w:p>
      <w:pPr>
        <w:spacing w:after="0"/>
      </w:pPr>
    </w:p>
    <w:p>
      <w:pPr>
        <w:spacing w:after="20" w:before="0"/>
      </w:pPr>
      <w:r>
        <w:rPr>
          <w:b/>
          <w:i w:val="0"/>
          <w:color w:val="1C3A36"/>
          <w:sz w:val="38"/>
        </w:rPr>
        <w:t>Abu Dhabi National Oil Company for Distribution PJSC</w:t>
      </w:r>
    </w:p>
    <w:p>
      <w:pPr>
        <w:spacing w:after="200" w:before="0"/>
      </w:pPr>
      <w:r>
        <w:rPr>
          <w:b w:val="0"/>
          <w:i w:val="0"/>
          <w:color w:val="6E7B77"/>
          <w:sz w:val="22"/>
        </w:rPr>
        <w:t>Bibliography and the complete record of inputs — the companion volume to the valuation study of 9 August 2026</w:t>
      </w:r>
    </w:p>
    <w:tbl>
      <w:tblPr>
        <w:tblW w:type="auto" w:w="0"/>
        <w:tblLook w:firstColumn="1" w:firstRow="1" w:lastColumn="0" w:lastRow="0" w:noHBand="0" w:noVBand="1" w:val="04A0"/>
        <w:tblLayout w:type="fixed"/>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w:t>
            </w:r>
            <w:r>
              <w:rPr>
                <w:color w:val="1C3A36"/>
                <w:sz w:val="19"/>
              </w:rPr>
              <w:t>This is not an appendix. It is a separate volume whose only purpose is to let a reader check the study without taking anything in it on trust. It lists every official document that was read and what was taken from each; then every single input to the valuation, with its value, its date and the sentence that says where it came from and how it was built; then every judgement, each paired with the evidence that would overturn it; then everything that was searched for and not found; and finally every place where the documents disagree with each other or where an outside source says something different from the filing.</w:t>
            </w:r>
          </w:p>
          <w:p>
            <w:pPr>
              <w:spacing w:after="100"/>
            </w:pPr>
            <w:r>
              <w:rPr>
                <w:b/>
                <w:color w:val="1C3A36"/>
                <w:sz w:val="19"/>
              </w:rPr>
              <w:t xml:space="preserve">The five research layers. </w:t>
            </w:r>
            <w:r>
              <w:rPr>
                <w:color w:val="1C3A36"/>
                <w:sz w:val="19"/>
              </w:rPr>
              <w:t>Each input is filed under the layer of the world it comes from. COMPANY is the company's own issued documents — the audited and reviewed financial statements, the management reports, the results presentations and the integrated report; every historical figure in the model comes from this layer and from nowhere else. MARKET is what the exchange itself observes — the share price, and the beta measured from that price history. COUNTRY is the United Arab Emirates: policy rates, the government bond yield, the tax regime, inflation and the country risk premium. INDUSTRY is fuel retailing as a business — regulated margin mechanics, network economics, the electric-vehicle transition and listed peers. GLOBAL is what is priced outside any one country: crude oil, and the internationally traded product prices that flow through to the pump.</w:t>
            </w:r>
          </w:p>
          <w:p>
            <w:pPr>
              <w:spacing w:after="100"/>
            </w:pPr>
            <w:r>
              <w:rPr>
                <w:b/>
                <w:color w:val="1C3A36"/>
                <w:sz w:val="19"/>
              </w:rPr>
              <w:t xml:space="preserve">What is not here. </w:t>
            </w:r>
            <w:r>
              <w:rPr>
                <w:color w:val="1C3A36"/>
                <w:sz w:val="19"/>
              </w:rPr>
              <w:t>No data service, no broker and no press report is a source of any figure the company reports about itself. Where one was consulted at all it was to cross-check, and every such case is named in the final section. A reader who finds a difference between this study and a screen should assume the screen and the filing are measuring different periods, and the last section shows exactly where that happens.</w:t>
            </w:r>
          </w:p>
        </w:tc>
      </w:tr>
    </w:tbl>
    <w:p>
      <w:pPr>
        <w:spacing w:after="40"/>
      </w:pPr>
    </w:p>
    <w:p>
      <w:pPr>
        <w:spacing w:after="120" w:before="280"/>
      </w:pPr>
      <w:r>
        <w:rPr>
          <w:b/>
          <w:i w:val="0"/>
          <w:color w:val="1C3A36"/>
          <w:sz w:val="30"/>
        </w:rPr>
        <w:t>1. The primary documents read</w:t>
      </w:r>
    </w:p>
    <w:p>
      <w:pPr>
        <w:spacing w:after="120" w:before="0"/>
      </w:pPr>
      <w:r>
        <w:rPr>
          <w:b w:val="0"/>
          <w:i w:val="0"/>
          <w:color w:val="1C3A36"/>
          <w:sz w:val="21"/>
        </w:rPr>
        <w:t>Every historical figure in the valuation traces to one of the documents below. All of them were obtained from the company's own investor-relations site — adnocdistribution.ae  -&gt;  Investors  -&gt;  Reports and presentations — and read in full. The annual financial statements were audited by Ernst &amp; Young (audited annual) — per audit reports in each annual filing; the half-year statements for 30 Jun 2026 were reviewed by Grant Thornton UAE (review report in the filing itself). Amounts are presented in AED and, in the statements themselves, in thousands: “AED'000 (AED thousands) for all financial-statement figures unless a field name says otherwise”.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47"/>
        <w:gridCol w:w="2333"/>
        <w:gridCol w:w="1656"/>
        <w:gridCol w:w="5544"/>
      </w:tblGrid>
      <w:tr>
        <w:trPr>
          <w:cantSplit/>
        </w:trPr>
        <w:tc>
          <w:tcPr>
            <w:tcW w:type="dxa" w:w="547"/>
            <w:shd w:val="clear" w:color="auto" w:fill="EAF0EE"/>
          </w:tcPr>
          <w:p>
            <w:pPr>
              <w:spacing w:after="20"/>
            </w:pPr>
            <w:r>
              <w:rPr>
                <w:b/>
                <w:color w:val="1C3A36"/>
                <w:sz w:val="15"/>
              </w:rPr>
              <w:t>Ref</w:t>
            </w:r>
          </w:p>
        </w:tc>
        <w:tc>
          <w:tcPr>
            <w:tcW w:type="dxa" w:w="2333"/>
            <w:shd w:val="clear" w:color="auto" w:fill="EAF0EE"/>
          </w:tcPr>
          <w:p>
            <w:pPr>
              <w:spacing w:after="20"/>
            </w:pPr>
            <w:r>
              <w:rPr>
                <w:b/>
                <w:color w:val="1C3A36"/>
                <w:sz w:val="15"/>
              </w:rPr>
              <w:t>Document</w:t>
            </w:r>
          </w:p>
        </w:tc>
        <w:tc>
          <w:tcPr>
            <w:tcW w:type="dxa" w:w="1656"/>
            <w:shd w:val="clear" w:color="auto" w:fill="EAF0EE"/>
          </w:tcPr>
          <w:p>
            <w:pPr>
              <w:spacing w:after="20"/>
            </w:pPr>
            <w:r>
              <w:rPr>
                <w:b/>
                <w:color w:val="1C3A36"/>
                <w:sz w:val="15"/>
              </w:rPr>
              <w:t>Publisher and period</w:t>
            </w:r>
          </w:p>
        </w:tc>
        <w:tc>
          <w:tcPr>
            <w:tcW w:type="dxa" w:w="5544"/>
            <w:shd w:val="clear" w:color="auto" w:fill="EAF0EE"/>
          </w:tcPr>
          <w:p>
            <w:pPr>
              <w:spacing w:after="20"/>
            </w:pPr>
            <w:r>
              <w:rPr>
                <w:b/>
                <w:color w:val="1C3A36"/>
                <w:sz w:val="15"/>
              </w:rPr>
              <w:t>What was taken from it</w:t>
            </w:r>
          </w:p>
        </w:tc>
      </w:tr>
      <w:tr>
        <w:trPr>
          <w:cantSplit/>
        </w:trPr>
        <w:tc>
          <w:tcPr>
            <w:tcW w:type="dxa" w:w="547"/>
          </w:tcPr>
          <w:p>
            <w:pPr>
              <w:spacing w:after="20"/>
            </w:pPr>
            <w:r>
              <w:rPr>
                <w:color w:val="1C3A36"/>
                <w:sz w:val="15"/>
              </w:rPr>
              <w:t>D1</w:t>
            </w:r>
          </w:p>
        </w:tc>
        <w:tc>
          <w:tcPr>
            <w:tcW w:type="dxa" w:w="2333"/>
          </w:tcPr>
          <w:p>
            <w:pPr>
              <w:spacing w:after="20"/>
              <w:jc w:val="right"/>
            </w:pPr>
            <w:r>
              <w:rPr>
                <w:color w:val="1C3A36"/>
                <w:sz w:val="15"/>
              </w:rPr>
              <w:t>Audited consolidated financial statements for the year ended 31 December 2023, with the independent auditor's report and the full notes</w:t>
            </w:r>
          </w:p>
        </w:tc>
        <w:tc>
          <w:tcPr>
            <w:tcW w:type="dxa" w:w="1656"/>
          </w:tcPr>
          <w:p>
            <w:pPr>
              <w:spacing w:after="20"/>
              <w:jc w:val="right"/>
            </w:pPr>
            <w:r>
              <w:rPr>
                <w:color w:val="1C3A36"/>
                <w:sz w:val="15"/>
              </w:rPr>
              <w:t>The company, for the year ended 31 December 2023</w:t>
            </w:r>
          </w:p>
        </w:tc>
        <w:tc>
          <w:tcPr>
            <w:tcW w:type="dxa" w:w="5544"/>
          </w:tcPr>
          <w:p>
            <w:pPr>
              <w:spacing w:after="20"/>
              <w:jc w:val="right"/>
            </w:pPr>
            <w:r>
              <w:rPr>
                <w:color w:val="1C3A36"/>
                <w:sz w:val="15"/>
              </w:rPr>
              <w:t>The FY2023 income statement, balance sheet, statement of changes in equity and cash-flow statement, and the notes behind them: revenue and direct costs, the distribution and administrative expenses note with its depreciation and amortisation split, the borrowings note, the lease and right-of-use notes, the trade receivables and payables notes and the capital-risk table. Supplies the FY2022 comparative revenue and net profit, and the two separately presented FY2023 impairment lines.</w:t>
            </w:r>
          </w:p>
        </w:tc>
      </w:tr>
      <w:tr>
        <w:trPr>
          <w:cantSplit/>
        </w:trPr>
        <w:tc>
          <w:tcPr>
            <w:tcW w:type="dxa" w:w="547"/>
          </w:tcPr>
          <w:p>
            <w:pPr>
              <w:spacing w:after="20"/>
            </w:pPr>
            <w:r>
              <w:rPr>
                <w:color w:val="1C3A36"/>
                <w:sz w:val="15"/>
              </w:rPr>
              <w:t>D2</w:t>
            </w:r>
          </w:p>
        </w:tc>
        <w:tc>
          <w:tcPr>
            <w:tcW w:type="dxa" w:w="2333"/>
          </w:tcPr>
          <w:p>
            <w:pPr>
              <w:spacing w:after="20"/>
              <w:jc w:val="right"/>
            </w:pPr>
            <w:r>
              <w:rPr>
                <w:color w:val="1C3A36"/>
                <w:sz w:val="15"/>
              </w:rPr>
              <w:t>Audited consolidated financial statements for the year ended 31 December 2024, with the independent auditor's report and the full notes</w:t>
            </w:r>
          </w:p>
        </w:tc>
        <w:tc>
          <w:tcPr>
            <w:tcW w:type="dxa" w:w="1656"/>
          </w:tcPr>
          <w:p>
            <w:pPr>
              <w:spacing w:after="20"/>
              <w:jc w:val="right"/>
            </w:pPr>
            <w:r>
              <w:rPr>
                <w:color w:val="1C3A36"/>
                <w:sz w:val="15"/>
              </w:rPr>
              <w:t>The company, for the year ended 31 December 2024</w:t>
            </w:r>
          </w:p>
        </w:tc>
        <w:tc>
          <w:tcPr>
            <w:tcW w:type="dxa" w:w="5544"/>
          </w:tcPr>
          <w:p>
            <w:pPr>
              <w:spacing w:after="20"/>
              <w:jc w:val="right"/>
            </w:pPr>
            <w:r>
              <w:rPr>
                <w:color w:val="1C3A36"/>
                <w:sz w:val="15"/>
              </w:rPr>
              <w:t>The complete FY2024 statements and notes on the same basis; the restated opening equity at 1 January 2024 and the accounting-change note behind it; the re-presentation of the FY2023 impairment comparative as a single line; and the FY2023 comparative column used to confirm every prior-year figure line for line.</w:t>
            </w:r>
          </w:p>
        </w:tc>
      </w:tr>
      <w:tr>
        <w:trPr>
          <w:cantSplit/>
        </w:trPr>
        <w:tc>
          <w:tcPr>
            <w:tcW w:type="dxa" w:w="547"/>
          </w:tcPr>
          <w:p>
            <w:pPr>
              <w:spacing w:after="20"/>
            </w:pPr>
            <w:r>
              <w:rPr>
                <w:color w:val="1C3A36"/>
                <w:sz w:val="15"/>
              </w:rPr>
              <w:t>D3</w:t>
            </w:r>
          </w:p>
        </w:tc>
        <w:tc>
          <w:tcPr>
            <w:tcW w:type="dxa" w:w="2333"/>
          </w:tcPr>
          <w:p>
            <w:pPr>
              <w:spacing w:after="20"/>
              <w:jc w:val="right"/>
            </w:pPr>
            <w:r>
              <w:rPr>
                <w:color w:val="1C3A36"/>
                <w:sz w:val="15"/>
              </w:rPr>
              <w:t>Audited consolidated financial statements for the year ended 31 December 2025, with the independent auditor's report and the full notes</w:t>
            </w:r>
          </w:p>
        </w:tc>
        <w:tc>
          <w:tcPr>
            <w:tcW w:type="dxa" w:w="1656"/>
          </w:tcPr>
          <w:p>
            <w:pPr>
              <w:spacing w:after="20"/>
              <w:jc w:val="right"/>
            </w:pPr>
            <w:r>
              <w:rPr>
                <w:color w:val="1C3A36"/>
                <w:sz w:val="15"/>
              </w:rPr>
              <w:t>The company, for the year ended 31 December 2025</w:t>
            </w:r>
          </w:p>
        </w:tc>
        <w:tc>
          <w:tcPr>
            <w:tcW w:type="dxa" w:w="5544"/>
          </w:tcPr>
          <w:p>
            <w:pPr>
              <w:spacing w:after="20"/>
              <w:jc w:val="right"/>
            </w:pPr>
            <w:r>
              <w:rPr>
                <w:color w:val="1C3A36"/>
                <w:sz w:val="15"/>
              </w:rPr>
              <w:t>The complete FY2025 statements and notes: revenue by segment and by category, direct costs, the expense note and its depreciation split, the income-tax note and its rate reconciliation, the borrowings note with the per-currency interest basis, leases, working-capital balances, provisions, the dividend note and the capital-risk table. This is the anchor filing for the whole model.</w:t>
            </w:r>
          </w:p>
        </w:tc>
      </w:tr>
      <w:tr>
        <w:trPr>
          <w:cantSplit/>
        </w:trPr>
        <w:tc>
          <w:tcPr>
            <w:tcW w:type="dxa" w:w="547"/>
          </w:tcPr>
          <w:p>
            <w:pPr>
              <w:spacing w:after="20"/>
            </w:pPr>
            <w:r>
              <w:rPr>
                <w:color w:val="1C3A36"/>
                <w:sz w:val="15"/>
              </w:rPr>
              <w:t>D4</w:t>
            </w:r>
          </w:p>
        </w:tc>
        <w:tc>
          <w:tcPr>
            <w:tcW w:type="dxa" w:w="2333"/>
          </w:tcPr>
          <w:p>
            <w:pPr>
              <w:spacing w:after="20"/>
              <w:jc w:val="right"/>
            </w:pPr>
            <w:r>
              <w:rPr>
                <w:color w:val="1C3A36"/>
                <w:sz w:val="15"/>
              </w:rPr>
              <w:t>Reviewed interim condensed consolidated financial statements for the three months ended 31 March 2026</w:t>
            </w:r>
          </w:p>
        </w:tc>
        <w:tc>
          <w:tcPr>
            <w:tcW w:type="dxa" w:w="1656"/>
          </w:tcPr>
          <w:p>
            <w:pPr>
              <w:spacing w:after="20"/>
              <w:jc w:val="right"/>
            </w:pPr>
            <w:r>
              <w:rPr>
                <w:color w:val="1C3A36"/>
                <w:sz w:val="15"/>
              </w:rPr>
              <w:t>The company, for the quarter ended 31 March 2026</w:t>
            </w:r>
          </w:p>
        </w:tc>
        <w:tc>
          <w:tcPr>
            <w:tcW w:type="dxa" w:w="5544"/>
          </w:tcPr>
          <w:p>
            <w:pPr>
              <w:spacing w:after="20"/>
              <w:jc w:val="right"/>
            </w:pPr>
            <w:r>
              <w:rPr>
                <w:color w:val="1C3A36"/>
                <w:sz w:val="15"/>
              </w:rPr>
              <w:t>The first-quarter revenue, profit and balance-sheet position, and the confirmation that the 31 December 2025 audited closing balances carry forward unchanged into 2026.</w:t>
            </w:r>
          </w:p>
        </w:tc>
      </w:tr>
      <w:tr>
        <w:trPr>
          <w:cantSplit/>
        </w:trPr>
        <w:tc>
          <w:tcPr>
            <w:tcW w:type="dxa" w:w="547"/>
          </w:tcPr>
          <w:p>
            <w:pPr>
              <w:spacing w:after="20"/>
            </w:pPr>
            <w:r>
              <w:rPr>
                <w:color w:val="1C3A36"/>
                <w:sz w:val="15"/>
              </w:rPr>
              <w:t>D5</w:t>
            </w:r>
          </w:p>
        </w:tc>
        <w:tc>
          <w:tcPr>
            <w:tcW w:type="dxa" w:w="2333"/>
          </w:tcPr>
          <w:p>
            <w:pPr>
              <w:spacing w:after="20"/>
              <w:jc w:val="right"/>
            </w:pPr>
            <w:r>
              <w:rPr>
                <w:color w:val="1C3A36"/>
                <w:sz w:val="15"/>
              </w:rPr>
              <w:t>Reviewed interim condensed consolidated financial statements for the six months ended 30 June 2026</w:t>
            </w:r>
          </w:p>
        </w:tc>
        <w:tc>
          <w:tcPr>
            <w:tcW w:type="dxa" w:w="1656"/>
          </w:tcPr>
          <w:p>
            <w:pPr>
              <w:spacing w:after="20"/>
              <w:jc w:val="right"/>
            </w:pPr>
            <w:r>
              <w:rPr>
                <w:color w:val="1C3A36"/>
                <w:sz w:val="15"/>
              </w:rPr>
              <w:t>The company, for the half-year ended 30 June 2026</w:t>
            </w:r>
          </w:p>
        </w:tc>
        <w:tc>
          <w:tcPr>
            <w:tcW w:type="dxa" w:w="5544"/>
          </w:tcPr>
          <w:p>
            <w:pPr>
              <w:spacing w:after="20"/>
              <w:jc w:val="right"/>
            </w:pPr>
            <w:r>
              <w:rPr>
                <w:color w:val="1C3A36"/>
                <w:sz w:val="15"/>
              </w:rPr>
              <w:t>The whole first half of 2026 — revenue, direct costs, gross profit, expenses, depreciation, finance costs, tax and net profit, with the balance sheet and cash-flow statement — which is the base the forecast is struck from. Also the events-after-the-reporting-date note describing the proposed South African acquisition, and the associate dividend disclosure.</w:t>
            </w:r>
          </w:p>
        </w:tc>
      </w:tr>
      <w:tr>
        <w:trPr>
          <w:cantSplit/>
        </w:trPr>
        <w:tc>
          <w:tcPr>
            <w:tcW w:type="dxa" w:w="547"/>
          </w:tcPr>
          <w:p>
            <w:pPr>
              <w:spacing w:after="20"/>
            </w:pPr>
            <w:r>
              <w:rPr>
                <w:color w:val="1C3A36"/>
                <w:sz w:val="15"/>
              </w:rPr>
              <w:t>D6</w:t>
            </w:r>
          </w:p>
        </w:tc>
        <w:tc>
          <w:tcPr>
            <w:tcW w:type="dxa" w:w="2333"/>
          </w:tcPr>
          <w:p>
            <w:pPr>
              <w:spacing w:after="20"/>
              <w:jc w:val="right"/>
            </w:pPr>
            <w:r>
              <w:rPr>
                <w:color w:val="1C3A36"/>
                <w:sz w:val="15"/>
              </w:rPr>
              <w:t>Reviewed interim condensed consolidated financial statements for the six months ended 30 June 2025</w:t>
            </w:r>
          </w:p>
        </w:tc>
        <w:tc>
          <w:tcPr>
            <w:tcW w:type="dxa" w:w="1656"/>
          </w:tcPr>
          <w:p>
            <w:pPr>
              <w:spacing w:after="20"/>
              <w:jc w:val="right"/>
            </w:pPr>
            <w:r>
              <w:rPr>
                <w:color w:val="1C3A36"/>
                <w:sz w:val="15"/>
              </w:rPr>
              <w:t>The company, for the half-year ended 30 June 2025</w:t>
            </w:r>
          </w:p>
        </w:tc>
        <w:tc>
          <w:tcPr>
            <w:tcW w:type="dxa" w:w="5544"/>
          </w:tcPr>
          <w:p>
            <w:pPr>
              <w:spacing w:after="20"/>
              <w:jc w:val="right"/>
            </w:pPr>
            <w:r>
              <w:rPr>
                <w:color w:val="1C3A36"/>
                <w:sz w:val="15"/>
              </w:rPr>
              <w:t>The prior-year half-year comparatives — revenue, volumes by segment, gross profit by segment and inventory movements — without which the first half of 2026 could not be read as a growth rate rather than a level.</w:t>
            </w:r>
          </w:p>
        </w:tc>
      </w:tr>
      <w:tr>
        <w:trPr>
          <w:cantSplit/>
        </w:trPr>
        <w:tc>
          <w:tcPr>
            <w:tcW w:type="dxa" w:w="547"/>
          </w:tcPr>
          <w:p>
            <w:pPr>
              <w:spacing w:after="20"/>
            </w:pPr>
            <w:r>
              <w:rPr>
                <w:color w:val="1C3A36"/>
                <w:sz w:val="15"/>
              </w:rPr>
              <w:t>D7</w:t>
            </w:r>
          </w:p>
        </w:tc>
        <w:tc>
          <w:tcPr>
            <w:tcW w:type="dxa" w:w="2333"/>
          </w:tcPr>
          <w:p>
            <w:pPr>
              <w:spacing w:after="20"/>
              <w:jc w:val="right"/>
            </w:pPr>
            <w:r>
              <w:rPr>
                <w:color w:val="1C3A36"/>
                <w:sz w:val="15"/>
              </w:rPr>
              <w:t>Management discussion and analysis for the year ended 31 December 2025</w:t>
            </w:r>
          </w:p>
        </w:tc>
        <w:tc>
          <w:tcPr>
            <w:tcW w:type="dxa" w:w="1656"/>
          </w:tcPr>
          <w:p>
            <w:pPr>
              <w:spacing w:after="20"/>
              <w:jc w:val="right"/>
            </w:pPr>
            <w:r>
              <w:rPr>
                <w:color w:val="1C3A36"/>
                <w:sz w:val="15"/>
              </w:rPr>
              <w:t>The company, published with the FY2025 results</w:t>
            </w:r>
          </w:p>
        </w:tc>
        <w:tc>
          <w:tcPr>
            <w:tcW w:type="dxa" w:w="5544"/>
          </w:tcPr>
          <w:p>
            <w:pPr>
              <w:spacing w:after="20"/>
              <w:jc w:val="right"/>
            </w:pPr>
            <w:r>
              <w:rPr>
                <w:color w:val="1C3A36"/>
                <w:sz w:val="15"/>
              </w:rPr>
              <w:t>The operating figures no financial statement carries: fuel volumes by segment, the station count, convenience-store and electric-vehicle-point counts, transaction counts, gross profit split between retail fuel, non-fuel and commercial, the inventory-movement disclosure for FY2025 and FY2024, and the underlying EBITDA summary table.</w:t>
            </w:r>
          </w:p>
        </w:tc>
      </w:tr>
      <w:tr>
        <w:trPr>
          <w:cantSplit/>
        </w:trPr>
        <w:tc>
          <w:tcPr>
            <w:tcW w:type="dxa" w:w="547"/>
          </w:tcPr>
          <w:p>
            <w:pPr>
              <w:spacing w:after="20"/>
            </w:pPr>
            <w:r>
              <w:rPr>
                <w:color w:val="1C3A36"/>
                <w:sz w:val="15"/>
              </w:rPr>
              <w:t>D8</w:t>
            </w:r>
          </w:p>
        </w:tc>
        <w:tc>
          <w:tcPr>
            <w:tcW w:type="dxa" w:w="2333"/>
          </w:tcPr>
          <w:p>
            <w:pPr>
              <w:spacing w:after="20"/>
              <w:jc w:val="right"/>
            </w:pPr>
            <w:r>
              <w:rPr>
                <w:color w:val="1C3A36"/>
                <w:sz w:val="15"/>
              </w:rPr>
              <w:t>Management discussion and analysis for the second quarter and first half of 2026</w:t>
            </w:r>
          </w:p>
        </w:tc>
        <w:tc>
          <w:tcPr>
            <w:tcW w:type="dxa" w:w="1656"/>
          </w:tcPr>
          <w:p>
            <w:pPr>
              <w:spacing w:after="20"/>
              <w:jc w:val="right"/>
            </w:pPr>
            <w:r>
              <w:rPr>
                <w:color w:val="1C3A36"/>
                <w:sz w:val="15"/>
              </w:rPr>
              <w:t>The company, published with the H1-2026 results</w:t>
            </w:r>
          </w:p>
        </w:tc>
        <w:tc>
          <w:tcPr>
            <w:tcW w:type="dxa" w:w="5544"/>
          </w:tcPr>
          <w:p>
            <w:pPr>
              <w:spacing w:after="20"/>
              <w:jc w:val="right"/>
            </w:pPr>
            <w:r>
              <w:rPr>
                <w:color w:val="1C3A36"/>
                <w:sz w:val="15"/>
              </w:rPr>
              <w:t>The same operating set for the first half of 2026 and its 2025 comparative, including the inventory movement for the half and its split between fuel retail and commercial; the reaffirmed 2026 capital-expenditure, network and dividend targets; the medium-term network and non-fuel targets; and the description of the proposed South African acquisition and its stated accretion.</w:t>
            </w:r>
          </w:p>
        </w:tc>
      </w:tr>
      <w:tr>
        <w:trPr>
          <w:cantSplit/>
        </w:trPr>
        <w:tc>
          <w:tcPr>
            <w:tcW w:type="dxa" w:w="547"/>
          </w:tcPr>
          <w:p>
            <w:pPr>
              <w:spacing w:after="20"/>
            </w:pPr>
            <w:r>
              <w:rPr>
                <w:color w:val="1C3A36"/>
                <w:sz w:val="15"/>
              </w:rPr>
              <w:t>D9</w:t>
            </w:r>
          </w:p>
        </w:tc>
        <w:tc>
          <w:tcPr>
            <w:tcW w:type="dxa" w:w="2333"/>
          </w:tcPr>
          <w:p>
            <w:pPr>
              <w:spacing w:after="20"/>
              <w:jc w:val="right"/>
            </w:pPr>
            <w:r>
              <w:rPr>
                <w:color w:val="1C3A36"/>
                <w:sz w:val="15"/>
              </w:rPr>
              <w:t>Results presentation for the year ended 31 December 2025</w:t>
            </w:r>
          </w:p>
        </w:tc>
        <w:tc>
          <w:tcPr>
            <w:tcW w:type="dxa" w:w="1656"/>
          </w:tcPr>
          <w:p>
            <w:pPr>
              <w:spacing w:after="20"/>
              <w:jc w:val="right"/>
            </w:pPr>
            <w:r>
              <w:rPr>
                <w:color w:val="1C3A36"/>
                <w:sz w:val="15"/>
              </w:rPr>
              <w:t>The company, published with the FY2025 results</w:t>
            </w:r>
          </w:p>
        </w:tc>
        <w:tc>
          <w:tcPr>
            <w:tcW w:type="dxa" w:w="5544"/>
          </w:tcPr>
          <w:p>
            <w:pPr>
              <w:spacing w:after="20"/>
              <w:jc w:val="right"/>
            </w:pPr>
            <w:r>
              <w:rPr>
                <w:color w:val="1C3A36"/>
                <w:sz w:val="15"/>
              </w:rPr>
              <w:t>The segment bridges and per-litre margin build behind the FY2025 management report, used to confirm the gross-profit-per-litre construction.</w:t>
            </w:r>
          </w:p>
        </w:tc>
      </w:tr>
      <w:tr>
        <w:trPr>
          <w:cantSplit/>
        </w:trPr>
        <w:tc>
          <w:tcPr>
            <w:tcW w:type="dxa" w:w="547"/>
          </w:tcPr>
          <w:p>
            <w:pPr>
              <w:spacing w:after="20"/>
            </w:pPr>
            <w:r>
              <w:rPr>
                <w:color w:val="1C3A36"/>
                <w:sz w:val="15"/>
              </w:rPr>
              <w:t>D10</w:t>
            </w:r>
          </w:p>
        </w:tc>
        <w:tc>
          <w:tcPr>
            <w:tcW w:type="dxa" w:w="2333"/>
          </w:tcPr>
          <w:p>
            <w:pPr>
              <w:spacing w:after="20"/>
              <w:jc w:val="right"/>
            </w:pPr>
            <w:r>
              <w:rPr>
                <w:color w:val="1C3A36"/>
                <w:sz w:val="15"/>
              </w:rPr>
              <w:t>Results presentation for the first quarter of 2026</w:t>
            </w:r>
          </w:p>
        </w:tc>
        <w:tc>
          <w:tcPr>
            <w:tcW w:type="dxa" w:w="1656"/>
          </w:tcPr>
          <w:p>
            <w:pPr>
              <w:spacing w:after="20"/>
              <w:jc w:val="right"/>
            </w:pPr>
            <w:r>
              <w:rPr>
                <w:color w:val="1C3A36"/>
                <w:sz w:val="15"/>
              </w:rPr>
              <w:t>The company, published with the Q1-2026 results</w:t>
            </w:r>
          </w:p>
        </w:tc>
        <w:tc>
          <w:tcPr>
            <w:tcW w:type="dxa" w:w="5544"/>
          </w:tcPr>
          <w:p>
            <w:pPr>
              <w:spacing w:after="20"/>
              <w:jc w:val="right"/>
            </w:pPr>
            <w:r>
              <w:rPr>
                <w:color w:val="1C3A36"/>
                <w:sz w:val="15"/>
              </w:rPr>
              <w:t>The 2026 targets as first stated — network additions, electric-vehicle points, capital expenditure and the dividend floor — and the first-quarter operating detail.</w:t>
            </w:r>
          </w:p>
        </w:tc>
      </w:tr>
      <w:tr>
        <w:trPr>
          <w:cantSplit/>
        </w:trPr>
        <w:tc>
          <w:tcPr>
            <w:tcW w:type="dxa" w:w="547"/>
          </w:tcPr>
          <w:p>
            <w:pPr>
              <w:spacing w:after="20"/>
            </w:pPr>
            <w:r>
              <w:rPr>
                <w:color w:val="1C3A36"/>
                <w:sz w:val="15"/>
              </w:rPr>
              <w:t>D11</w:t>
            </w:r>
          </w:p>
        </w:tc>
        <w:tc>
          <w:tcPr>
            <w:tcW w:type="dxa" w:w="2333"/>
          </w:tcPr>
          <w:p>
            <w:pPr>
              <w:spacing w:after="20"/>
              <w:jc w:val="right"/>
            </w:pPr>
            <w:r>
              <w:rPr>
                <w:color w:val="1C3A36"/>
                <w:sz w:val="15"/>
              </w:rPr>
              <w:t>Results presentation for the second quarter and first half of 2026</w:t>
            </w:r>
          </w:p>
        </w:tc>
        <w:tc>
          <w:tcPr>
            <w:tcW w:type="dxa" w:w="1656"/>
          </w:tcPr>
          <w:p>
            <w:pPr>
              <w:spacing w:after="20"/>
              <w:jc w:val="right"/>
            </w:pPr>
            <w:r>
              <w:rPr>
                <w:color w:val="1C3A36"/>
                <w:sz w:val="15"/>
              </w:rPr>
              <w:t>The company, published with the H1-2026 results</w:t>
            </w:r>
          </w:p>
        </w:tc>
        <w:tc>
          <w:tcPr>
            <w:tcW w:type="dxa" w:w="5544"/>
          </w:tcPr>
          <w:p>
            <w:pPr>
              <w:spacing w:after="20"/>
              <w:jc w:val="right"/>
            </w:pPr>
            <w:r>
              <w:rPr>
                <w:color w:val="1C3A36"/>
                <w:sz w:val="15"/>
              </w:rPr>
              <w:t>The reaffirmed 2026 targets, the per-segment operating detail for the half, and the transaction description and stated accretion for the proposed South African acquisition.</w:t>
            </w:r>
          </w:p>
        </w:tc>
      </w:tr>
      <w:tr>
        <w:trPr>
          <w:cantSplit/>
        </w:trPr>
        <w:tc>
          <w:tcPr>
            <w:tcW w:type="dxa" w:w="547"/>
          </w:tcPr>
          <w:p>
            <w:pPr>
              <w:spacing w:after="20"/>
            </w:pPr>
            <w:r>
              <w:rPr>
                <w:color w:val="1C3A36"/>
                <w:sz w:val="15"/>
              </w:rPr>
              <w:t>D12</w:t>
            </w:r>
          </w:p>
        </w:tc>
        <w:tc>
          <w:tcPr>
            <w:tcW w:type="dxa" w:w="2333"/>
          </w:tcPr>
          <w:p>
            <w:pPr>
              <w:spacing w:after="20"/>
              <w:jc w:val="right"/>
            </w:pPr>
            <w:r>
              <w:rPr>
                <w:color w:val="1C3A36"/>
                <w:sz w:val="15"/>
              </w:rPr>
              <w:t>Integrated annual report 2025</w:t>
            </w:r>
          </w:p>
        </w:tc>
        <w:tc>
          <w:tcPr>
            <w:tcW w:type="dxa" w:w="1656"/>
          </w:tcPr>
          <w:p>
            <w:pPr>
              <w:spacing w:after="20"/>
              <w:jc w:val="right"/>
            </w:pPr>
            <w:r>
              <w:rPr>
                <w:color w:val="1C3A36"/>
                <w:sz w:val="15"/>
              </w:rPr>
              <w:t>The company, for the year ended 31 December 2025</w:t>
            </w:r>
          </w:p>
        </w:tc>
        <w:tc>
          <w:tcPr>
            <w:tcW w:type="dxa" w:w="5544"/>
          </w:tcPr>
          <w:p>
            <w:pPr>
              <w:spacing w:after="20"/>
              <w:jc w:val="right"/>
            </w:pPr>
            <w:r>
              <w:rPr>
                <w:color w:val="1C3A36"/>
                <w:sz w:val="15"/>
              </w:rPr>
              <w:t>Strategy, network and transition detail: the medium-term network target, the electric-vehicle build-out, the convenience-store conversion series, the efficiency programme, and the environmental and workforce series. Also the second published version of underlying EBITDA, which differs from the management report and is reported in the final section.</w:t>
            </w:r>
          </w:p>
        </w:tc>
      </w:tr>
    </w:tbl>
    <w:p>
      <w:pPr>
        <w:spacing w:after="40"/>
      </w:pPr>
    </w:p>
    <w:p>
      <w:pPr>
        <w:spacing w:after="200" w:before="0"/>
      </w:pPr>
      <w:r>
        <w:rPr>
          <w:b w:val="0"/>
          <w:i/>
          <w:color w:val="6E7B77"/>
          <w:sz w:val="17"/>
        </w:rPr>
        <w:t>Table 1 — the official documents read, all of them obtained from the company's own investor-relations site. Three consecutive audited financial years were obtained, each with the auditor's report and the full notes, together with three reviewed interim filings, two management reports, three results presentations and the integrated annual report.</w:t>
      </w:r>
    </w:p>
    <w:p>
      <w:pPr>
        <w:spacing w:after="80" w:before="200"/>
      </w:pPr>
      <w:r>
        <w:rPr>
          <w:b/>
          <w:i w:val="0"/>
          <w:color w:val="1C3A36"/>
          <w:sz w:val="24"/>
        </w:rPr>
        <w:t>Attempts at an official source, and what happened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528"/>
        <w:gridCol w:w="792"/>
        <w:gridCol w:w="5760"/>
      </w:tblGrid>
      <w:tr>
        <w:trPr>
          <w:cantSplit/>
        </w:trPr>
        <w:tc>
          <w:tcPr>
            <w:tcW w:type="dxa" w:w="3528"/>
            <w:shd w:val="clear" w:color="auto" w:fill="EAF0EE"/>
          </w:tcPr>
          <w:p>
            <w:pPr>
              <w:spacing w:after="20"/>
            </w:pPr>
            <w:r>
              <w:rPr>
                <w:b/>
                <w:color w:val="1C3A36"/>
                <w:sz w:val="15"/>
              </w:rPr>
              <w:t>Source attempted</w:t>
            </w:r>
          </w:p>
        </w:tc>
        <w:tc>
          <w:tcPr>
            <w:tcW w:type="dxa" w:w="792"/>
            <w:shd w:val="clear" w:color="auto" w:fill="EAF0EE"/>
          </w:tcPr>
          <w:p>
            <w:pPr>
              <w:spacing w:after="20"/>
            </w:pPr>
            <w:r>
              <w:rPr>
                <w:b/>
                <w:color w:val="1C3A36"/>
                <w:sz w:val="15"/>
              </w:rPr>
              <w:t>Reached</w:t>
            </w:r>
          </w:p>
        </w:tc>
        <w:tc>
          <w:tcPr>
            <w:tcW w:type="dxa" w:w="5760"/>
            <w:shd w:val="clear" w:color="auto" w:fill="EAF0EE"/>
          </w:tcPr>
          <w:p>
            <w:pPr>
              <w:spacing w:after="20"/>
            </w:pPr>
            <w:r>
              <w:rPr>
                <w:b/>
                <w:color w:val="1C3A36"/>
                <w:sz w:val="15"/>
              </w:rPr>
              <w:t>Outcome</w:t>
            </w:r>
          </w:p>
        </w:tc>
      </w:tr>
      <w:tr>
        <w:trPr>
          <w:cantSplit/>
        </w:trPr>
        <w:tc>
          <w:tcPr>
            <w:tcW w:type="dxa" w:w="3528"/>
          </w:tcPr>
          <w:p>
            <w:pPr>
              <w:spacing w:after="20"/>
            </w:pPr>
            <w:r>
              <w:rPr>
                <w:color w:val="1C3A36"/>
                <w:sz w:val="15"/>
              </w:rPr>
              <w:t>adnocdistribution.ae  -&gt;  en  -&gt;  investor-relations</w:t>
            </w:r>
          </w:p>
        </w:tc>
        <w:tc>
          <w:tcPr>
            <w:tcW w:type="dxa" w:w="792"/>
          </w:tcPr>
          <w:p>
            <w:pPr>
              <w:spacing w:after="20"/>
              <w:jc w:val="right"/>
            </w:pPr>
            <w:r>
              <w:rPr>
                <w:color w:val="1C3A36"/>
                <w:sz w:val="15"/>
              </w:rPr>
              <w:t>yes</w:t>
            </w:r>
          </w:p>
        </w:tc>
        <w:tc>
          <w:tcPr>
            <w:tcW w:type="dxa" w:w="5760"/>
          </w:tcPr>
          <w:p>
            <w:pPr>
              <w:spacing w:after="20"/>
              <w:jc w:val="right"/>
            </w:pPr>
            <w:r>
              <w:rPr>
                <w:color w:val="1C3A36"/>
                <w:sz w:val="15"/>
              </w:rPr>
              <w:t>The company's own investor-relations site was reachable and returned all audited financial statements and interim filings directly — no aggregator or press source stands between this study and the subject's reported historicals.</w:t>
            </w:r>
          </w:p>
        </w:tc>
      </w:tr>
      <w:tr>
        <w:trPr>
          <w:cantSplit/>
        </w:trPr>
        <w:tc>
          <w:tcPr>
            <w:tcW w:type="dxa" w:w="3528"/>
          </w:tcPr>
          <w:p>
            <w:pPr>
              <w:spacing w:after="20"/>
            </w:pPr>
            <w:r>
              <w:rPr>
                <w:color w:val="1C3A36"/>
                <w:sz w:val="15"/>
              </w:rPr>
              <w:t>adnocdistribution.ae  -&gt;  en  -&gt;  investor-relations  -&gt;  …</w:t>
            </w:r>
          </w:p>
        </w:tc>
        <w:tc>
          <w:tcPr>
            <w:tcW w:type="dxa" w:w="792"/>
          </w:tcPr>
          <w:p>
            <w:pPr>
              <w:spacing w:after="20"/>
              <w:jc w:val="right"/>
            </w:pPr>
            <w:r>
              <w:rPr>
                <w:color w:val="1C3A36"/>
                <w:sz w:val="15"/>
              </w:rPr>
              <w:t>yes</w:t>
            </w:r>
          </w:p>
        </w:tc>
        <w:tc>
          <w:tcPr>
            <w:tcW w:type="dxa" w:w="5760"/>
          </w:tcPr>
          <w:p>
            <w:pPr>
              <w:spacing w:after="20"/>
              <w:jc w:val="right"/>
            </w:pPr>
            <w:r>
              <w:rPr>
                <w:color w:val="1C3A36"/>
                <w:sz w:val="15"/>
              </w:rPr>
              <w:t>The downloads page listed every filing by year and was the route to the FY2023, FY2024 and FY2025 audited consolidated financial statements and to both 2026 reviewed interim statements, together with the management discussion reports, the results presentations and the 2025 integrated report.</w:t>
            </w:r>
          </w:p>
        </w:tc>
      </w:tr>
      <w:tr>
        <w:trPr>
          <w:cantSplit/>
        </w:trPr>
        <w:tc>
          <w:tcPr>
            <w:tcW w:type="dxa" w:w="3528"/>
          </w:tcPr>
          <w:p>
            <w:pPr>
              <w:spacing w:after="20"/>
            </w:pPr>
            <w:r>
              <w:rPr>
                <w:color w:val="1C3A36"/>
                <w:sz w:val="15"/>
              </w:rPr>
              <w:t>centralbank.ae  -&gt;  en  -&gt;  forex-eibor  -&gt;  …</w:t>
            </w:r>
          </w:p>
        </w:tc>
        <w:tc>
          <w:tcPr>
            <w:tcW w:type="dxa" w:w="792"/>
          </w:tcPr>
          <w:p>
            <w:pPr>
              <w:spacing w:after="20"/>
              <w:jc w:val="right"/>
            </w:pPr>
            <w:r>
              <w:rPr>
                <w:color w:val="1C3A36"/>
                <w:sz w:val="15"/>
              </w:rPr>
              <w:t>NO</w:t>
            </w:r>
          </w:p>
        </w:tc>
        <w:tc>
          <w:tcPr>
            <w:tcW w:type="dxa" w:w="5760"/>
          </w:tcPr>
          <w:p>
            <w:pPr>
              <w:spacing w:after="20"/>
              <w:jc w:val="right"/>
            </w:pPr>
            <w:r>
              <w:rPr>
                <w:color w:val="1C3A36"/>
                <w:sz w:val="15"/>
              </w:rPr>
              <w:t>NOT REACHABLE: the Central Bank of the UAE's EIBOR page returned HTTP 403 to automated access. This study's own egress proxy was checked and reported healthy with no relay failures, so this is the site's own bot protection rather than a network fault on our side. CONSEQUENCE: the marginal cost of debt was built from the sovereign bond yield plus the company's OWN disclosed credit margin (borrowings note: EIBOR + 0.60% on the dirham tranche) instead of from a live interbank rate. The construction is disclosed as such and sensitised, not presented as observed.</w:t>
            </w:r>
          </w:p>
        </w:tc>
      </w:tr>
      <w:tr>
        <w:trPr>
          <w:cantSplit/>
        </w:trPr>
        <w:tc>
          <w:tcPr>
            <w:tcW w:type="dxa" w:w="3528"/>
          </w:tcPr>
          <w:p>
            <w:pPr>
              <w:spacing w:after="20"/>
            </w:pPr>
            <w:r>
              <w:rPr>
                <w:color w:val="1C3A36"/>
                <w:sz w:val="15"/>
              </w:rPr>
              <w:t>pages.stern.nyu.edu  -&gt;  ~adamodar  -&gt;  New_Home_Page  -&gt;  …</w:t>
            </w:r>
          </w:p>
        </w:tc>
        <w:tc>
          <w:tcPr>
            <w:tcW w:type="dxa" w:w="792"/>
          </w:tcPr>
          <w:p>
            <w:pPr>
              <w:spacing w:after="20"/>
              <w:jc w:val="right"/>
            </w:pPr>
            <w:r>
              <w:rPr>
                <w:color w:val="1C3A36"/>
                <w:sz w:val="15"/>
              </w:rPr>
              <w:t>yes</w:t>
            </w:r>
          </w:p>
        </w:tc>
        <w:tc>
          <w:tcPr>
            <w:tcW w:type="dxa" w:w="5760"/>
          </w:tcPr>
          <w:p>
            <w:pPr>
              <w:spacing w:after="20"/>
              <w:jc w:val="right"/>
            </w:pPr>
            <w:r>
              <w:rPr>
                <w:color w:val="1C3A36"/>
                <w:sz w:val="15"/>
              </w:rPr>
              <w:t>The original country default spreads and risk premiums file was reachable and the January 2026 vintage United Arab Emirates row was read from it directly — not from a summary, a repost or a third-party table.</w:t>
            </w:r>
          </w:p>
        </w:tc>
      </w:tr>
    </w:tbl>
    <w:p>
      <w:pPr>
        <w:spacing w:after="40"/>
      </w:pPr>
    </w:p>
    <w:p>
      <w:pPr>
        <w:spacing w:after="200" w:before="0"/>
      </w:pPr>
      <w:r>
        <w:rPr>
          <w:b w:val="0"/>
          <w:i/>
          <w:color w:val="6E7B77"/>
          <w:sz w:val="17"/>
        </w:rPr>
        <w:t>Table 2 — every attempt at an official source, logged whether it succeeded or failed. A failure is reported here rather than quietly replaced by a weaker source.</w:t>
      </w:r>
    </w:p>
    <w:p>
      <w:pPr>
        <w:spacing w:after="80" w:before="200"/>
      </w:pPr>
      <w:r>
        <w:rPr>
          <w:b/>
          <w:i w:val="0"/>
          <w:color w:val="1C3A36"/>
          <w:sz w:val="24"/>
        </w:rPr>
        <w:t>Other sources consulted, none of them a source of the company's own reported figures</w:t>
      </w:r>
    </w:p>
    <w:p>
      <w:pPr>
        <w:spacing w:after="120" w:before="0"/>
      </w:pPr>
      <w:r>
        <w:rPr>
          <w:b w:val="0"/>
          <w:i w:val="0"/>
          <w:color w:val="1C3A36"/>
          <w:sz w:val="21"/>
        </w:rPr>
        <w:t>The company's own documents cannot supply a crude price, a government bond yield, a tax rate or a peer multiple. Those come from outside, and every outside source consulted is listed below with the date it was read and what it was used for. The share-price history itself is a separate input: 2,162 daily records for the listing, spanning 8.6 years to the close of 7 August 2026, screened for the exchange's own daily price limit so that any move larger than one session can physically produce is treated as a corporate action or a data error rather than a return. That series carries the share price, the beta regression, the technical read and the probability map.</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05"/>
        <w:gridCol w:w="2160"/>
        <w:gridCol w:w="3067"/>
        <w:gridCol w:w="4248"/>
      </w:tblGrid>
      <w:tr>
        <w:trPr>
          <w:cantSplit/>
        </w:trPr>
        <w:tc>
          <w:tcPr>
            <w:tcW w:type="dxa" w:w="605"/>
            <w:shd w:val="clear" w:color="auto" w:fill="EAF0EE"/>
          </w:tcPr>
          <w:p>
            <w:pPr>
              <w:spacing w:after="20"/>
            </w:pPr>
            <w:r>
              <w:rPr>
                <w:b/>
                <w:color w:val="1C3A36"/>
                <w:sz w:val="14"/>
              </w:rPr>
              <w:t>Ref</w:t>
            </w:r>
          </w:p>
        </w:tc>
        <w:tc>
          <w:tcPr>
            <w:tcW w:type="dxa" w:w="2160"/>
            <w:shd w:val="clear" w:color="auto" w:fill="EAF0EE"/>
          </w:tcPr>
          <w:p>
            <w:pPr>
              <w:spacing w:after="20"/>
            </w:pPr>
            <w:r>
              <w:rPr>
                <w:b/>
                <w:color w:val="1C3A36"/>
                <w:sz w:val="14"/>
              </w:rPr>
              <w:t>Subject</w:t>
            </w:r>
          </w:p>
        </w:tc>
        <w:tc>
          <w:tcPr>
            <w:tcW w:type="dxa" w:w="3067"/>
            <w:shd w:val="clear" w:color="auto" w:fill="EAF0EE"/>
          </w:tcPr>
          <w:p>
            <w:pPr>
              <w:spacing w:after="20"/>
            </w:pPr>
            <w:r>
              <w:rPr>
                <w:b/>
                <w:color w:val="1C3A36"/>
                <w:sz w:val="14"/>
              </w:rPr>
              <w:t>Source, and when it was read</w:t>
            </w:r>
          </w:p>
        </w:tc>
        <w:tc>
          <w:tcPr>
            <w:tcW w:type="dxa" w:w="4248"/>
            <w:shd w:val="clear" w:color="auto" w:fill="EAF0EE"/>
          </w:tcPr>
          <w:p>
            <w:pPr>
              <w:spacing w:after="20"/>
            </w:pPr>
            <w:r>
              <w:rPr>
                <w:b/>
                <w:color w:val="1C3A36"/>
                <w:sz w:val="14"/>
              </w:rPr>
              <w:t>How it was used</w:t>
            </w:r>
          </w:p>
        </w:tc>
      </w:tr>
      <w:tr>
        <w:trPr>
          <w:cantSplit/>
        </w:trPr>
        <w:tc>
          <w:tcPr>
            <w:tcW w:type="dxa" w:w="605"/>
          </w:tcPr>
          <w:p>
            <w:pPr>
              <w:spacing w:after="20"/>
            </w:pPr>
            <w:r>
              <w:rPr>
                <w:color w:val="1C3A36"/>
                <w:sz w:val="14"/>
              </w:rPr>
              <w:t>G-01</w:t>
            </w:r>
          </w:p>
        </w:tc>
        <w:tc>
          <w:tcPr>
            <w:tcW w:type="dxa" w:w="2160"/>
          </w:tcPr>
          <w:p>
            <w:pPr>
              <w:spacing w:after="20"/>
              <w:jc w:val="right"/>
            </w:pPr>
            <w:r>
              <w:rPr>
                <w:color w:val="1C3A36"/>
                <w:sz w:val="14"/>
              </w:rPr>
              <w:t>Brent crude spot price</w:t>
            </w:r>
          </w:p>
        </w:tc>
        <w:tc>
          <w:tcPr>
            <w:tcW w:type="dxa" w:w="3067"/>
          </w:tcPr>
          <w:p>
            <w:pPr>
              <w:spacing w:after="20"/>
              <w:jc w:val="right"/>
            </w:pPr>
            <w:r>
              <w:rPr>
                <w:color w:val="1C3A36"/>
                <w:sz w:val="14"/>
              </w:rPr>
              <w:t>Trading Economics — Brent Crude Oil</w:t>
              <w:br/>
              <w:t>tradingeconomics.com  -&gt;  commodity  -&gt;  brent-crude-oil</w:t>
              <w:br/>
              <w:t>read 9 Aug 2026; as at 7 Aug 2026</w:t>
            </w:r>
          </w:p>
        </w:tc>
        <w:tc>
          <w:tcPr>
            <w:tcW w:type="dxa" w:w="4248"/>
          </w:tcPr>
          <w:p>
            <w:pPr>
              <w:spacing w:after="20"/>
              <w:jc w:val="right"/>
            </w:pPr>
            <w:r>
              <w:rPr>
                <w:color w:val="1C3A36"/>
                <w:sz w:val="14"/>
              </w:rPr>
              <w:t>Supplies a build-level driver. Anchors the crude input to the UAE monthly retail fuel price formula and therefore the revenue-per-litre driver. Sets the base of the 2026-2030 price path.</w:t>
            </w:r>
          </w:p>
        </w:tc>
      </w:tr>
      <w:tr>
        <w:trPr>
          <w:cantSplit/>
        </w:trPr>
        <w:tc>
          <w:tcPr>
            <w:tcW w:type="dxa" w:w="605"/>
          </w:tcPr>
          <w:p>
            <w:pPr>
              <w:spacing w:after="20"/>
            </w:pPr>
            <w:r>
              <w:rPr>
                <w:color w:val="1C3A36"/>
                <w:sz w:val="14"/>
              </w:rPr>
              <w:t>G-02</w:t>
            </w:r>
          </w:p>
        </w:tc>
        <w:tc>
          <w:tcPr>
            <w:tcW w:type="dxa" w:w="2160"/>
          </w:tcPr>
          <w:p>
            <w:pPr>
              <w:spacing w:after="20"/>
              <w:jc w:val="right"/>
            </w:pPr>
            <w:r>
              <w:rPr>
                <w:color w:val="1C3A36"/>
                <w:sz w:val="14"/>
              </w:rPr>
              <w:t>WTI crude spot price</w:t>
            </w:r>
          </w:p>
        </w:tc>
        <w:tc>
          <w:tcPr>
            <w:tcW w:type="dxa" w:w="3067"/>
          </w:tcPr>
          <w:p>
            <w:pPr>
              <w:spacing w:after="20"/>
              <w:jc w:val="right"/>
            </w:pPr>
            <w:r>
              <w:rPr>
                <w:color w:val="1C3A36"/>
                <w:sz w:val="14"/>
              </w:rPr>
              <w:t>Forbes Advisor — Crude Oil Price Today (via search); Trading Economics</w:t>
              <w:br/>
              <w:t>forbes.com  -&gt;  advisor  -&gt;  investing  -&gt;  …</w:t>
              <w:br/>
              <w:t>read 9 Aug 2026; as at 7 Aug 2026</w:t>
            </w:r>
          </w:p>
        </w:tc>
        <w:tc>
          <w:tcPr>
            <w:tcW w:type="dxa" w:w="4248"/>
          </w:tcPr>
          <w:p>
            <w:pPr>
              <w:spacing w:after="20"/>
              <w:jc w:val="right"/>
            </w:pPr>
            <w:r>
              <w:rPr>
                <w:color w:val="1C3A36"/>
                <w:sz w:val="14"/>
              </w:rPr>
              <w:t>Sets or tests a forward driver. Cross-check on the crude benchmark; the WTI-Brent spread inverted for the first time since 2009 in April 2026, a signal of Middle East supply disruption rather than US-centric dynamics.</w:t>
            </w:r>
          </w:p>
        </w:tc>
      </w:tr>
      <w:tr>
        <w:trPr>
          <w:cantSplit/>
        </w:trPr>
        <w:tc>
          <w:tcPr>
            <w:tcW w:type="dxa" w:w="605"/>
          </w:tcPr>
          <w:p>
            <w:pPr>
              <w:spacing w:after="20"/>
            </w:pPr>
            <w:r>
              <w:rPr>
                <w:color w:val="1C3A36"/>
                <w:sz w:val="14"/>
              </w:rPr>
              <w:t>G-03</w:t>
            </w:r>
          </w:p>
        </w:tc>
        <w:tc>
          <w:tcPr>
            <w:tcW w:type="dxa" w:w="2160"/>
          </w:tcPr>
          <w:p>
            <w:pPr>
              <w:spacing w:after="20"/>
              <w:jc w:val="right"/>
            </w:pPr>
            <w:r>
              <w:rPr>
                <w:color w:val="1C3A36"/>
                <w:sz w:val="14"/>
              </w:rPr>
              <w:t>2026 YTD crude oil price path — the Strait of Hormuz shock</w:t>
            </w:r>
          </w:p>
        </w:tc>
        <w:tc>
          <w:tcPr>
            <w:tcW w:type="dxa" w:w="3067"/>
          </w:tcPr>
          <w:p>
            <w:pPr>
              <w:spacing w:after="20"/>
              <w:jc w:val="right"/>
            </w:pPr>
            <w:r>
              <w:rPr>
                <w:color w:val="1C3A36"/>
                <w:sz w:val="14"/>
              </w:rPr>
              <w:t>Wikipedia — 2026-2028 world oil market chronology</w:t>
              <w:br/>
              <w:t>en.wikipedia.org  -&gt;  wiki  -&gt;  2026%E2%80%932028_world_…</w:t>
              <w:br/>
              <w:t>read 9 Aug 2026; as at 8 Aug 2026</w:t>
            </w:r>
          </w:p>
        </w:tc>
        <w:tc>
          <w:tcPr>
            <w:tcW w:type="dxa" w:w="4248"/>
          </w:tcPr>
          <w:p>
            <w:pPr>
              <w:spacing w:after="20"/>
              <w:jc w:val="right"/>
            </w:pPr>
            <w:r>
              <w:rPr>
                <w:color w:val="1C3A36"/>
                <w:sz w:val="14"/>
              </w:rPr>
              <w:t>Context and cross-check only. CRITICAL context. The 2026 crude path is not a normal cycle — it is a geopolitical shock centred on the Strait of Hormuz, through which the UAE's own exports transit.</w:t>
            </w:r>
          </w:p>
        </w:tc>
      </w:tr>
      <w:tr>
        <w:trPr>
          <w:cantSplit/>
        </w:trPr>
        <w:tc>
          <w:tcPr>
            <w:tcW w:type="dxa" w:w="605"/>
          </w:tcPr>
          <w:p>
            <w:pPr>
              <w:spacing w:after="20"/>
            </w:pPr>
            <w:r>
              <w:rPr>
                <w:color w:val="1C3A36"/>
                <w:sz w:val="14"/>
              </w:rPr>
              <w:t>G-04</w:t>
            </w:r>
          </w:p>
        </w:tc>
        <w:tc>
          <w:tcPr>
            <w:tcW w:type="dxa" w:w="2160"/>
          </w:tcPr>
          <w:p>
            <w:pPr>
              <w:spacing w:after="20"/>
              <w:jc w:val="right"/>
            </w:pPr>
            <w:r>
              <w:rPr>
                <w:color w:val="1C3A36"/>
                <w:sz w:val="14"/>
              </w:rPr>
              <w:t>EIA Short-Term Energy Outlook — Brent forecast 2026-2027</w:t>
            </w:r>
          </w:p>
        </w:tc>
        <w:tc>
          <w:tcPr>
            <w:tcW w:type="dxa" w:w="3067"/>
          </w:tcPr>
          <w:p>
            <w:pPr>
              <w:spacing w:after="20"/>
              <w:jc w:val="right"/>
            </w:pPr>
            <w:r>
              <w:rPr>
                <w:color w:val="1C3A36"/>
                <w:sz w:val="14"/>
              </w:rPr>
              <w:t>US EIA July 2026 Short-Term Energy Outlook (via Oil &amp; Gas Journal and EIA pressroom)</w:t>
              <w:br/>
              <w:t>eia.gov  -&gt;  outlooks  -&gt;  steo  -&gt;  …</w:t>
              <w:br/>
              <w:t>read 9 Aug 2026; as at 7 Jul 2026</w:t>
            </w:r>
          </w:p>
        </w:tc>
        <w:tc>
          <w:tcPr>
            <w:tcW w:type="dxa" w:w="4248"/>
          </w:tcPr>
          <w:p>
            <w:pPr>
              <w:spacing w:after="20"/>
              <w:jc w:val="right"/>
            </w:pPr>
            <w:r>
              <w:rPr>
                <w:color w:val="1C3A36"/>
                <w:sz w:val="14"/>
              </w:rPr>
              <w:t>Supplies a build-level driver. The official forecast is for a sharp mean-reversion in crude — Brent USD 70 by 4Q26 and USD 65 in 2027 versus USD 83.55 spot. If that path realises, UAE retail fuel prices fall materially from the August 2026 level, revenue per litre compresses, AND the ADNOC backstop mechanism (see CO-09) is triggered on retail inventory.</w:t>
            </w:r>
          </w:p>
        </w:tc>
      </w:tr>
      <w:tr>
        <w:trPr>
          <w:cantSplit/>
        </w:trPr>
        <w:tc>
          <w:tcPr>
            <w:tcW w:type="dxa" w:w="605"/>
          </w:tcPr>
          <w:p>
            <w:pPr>
              <w:spacing w:after="20"/>
            </w:pPr>
            <w:r>
              <w:rPr>
                <w:color w:val="1C3A36"/>
                <w:sz w:val="14"/>
              </w:rPr>
              <w:t>G-05</w:t>
            </w:r>
          </w:p>
        </w:tc>
        <w:tc>
          <w:tcPr>
            <w:tcW w:type="dxa" w:w="2160"/>
          </w:tcPr>
          <w:p>
            <w:pPr>
              <w:spacing w:after="20"/>
              <w:jc w:val="right"/>
            </w:pPr>
            <w:r>
              <w:rPr>
                <w:color w:val="1C3A36"/>
                <w:sz w:val="14"/>
              </w:rPr>
              <w:t>Global refined-product cracks / refining margins 2025-2026</w:t>
            </w:r>
          </w:p>
        </w:tc>
        <w:tc>
          <w:tcPr>
            <w:tcW w:type="dxa" w:w="3067"/>
          </w:tcPr>
          <w:p>
            <w:pPr>
              <w:spacing w:after="20"/>
              <w:jc w:val="right"/>
            </w:pPr>
            <w:r>
              <w:rPr>
                <w:color w:val="1C3A36"/>
                <w:sz w:val="14"/>
              </w:rPr>
              <w:t>Forbes — Refining Stocks Soar As Crack Spread Hits Record High In 2026; Kpler; IndexBox</w:t>
              <w:br/>
              <w:t>forbes.com  -&gt;  sites  -&gt;  garthfriesen  -&gt;  …</w:t>
              <w:br/>
              <w:t>read 9 Aug 2026; as at 23 Jul 2026</w:t>
            </w:r>
          </w:p>
        </w:tc>
        <w:tc>
          <w:tcPr>
            <w:tcW w:type="dxa" w:w="4248"/>
          </w:tcPr>
          <w:p>
            <w:pPr>
              <w:spacing w:after="20"/>
              <w:jc w:val="right"/>
            </w:pPr>
            <w:r>
              <w:rPr>
                <w:color w:val="1C3A36"/>
                <w:sz w:val="14"/>
              </w:rPr>
              <w:t>Sets or tests a forward driver. Record cracks are a refiner story, not directly a fuel-retailer story: ADNOC Distribution buys product from ADNOC under a supply agreement, so high cracks raise its input cost. However the UAE monthly pricing formula explicitly incorporates international refining margins, so record cracks flow into the retail price and hence into revenue ...</w:t>
            </w:r>
          </w:p>
        </w:tc>
      </w:tr>
      <w:tr>
        <w:trPr>
          <w:cantSplit/>
        </w:trPr>
        <w:tc>
          <w:tcPr>
            <w:tcW w:type="dxa" w:w="605"/>
          </w:tcPr>
          <w:p>
            <w:pPr>
              <w:spacing w:after="20"/>
            </w:pPr>
            <w:r>
              <w:rPr>
                <w:color w:val="1C3A36"/>
                <w:sz w:val="14"/>
              </w:rPr>
              <w:t>G-06</w:t>
            </w:r>
          </w:p>
        </w:tc>
        <w:tc>
          <w:tcPr>
            <w:tcW w:type="dxa" w:w="2160"/>
          </w:tcPr>
          <w:p>
            <w:pPr>
              <w:spacing w:after="20"/>
              <w:jc w:val="right"/>
            </w:pPr>
            <w:r>
              <w:rPr>
                <w:color w:val="1C3A36"/>
                <w:sz w:val="14"/>
              </w:rPr>
              <w:t>Global EV penetration trajectory</w:t>
            </w:r>
          </w:p>
        </w:tc>
        <w:tc>
          <w:tcPr>
            <w:tcW w:type="dxa" w:w="3067"/>
          </w:tcPr>
          <w:p>
            <w:pPr>
              <w:spacing w:after="20"/>
              <w:jc w:val="right"/>
            </w:pPr>
            <w:r>
              <w:rPr>
                <w:color w:val="1C3A36"/>
                <w:sz w:val="14"/>
              </w:rPr>
              <w:t>IEA Global EV Outlook 2026</w:t>
              <w:br/>
              <w:t>iea.org  -&gt;  reports  -&gt;  global-ev-outlook-2026  -&gt;  …</w:t>
              <w:br/>
              <w:t>read 9 Aug 2026; as at 1 May 2026</w:t>
            </w:r>
          </w:p>
        </w:tc>
        <w:tc>
          <w:tcPr>
            <w:tcW w:type="dxa" w:w="4248"/>
          </w:tcPr>
          <w:p>
            <w:pPr>
              <w:spacing w:after="20"/>
              <w:jc w:val="right"/>
            </w:pPr>
            <w:r>
              <w:rPr>
                <w:color w:val="1C3A36"/>
                <w:sz w:val="14"/>
              </w:rPr>
              <w:t>Supplies a build-level driver. The global terminal-value driver for fuel retail. Sets the outer bound on long-run fuel volume growth and is the primary justification for a conservative terminal growth rate and for weighting the non-fuel/convenience leg.</w:t>
            </w:r>
          </w:p>
        </w:tc>
      </w:tr>
      <w:tr>
        <w:trPr>
          <w:cantSplit/>
        </w:trPr>
        <w:tc>
          <w:tcPr>
            <w:tcW w:type="dxa" w:w="605"/>
          </w:tcPr>
          <w:p>
            <w:pPr>
              <w:spacing w:after="20"/>
            </w:pPr>
            <w:r>
              <w:rPr>
                <w:color w:val="1C3A36"/>
                <w:sz w:val="14"/>
              </w:rPr>
              <w:t>G-07</w:t>
            </w:r>
          </w:p>
        </w:tc>
        <w:tc>
          <w:tcPr>
            <w:tcW w:type="dxa" w:w="2160"/>
          </w:tcPr>
          <w:p>
            <w:pPr>
              <w:spacing w:after="20"/>
              <w:jc w:val="right"/>
            </w:pPr>
            <w:r>
              <w:rPr>
                <w:color w:val="1C3A36"/>
                <w:sz w:val="14"/>
              </w:rPr>
              <w:t>Non-fuel income share at global fuel-retail peers</w:t>
            </w:r>
          </w:p>
        </w:tc>
        <w:tc>
          <w:tcPr>
            <w:tcW w:type="dxa" w:w="3067"/>
          </w:tcPr>
          <w:p>
            <w:pPr>
              <w:spacing w:after="20"/>
              <w:jc w:val="right"/>
            </w:pPr>
            <w:r>
              <w:rPr>
                <w:color w:val="1C3A36"/>
                <w:sz w:val="14"/>
              </w:rPr>
              <w:t>Raymond James Convenience Store Insight; Couche-Tard corporate releases; Casey's FY2025 SEC-filed release</w:t>
              <w:br/>
              <w:t>raymondjames.com  -&gt;  -  -&gt;  media  -&gt;  …</w:t>
              <w:br/>
              <w:t>read 9 Aug 2026; as at 11 Feb 2026</w:t>
            </w:r>
          </w:p>
        </w:tc>
        <w:tc>
          <w:tcPr>
            <w:tcW w:type="dxa" w:w="4248"/>
          </w:tcPr>
          <w:p>
            <w:pPr>
              <w:spacing w:after="20"/>
              <w:jc w:val="right"/>
            </w:pPr>
            <w:r>
              <w:rPr>
                <w:color w:val="1C3A36"/>
                <w:sz w:val="14"/>
              </w:rPr>
              <w:t>Supplies a build-level driver. The structural benchmark against which ADNOC Distribution's non-fuel leg must be judged. ADNOC Distribution's non-fuel gross profit was USD 140m in H1-2026 versus H1 total EBITDA of USD 786m — far below the 70-78% peer benchmark, i.e.</w:t>
            </w:r>
          </w:p>
        </w:tc>
      </w:tr>
      <w:tr>
        <w:trPr>
          <w:cantSplit/>
        </w:trPr>
        <w:tc>
          <w:tcPr>
            <w:tcW w:type="dxa" w:w="605"/>
          </w:tcPr>
          <w:p>
            <w:pPr>
              <w:spacing w:after="20"/>
            </w:pPr>
            <w:r>
              <w:rPr>
                <w:color w:val="1C3A36"/>
                <w:sz w:val="14"/>
              </w:rPr>
              <w:t>G-08</w:t>
            </w:r>
          </w:p>
        </w:tc>
        <w:tc>
          <w:tcPr>
            <w:tcW w:type="dxa" w:w="2160"/>
          </w:tcPr>
          <w:p>
            <w:pPr>
              <w:spacing w:after="20"/>
              <w:jc w:val="right"/>
            </w:pPr>
            <w:r>
              <w:rPr>
                <w:color w:val="1C3A36"/>
                <w:sz w:val="14"/>
              </w:rPr>
              <w:t>US Federal Reserve policy rate — drives UAE rates via the AED/USD peg</w:t>
            </w:r>
          </w:p>
        </w:tc>
        <w:tc>
          <w:tcPr>
            <w:tcW w:type="dxa" w:w="3067"/>
          </w:tcPr>
          <w:p>
            <w:pPr>
              <w:spacing w:after="20"/>
              <w:jc w:val="right"/>
            </w:pPr>
            <w:r>
              <w:rPr>
                <w:color w:val="1C3A36"/>
                <w:sz w:val="14"/>
              </w:rPr>
              <w:t>Federal Reserve Board — FOMC statement, 29 July 2026</w:t>
              <w:br/>
              <w:t>federalreserve.gov  -&gt;  newsevents  -&gt;  pressreleases  -&gt;  …</w:t>
              <w:br/>
              <w:t>read 9 Aug 2026; as at 29 Jul 2026</w:t>
            </w:r>
          </w:p>
        </w:tc>
        <w:tc>
          <w:tcPr>
            <w:tcW w:type="dxa" w:w="4248"/>
          </w:tcPr>
          <w:p>
            <w:pPr>
              <w:spacing w:after="20"/>
              <w:jc w:val="right"/>
            </w:pPr>
            <w:r>
              <w:rPr>
                <w:color w:val="1C3A36"/>
                <w:sz w:val="14"/>
              </w:rPr>
              <w:t>Supplies a build-level driver. The AED is pegged to the USD, so the Fed sets the floor for UAE money-market rates and hence the CBUAE Base Rate (C-05) and ADNOC Distribution's floating-rate debt cost. Note the hawkish direction of travel: three dissents for a HIKE, and markets pricing a 25bp increase in September 2026 (see G-09).</w:t>
            </w:r>
          </w:p>
        </w:tc>
      </w:tr>
      <w:tr>
        <w:trPr>
          <w:cantSplit/>
        </w:trPr>
        <w:tc>
          <w:tcPr>
            <w:tcW w:type="dxa" w:w="605"/>
          </w:tcPr>
          <w:p>
            <w:pPr>
              <w:spacing w:after="20"/>
            </w:pPr>
            <w:r>
              <w:rPr>
                <w:color w:val="1C3A36"/>
                <w:sz w:val="14"/>
              </w:rPr>
              <w:t>G-09</w:t>
            </w:r>
          </w:p>
        </w:tc>
        <w:tc>
          <w:tcPr>
            <w:tcW w:type="dxa" w:w="2160"/>
          </w:tcPr>
          <w:p>
            <w:pPr>
              <w:spacing w:after="20"/>
              <w:jc w:val="right"/>
            </w:pPr>
            <w:r>
              <w:rPr>
                <w:color w:val="1C3A36"/>
                <w:sz w:val="14"/>
              </w:rPr>
              <w:t>US 10-year Treasury yield</w:t>
            </w:r>
          </w:p>
        </w:tc>
        <w:tc>
          <w:tcPr>
            <w:tcW w:type="dxa" w:w="3067"/>
          </w:tcPr>
          <w:p>
            <w:pPr>
              <w:spacing w:after="20"/>
              <w:jc w:val="right"/>
            </w:pPr>
            <w:r>
              <w:rPr>
                <w:color w:val="1C3A36"/>
                <w:sz w:val="14"/>
              </w:rPr>
              <w:t>Trading Economics — US 10 Year Treasury Note Yield</w:t>
              <w:br/>
              <w:t>tradingeconomics.com  -&gt;  united-states  -&gt;  government-bond-yield</w:t>
              <w:br/>
              <w:t>read 9 Aug 2026; as at 8 Aug 2026</w:t>
            </w:r>
          </w:p>
        </w:tc>
        <w:tc>
          <w:tcPr>
            <w:tcW w:type="dxa" w:w="4248"/>
          </w:tcPr>
          <w:p>
            <w:pPr>
              <w:spacing w:after="20"/>
              <w:jc w:val="right"/>
            </w:pPr>
            <w:r>
              <w:rPr>
                <w:color w:val="1C3A36"/>
                <w:sz w:val="14"/>
              </w:rPr>
              <w:t>Context and cross-check only. Because AED is pegged and UAE federal paper prices at a few basis points over comparable USTs (see C-06), the UST curve is the effective backbone of the AED risk-free rate. A UAE/Abu Dhabi 10Y USD point marked off today's UST 10Y at the Feb-2026 issue spread of +25bp implies ~4.90-4.93%.</w:t>
            </w:r>
          </w:p>
        </w:tc>
      </w:tr>
      <w:tr>
        <w:trPr>
          <w:cantSplit/>
        </w:trPr>
        <w:tc>
          <w:tcPr>
            <w:tcW w:type="dxa" w:w="605"/>
          </w:tcPr>
          <w:p>
            <w:pPr>
              <w:spacing w:after="20"/>
            </w:pPr>
            <w:r>
              <w:rPr>
                <w:color w:val="1C3A36"/>
                <w:sz w:val="14"/>
              </w:rPr>
              <w:t>C-01</w:t>
            </w:r>
          </w:p>
        </w:tc>
        <w:tc>
          <w:tcPr>
            <w:tcW w:type="dxa" w:w="2160"/>
          </w:tcPr>
          <w:p>
            <w:pPr>
              <w:spacing w:after="20"/>
              <w:jc w:val="right"/>
            </w:pPr>
            <w:r>
              <w:rPr>
                <w:color w:val="1C3A36"/>
                <w:sz w:val="14"/>
              </w:rPr>
              <w:t>UAE real GDP growth 2025 actual</w:t>
            </w:r>
          </w:p>
        </w:tc>
        <w:tc>
          <w:tcPr>
            <w:tcW w:type="dxa" w:w="3067"/>
          </w:tcPr>
          <w:p>
            <w:pPr>
              <w:spacing w:after="20"/>
              <w:jc w:val="right"/>
            </w:pPr>
            <w:r>
              <w:rPr>
                <w:color w:val="1C3A36"/>
                <w:sz w:val="14"/>
              </w:rPr>
              <w:t>IMF — 2025 Article IV Consultation, United Arab Emirates (Staff Report and press release)</w:t>
              <w:br/>
              <w:t>imf.org  -&gt;  en  -&gt;  news  -&gt;  …</w:t>
              <w:br/>
              <w:t>read 9 Aug 2026; as at 2 Oct 2025</w:t>
            </w:r>
          </w:p>
        </w:tc>
        <w:tc>
          <w:tcPr>
            <w:tcW w:type="dxa" w:w="4248"/>
          </w:tcPr>
          <w:p>
            <w:pPr>
              <w:spacing w:after="20"/>
              <w:jc w:val="right"/>
            </w:pPr>
            <w:r>
              <w:rPr>
                <w:color w:val="1C3A36"/>
                <w:sz w:val="14"/>
              </w:rPr>
              <w:t>Sets or tests a forward driver. Macro backdrop for UAE fuel-volume growth. Note the spread across official sources (4.8% IMF vs 5.6% World Bank) — do not present a single point without naming the source.</w:t>
            </w:r>
          </w:p>
        </w:tc>
      </w:tr>
      <w:tr>
        <w:trPr>
          <w:cantSplit/>
        </w:trPr>
        <w:tc>
          <w:tcPr>
            <w:tcW w:type="dxa" w:w="605"/>
          </w:tcPr>
          <w:p>
            <w:pPr>
              <w:spacing w:after="20"/>
            </w:pPr>
            <w:r>
              <w:rPr>
                <w:color w:val="1C3A36"/>
                <w:sz w:val="14"/>
              </w:rPr>
              <w:t>C-02</w:t>
            </w:r>
          </w:p>
        </w:tc>
        <w:tc>
          <w:tcPr>
            <w:tcW w:type="dxa" w:w="2160"/>
          </w:tcPr>
          <w:p>
            <w:pPr>
              <w:spacing w:after="20"/>
              <w:jc w:val="right"/>
            </w:pPr>
            <w:r>
              <w:rPr>
                <w:color w:val="1C3A36"/>
                <w:sz w:val="14"/>
              </w:rPr>
              <w:t>UAE real GDP growth 2026-2027 forecast, non-oil specifically</w:t>
            </w:r>
          </w:p>
        </w:tc>
        <w:tc>
          <w:tcPr>
            <w:tcW w:type="dxa" w:w="3067"/>
          </w:tcPr>
          <w:p>
            <w:pPr>
              <w:spacing w:after="20"/>
              <w:jc w:val="right"/>
            </w:pPr>
            <w:r>
              <w:rPr>
                <w:color w:val="1C3A36"/>
                <w:sz w:val="14"/>
              </w:rPr>
              <w:t>IMF 2025 Article IV; CBUAE Quarterly Economic Review</w:t>
              <w:br/>
              <w:t>elibrary.imf.org  -&gt;  view  -&gt;  journals  -&gt;  …</w:t>
              <w:br/>
              <w:t>read 9 Aug 2026; as at 2 Oct 2025</w:t>
            </w:r>
          </w:p>
        </w:tc>
        <w:tc>
          <w:tcPr>
            <w:tcW w:type="dxa" w:w="4248"/>
          </w:tcPr>
          <w:p>
            <w:pPr>
              <w:spacing w:after="20"/>
              <w:jc w:val="right"/>
            </w:pPr>
            <w:r>
              <w:rPr>
                <w:color w:val="1C3A36"/>
                <w:sz w:val="14"/>
              </w:rPr>
              <w:t>Supplies a build-level driver. Non-oil GDP growth of ~4.6% is the closest macro proxy for UAE fuel demand growth. It should be reconciled against the company's own realised UAE volume growth of +1.6% y/y in H1-2026 (CO-04) — volumes are growing far slower than non-oil GDP, which is the single most important sanity check on any volume driver.</w:t>
            </w:r>
          </w:p>
        </w:tc>
      </w:tr>
      <w:tr>
        <w:trPr>
          <w:cantSplit/>
        </w:trPr>
        <w:tc>
          <w:tcPr>
            <w:tcW w:type="dxa" w:w="605"/>
          </w:tcPr>
          <w:p>
            <w:pPr>
              <w:spacing w:after="20"/>
            </w:pPr>
            <w:r>
              <w:rPr>
                <w:color w:val="1C3A36"/>
                <w:sz w:val="14"/>
              </w:rPr>
              <w:t>C-03</w:t>
            </w:r>
          </w:p>
        </w:tc>
        <w:tc>
          <w:tcPr>
            <w:tcW w:type="dxa" w:w="2160"/>
          </w:tcPr>
          <w:p>
            <w:pPr>
              <w:spacing w:after="20"/>
              <w:jc w:val="right"/>
            </w:pPr>
            <w:r>
              <w:rPr>
                <w:color w:val="1C3A36"/>
                <w:sz w:val="14"/>
              </w:rPr>
              <w:t>UAE CPI inflation 2025 actual and 2026-2027 forecast</w:t>
            </w:r>
          </w:p>
        </w:tc>
        <w:tc>
          <w:tcPr>
            <w:tcW w:type="dxa" w:w="3067"/>
          </w:tcPr>
          <w:p>
            <w:pPr>
              <w:spacing w:after="20"/>
              <w:jc w:val="right"/>
            </w:pPr>
            <w:r>
              <w:rPr>
                <w:color w:val="1C3A36"/>
                <w:sz w:val="14"/>
              </w:rPr>
              <w:t>Central Bank of the UAE — Quarterly Economic Review, March 2026</w:t>
              <w:br/>
              <w:t>centralbank.ae  -&gt;  media  -&gt;  lgnfakgc  -&gt;  …</w:t>
              <w:br/>
              <w:t>read 9 Aug 2026; as at 1 Mar 2026</w:t>
            </w:r>
          </w:p>
        </w:tc>
        <w:tc>
          <w:tcPr>
            <w:tcW w:type="dxa" w:w="4248"/>
          </w:tcPr>
          <w:p>
            <w:pPr>
              <w:spacing w:after="20"/>
              <w:jc w:val="right"/>
            </w:pPr>
            <w:r>
              <w:rPr>
                <w:color w:val="1C3A36"/>
                <w:sz w:val="14"/>
              </w:rPr>
              <w:t>Supplies a build-level driver. The domestic escalator for genuinely domestic cost lines (UAE wages, local services, station opex). Per the cost-stack escalation rule, this 1.8-2.0% domestic CPI must NOT be applied to product-cost or globally-traded input lines — those escalate on their own commodity path.</w:t>
            </w:r>
          </w:p>
        </w:tc>
      </w:tr>
      <w:tr>
        <w:trPr>
          <w:cantSplit/>
        </w:trPr>
        <w:tc>
          <w:tcPr>
            <w:tcW w:type="dxa" w:w="605"/>
          </w:tcPr>
          <w:p>
            <w:pPr>
              <w:spacing w:after="20"/>
            </w:pPr>
            <w:r>
              <w:rPr>
                <w:color w:val="1C3A36"/>
                <w:sz w:val="14"/>
              </w:rPr>
              <w:t>C-04</w:t>
            </w:r>
          </w:p>
        </w:tc>
        <w:tc>
          <w:tcPr>
            <w:tcW w:type="dxa" w:w="2160"/>
          </w:tcPr>
          <w:p>
            <w:pPr>
              <w:spacing w:after="20"/>
              <w:jc w:val="right"/>
            </w:pPr>
            <w:r>
              <w:rPr>
                <w:color w:val="1C3A36"/>
                <w:sz w:val="14"/>
              </w:rPr>
              <w:t>UAE population growth and vehicle parc / registrations</w:t>
            </w:r>
          </w:p>
        </w:tc>
        <w:tc>
          <w:tcPr>
            <w:tcW w:type="dxa" w:w="3067"/>
          </w:tcPr>
          <w:p>
            <w:pPr>
              <w:spacing w:after="20"/>
              <w:jc w:val="right"/>
            </w:pPr>
            <w:r>
              <w:rPr>
                <w:color w:val="1C3A36"/>
                <w:sz w:val="14"/>
              </w:rPr>
              <w:t>Khaleej Times / The Filipino Times (citing UAE Ministry of Interior and Dubai RTA data); DubiCars UAE Automotive Industry Report</w:t>
              <w:br/>
              <w:t>khaleejtimes.com  -&gt;  uae  -&gt;  transport  -&gt;  …</w:t>
              <w:br/>
              <w:t>read 9 Aug 2026; as at 30 Jun 2025</w:t>
            </w:r>
          </w:p>
        </w:tc>
        <w:tc>
          <w:tcPr>
            <w:tcW w:type="dxa" w:w="4248"/>
          </w:tcPr>
          <w:p>
            <w:pPr>
              <w:spacing w:after="20"/>
              <w:jc w:val="right"/>
            </w:pPr>
            <w:r>
              <w:rPr>
                <w:color w:val="1C3A36"/>
                <w:sz w:val="14"/>
              </w:rPr>
              <w:t>Supplies a build-level driver. The physical volume driver: vehicle parc growth of ~9% y/y sits far above the company's realised +1.6% H1-2026 fuel volume growth. That gap (parc +9%, volumes +1.6%) is a material tension — candidate explanations are fleet efficiency, EV substitution, market-share loss, or price elasticity following the &gt;60% price rise.</w:t>
            </w:r>
          </w:p>
        </w:tc>
      </w:tr>
      <w:tr>
        <w:trPr>
          <w:cantSplit/>
        </w:trPr>
        <w:tc>
          <w:tcPr>
            <w:tcW w:type="dxa" w:w="605"/>
          </w:tcPr>
          <w:p>
            <w:pPr>
              <w:spacing w:after="20"/>
            </w:pPr>
            <w:r>
              <w:rPr>
                <w:color w:val="1C3A36"/>
                <w:sz w:val="14"/>
              </w:rPr>
              <w:t>C-05</w:t>
            </w:r>
          </w:p>
        </w:tc>
        <w:tc>
          <w:tcPr>
            <w:tcW w:type="dxa" w:w="2160"/>
          </w:tcPr>
          <w:p>
            <w:pPr>
              <w:spacing w:after="20"/>
              <w:jc w:val="right"/>
            </w:pPr>
            <w:r>
              <w:rPr>
                <w:color w:val="1C3A36"/>
                <w:sz w:val="14"/>
              </w:rPr>
              <w:t>UAE Central Bank Base Rate</w:t>
            </w:r>
          </w:p>
        </w:tc>
        <w:tc>
          <w:tcPr>
            <w:tcW w:type="dxa" w:w="3067"/>
          </w:tcPr>
          <w:p>
            <w:pPr>
              <w:spacing w:after="20"/>
              <w:jc w:val="right"/>
            </w:pPr>
            <w:r>
              <w:rPr>
                <w:color w:val="1C3A36"/>
                <w:sz w:val="14"/>
              </w:rPr>
              <w:t>Central Bank of the UAE — 'CBUAE Maintains the Base Rate at 3.65%'</w:t>
              <w:br/>
              <w:t>centralbank.ae  -&gt;  media  -&gt;  kc0p2tuf  -&gt;  …</w:t>
              <w:br/>
              <w:t>read 9 Aug 2026; as at 29 Jul 2026</w:t>
            </w:r>
          </w:p>
        </w:tc>
        <w:tc>
          <w:tcPr>
            <w:tcW w:type="dxa" w:w="4248"/>
          </w:tcPr>
          <w:p>
            <w:pPr>
              <w:spacing w:after="20"/>
              <w:jc w:val="right"/>
            </w:pPr>
            <w:r>
              <w:rPr>
                <w:color w:val="1C3A36"/>
                <w:sz w:val="14"/>
              </w:rPr>
              <w:t>Supplies a build-level driver. The policy anchor for AED short rates and the floor for floating-rate bank debt pricing (EIBOR-linked term loans). Not itself the risk-free rate for a DCF — use the federal T-bond curve (C-06) for that — but it constrains the marginal cost of short-dated debt.</w:t>
            </w:r>
          </w:p>
        </w:tc>
      </w:tr>
      <w:tr>
        <w:trPr>
          <w:cantSplit/>
        </w:trPr>
        <w:tc>
          <w:tcPr>
            <w:tcW w:type="dxa" w:w="605"/>
          </w:tcPr>
          <w:p>
            <w:pPr>
              <w:spacing w:after="20"/>
            </w:pPr>
            <w:r>
              <w:rPr>
                <w:color w:val="1C3A36"/>
                <w:sz w:val="14"/>
              </w:rPr>
              <w:t>C-06</w:t>
            </w:r>
          </w:p>
        </w:tc>
        <w:tc>
          <w:tcPr>
            <w:tcW w:type="dxa" w:w="2160"/>
          </w:tcPr>
          <w:p>
            <w:pPr>
              <w:spacing w:after="20"/>
              <w:jc w:val="right"/>
            </w:pPr>
            <w:r>
              <w:rPr>
                <w:color w:val="1C3A36"/>
                <w:sz w:val="14"/>
              </w:rPr>
              <w:t>UAE federal AED Treasury Bond curve — THE RISK-FREE ANCHOR</w:t>
            </w:r>
          </w:p>
        </w:tc>
        <w:tc>
          <w:tcPr>
            <w:tcW w:type="dxa" w:w="3067"/>
          </w:tcPr>
          <w:p>
            <w:pPr>
              <w:spacing w:after="20"/>
              <w:jc w:val="right"/>
            </w:pPr>
            <w:r>
              <w:rPr>
                <w:color w:val="1C3A36"/>
                <w:sz w:val="14"/>
              </w:rPr>
              <w:t>UAE Ministry of Finance / WAM (Emirates News Agency) — July 2026 Treasury Sukuk and Bonds auction results</w:t>
              <w:br/>
              <w:t>wam.ae  -&gt;  en  -&gt;  article  -&gt;  …</w:t>
              <w:br/>
              <w:t>read 9 Aug 2026; as at 30 Jul 2026</w:t>
            </w:r>
          </w:p>
        </w:tc>
        <w:tc>
          <w:tcPr>
            <w:tcW w:type="dxa" w:w="4248"/>
          </w:tcPr>
          <w:p>
            <w:pPr>
              <w:spacing w:after="20"/>
              <w:jc w:val="right"/>
            </w:pPr>
            <w:r>
              <w:rPr>
                <w:color w:val="1C3A36"/>
                <w:sz w:val="14"/>
              </w:rPr>
              <w:t>Context and cross-check only. PRIMARY RISK-FREE ANCHOR for an AED-denominated DCF. This is a local-currency government yield from the sovereign's own curve, exactly as the WACC rule requires (rf from the LOCAL govt bond even for pegged currencies — never shortcut to USD).</w:t>
            </w:r>
          </w:p>
        </w:tc>
      </w:tr>
      <w:tr>
        <w:trPr>
          <w:cantSplit/>
        </w:trPr>
        <w:tc>
          <w:tcPr>
            <w:tcW w:type="dxa" w:w="605"/>
          </w:tcPr>
          <w:p>
            <w:pPr>
              <w:spacing w:after="20"/>
            </w:pPr>
            <w:r>
              <w:rPr>
                <w:color w:val="1C3A36"/>
                <w:sz w:val="14"/>
              </w:rPr>
              <w:t>C-07</w:t>
            </w:r>
          </w:p>
        </w:tc>
        <w:tc>
          <w:tcPr>
            <w:tcW w:type="dxa" w:w="2160"/>
          </w:tcPr>
          <w:p>
            <w:pPr>
              <w:spacing w:after="20"/>
              <w:jc w:val="right"/>
            </w:pPr>
            <w:r>
              <w:rPr>
                <w:color w:val="1C3A36"/>
                <w:sz w:val="14"/>
              </w:rPr>
              <w:t>UAE federal AED T-Bond curve — prior auctions (path evidence)</w:t>
            </w:r>
          </w:p>
        </w:tc>
        <w:tc>
          <w:tcPr>
            <w:tcW w:type="dxa" w:w="3067"/>
          </w:tcPr>
          <w:p>
            <w:pPr>
              <w:spacing w:after="20"/>
              <w:jc w:val="right"/>
            </w:pPr>
            <w:r>
              <w:rPr>
                <w:color w:val="1C3A36"/>
                <w:sz w:val="14"/>
              </w:rPr>
              <w:t>UAE Ministry of Finance — 'UAE Successfully Concludes May 2026 Treasury Bond Auction'</w:t>
              <w:br/>
              <w:t>mof.gov.ae  -&gt;  en  -&gt;  news  -&gt;  …</w:t>
              <w:br/>
              <w:t>read 9 Aug 2026; as at 23 May 2026</w:t>
            </w:r>
          </w:p>
        </w:tc>
        <w:tc>
          <w:tcPr>
            <w:tcW w:type="dxa" w:w="4248"/>
          </w:tcPr>
          <w:p>
            <w:pPr>
              <w:spacing w:after="20"/>
              <w:jc w:val="right"/>
            </w:pPr>
            <w:r>
              <w:rPr>
                <w:color w:val="1C3A36"/>
                <w:sz w:val="14"/>
              </w:rPr>
              <w:t>Sets or tests a forward driver. Shows the AED curve rising through 2026 (Jan-2031 point: 3.85% in an earlier vintage, 4.30% in May-2026, 4.48% in Jul-2026). Confirms the July print is not an outlier and that the direction of travel is upward, consistent with the hawkish Fed.</w:t>
            </w:r>
          </w:p>
        </w:tc>
      </w:tr>
      <w:tr>
        <w:trPr>
          <w:cantSplit/>
        </w:trPr>
        <w:tc>
          <w:tcPr>
            <w:tcW w:type="dxa" w:w="605"/>
          </w:tcPr>
          <w:p>
            <w:pPr>
              <w:spacing w:after="20"/>
            </w:pPr>
            <w:r>
              <w:rPr>
                <w:color w:val="1C3A36"/>
                <w:sz w:val="14"/>
              </w:rPr>
              <w:t>C-08</w:t>
            </w:r>
          </w:p>
        </w:tc>
        <w:tc>
          <w:tcPr>
            <w:tcW w:type="dxa" w:w="2160"/>
          </w:tcPr>
          <w:p>
            <w:pPr>
              <w:spacing w:after="20"/>
              <w:jc w:val="right"/>
            </w:pPr>
            <w:r>
              <w:rPr>
                <w:color w:val="1C3A36"/>
                <w:sz w:val="14"/>
              </w:rPr>
              <w:t>Abu Dhabi sovereign USD bond — 10-year point</w:t>
            </w:r>
          </w:p>
        </w:tc>
        <w:tc>
          <w:tcPr>
            <w:tcW w:type="dxa" w:w="3067"/>
          </w:tcPr>
          <w:p>
            <w:pPr>
              <w:spacing w:after="20"/>
              <w:jc w:val="right"/>
            </w:pPr>
            <w:r>
              <w:rPr>
                <w:color w:val="1C3A36"/>
                <w:sz w:val="14"/>
              </w:rPr>
              <w:t>Zawya — 'Abu Dhabi raises $3bln as investor demand drives tight spreads on dual-tranche bond'; Abu Dhabi Department of Finance / Abu Dhabi Media Office</w:t>
              <w:br/>
              <w:t>zawya.com  -&gt;  en  -&gt;  capital-markets  -&gt;  …</w:t>
              <w:br/>
              <w:t>read 9 Aug 2026; as at 1 Feb 2026</w:t>
            </w:r>
          </w:p>
        </w:tc>
        <w:tc>
          <w:tcPr>
            <w:tcW w:type="dxa" w:w="4248"/>
          </w:tcPr>
          <w:p>
            <w:pPr>
              <w:spacing w:after="20"/>
              <w:jc w:val="right"/>
            </w:pPr>
            <w:r>
              <w:rPr>
                <w:color w:val="1C3A36"/>
                <w:sz w:val="14"/>
              </w:rPr>
              <w:t>Supplies a build-level driver. The only observed 10-year sovereign point for the emirate in which ADNOC Distribution is domiciled. Because it is a February-2026 PRIMARY PRINT, not a live secondary yield, it is a stale level — but the SPREAD (+25bp over UST) is the durable, transferable quantity.</w:t>
            </w:r>
          </w:p>
        </w:tc>
      </w:tr>
      <w:tr>
        <w:trPr>
          <w:cantSplit/>
        </w:trPr>
        <w:tc>
          <w:tcPr>
            <w:tcW w:type="dxa" w:w="605"/>
          </w:tcPr>
          <w:p>
            <w:pPr>
              <w:spacing w:after="20"/>
            </w:pPr>
            <w:r>
              <w:rPr>
                <w:color w:val="1C3A36"/>
                <w:sz w:val="14"/>
              </w:rPr>
              <w:t>C-09</w:t>
            </w:r>
          </w:p>
        </w:tc>
        <w:tc>
          <w:tcPr>
            <w:tcW w:type="dxa" w:w="2160"/>
          </w:tcPr>
          <w:p>
            <w:pPr>
              <w:spacing w:after="20"/>
              <w:jc w:val="right"/>
            </w:pPr>
            <w:r>
              <w:rPr>
                <w:color w:val="1C3A36"/>
                <w:sz w:val="14"/>
              </w:rPr>
              <w:t>UAE sovereign credit rating — Moody's</w:t>
            </w:r>
          </w:p>
        </w:tc>
        <w:tc>
          <w:tcPr>
            <w:tcW w:type="dxa" w:w="3067"/>
          </w:tcPr>
          <w:p>
            <w:pPr>
              <w:spacing w:after="20"/>
              <w:jc w:val="right"/>
            </w:pPr>
            <w:r>
              <w:rPr>
                <w:color w:val="1C3A36"/>
                <w:sz w:val="14"/>
              </w:rPr>
              <w:t>The National — 'UAE retains high Moody's ratings and stable outlook on strong shock-absorption'</w:t>
              <w:br/>
              <w:t>thenationalnews.com  -&gt;  business  -&gt;  economy  -&gt;  …</w:t>
              <w:br/>
              <w:t>read 9 Aug 2026; as at 12 Jun 2026</w:t>
            </w:r>
          </w:p>
        </w:tc>
        <w:tc>
          <w:tcPr>
            <w:tcW w:type="dxa" w:w="4248"/>
          </w:tcPr>
          <w:p>
            <w:pPr>
              <w:spacing w:after="20"/>
              <w:jc w:val="right"/>
            </w:pPr>
            <w:r>
              <w:rPr>
                <w:color w:val="1C3A36"/>
                <w:sz w:val="14"/>
              </w:rPr>
              <w:t>Supplies a build-level driver. Aa2 is the rating that maps to the Damodaran default spread of 0.42% used to normalise rf and to derive the CRP (C-13). It confirms the Damodaran row's rating input is current as at the valuation date, even though the Damodaran file itself is a January-2026 vintage.</w:t>
            </w:r>
          </w:p>
        </w:tc>
      </w:tr>
      <w:tr>
        <w:trPr>
          <w:cantSplit/>
        </w:trPr>
        <w:tc>
          <w:tcPr>
            <w:tcW w:type="dxa" w:w="605"/>
          </w:tcPr>
          <w:p>
            <w:pPr>
              <w:spacing w:after="20"/>
            </w:pPr>
            <w:r>
              <w:rPr>
                <w:color w:val="1C3A36"/>
                <w:sz w:val="14"/>
              </w:rPr>
              <w:t>C-10</w:t>
            </w:r>
          </w:p>
        </w:tc>
        <w:tc>
          <w:tcPr>
            <w:tcW w:type="dxa" w:w="2160"/>
          </w:tcPr>
          <w:p>
            <w:pPr>
              <w:spacing w:after="20"/>
              <w:jc w:val="right"/>
            </w:pPr>
            <w:r>
              <w:rPr>
                <w:color w:val="1C3A36"/>
                <w:sz w:val="14"/>
              </w:rPr>
              <w:t>UAE sovereign credit rating — S&amp;P</w:t>
            </w:r>
          </w:p>
        </w:tc>
        <w:tc>
          <w:tcPr>
            <w:tcW w:type="dxa" w:w="3067"/>
          </w:tcPr>
          <w:p>
            <w:pPr>
              <w:spacing w:after="20"/>
              <w:jc w:val="right"/>
            </w:pPr>
            <w:r>
              <w:rPr>
                <w:color w:val="1C3A36"/>
                <w:sz w:val="14"/>
              </w:rPr>
              <w:t>Gulf News — 'UAE earns top sovereign ratings from global agencies'</w:t>
              <w:br/>
              <w:t>gulfnews.com  -&gt;  business  -&gt;  economy  -&gt;  …</w:t>
              <w:br/>
              <w:t>read 9 Aug 2026; as at 6 Mar 2026</w:t>
            </w:r>
          </w:p>
        </w:tc>
        <w:tc>
          <w:tcPr>
            <w:tcW w:type="dxa" w:w="4248"/>
          </w:tcPr>
          <w:p>
            <w:pPr>
              <w:spacing w:after="20"/>
              <w:jc w:val="right"/>
            </w:pPr>
            <w:r>
              <w:rPr>
                <w:color w:val="1C3A36"/>
                <w:sz w:val="14"/>
              </w:rPr>
              <w:t>Sets or tests a forward driver. Cross-check on the sovereign quality input. S&amp;P at AA is one notch above the Moody's Aa2 equivalent;</w:t>
            </w:r>
          </w:p>
        </w:tc>
      </w:tr>
      <w:tr>
        <w:trPr>
          <w:cantSplit/>
        </w:trPr>
        <w:tc>
          <w:tcPr>
            <w:tcW w:type="dxa" w:w="605"/>
          </w:tcPr>
          <w:p>
            <w:pPr>
              <w:spacing w:after="20"/>
            </w:pPr>
            <w:r>
              <w:rPr>
                <w:color w:val="1C3A36"/>
                <w:sz w:val="14"/>
              </w:rPr>
              <w:t>C-11</w:t>
            </w:r>
          </w:p>
        </w:tc>
        <w:tc>
          <w:tcPr>
            <w:tcW w:type="dxa" w:w="2160"/>
          </w:tcPr>
          <w:p>
            <w:pPr>
              <w:spacing w:after="20"/>
              <w:jc w:val="right"/>
            </w:pPr>
            <w:r>
              <w:rPr>
                <w:color w:val="1C3A36"/>
                <w:sz w:val="14"/>
              </w:rPr>
              <w:t>UAE sovereign credit rating — Fitch</w:t>
            </w:r>
          </w:p>
        </w:tc>
        <w:tc>
          <w:tcPr>
            <w:tcW w:type="dxa" w:w="3067"/>
          </w:tcPr>
          <w:p>
            <w:pPr>
              <w:spacing w:after="20"/>
              <w:jc w:val="right"/>
            </w:pPr>
            <w:r>
              <w:rPr>
                <w:color w:val="1C3A36"/>
                <w:sz w:val="14"/>
              </w:rPr>
              <w:t>Gulf News — 'UAE earns top sovereign ratings from global agencies'</w:t>
              <w:br/>
              <w:t>gulfnews.com  -&gt;  business  -&gt;  economy  -&gt;  …</w:t>
              <w:br/>
              <w:t>read 9 Aug 2026; as at 23 May 2026</w:t>
            </w:r>
          </w:p>
        </w:tc>
        <w:tc>
          <w:tcPr>
            <w:tcW w:type="dxa" w:w="4248"/>
          </w:tcPr>
          <w:p>
            <w:pPr>
              <w:spacing w:after="20"/>
              <w:jc w:val="right"/>
            </w:pPr>
            <w:r>
              <w:rPr>
                <w:color w:val="1C3A36"/>
                <w:sz w:val="14"/>
              </w:rPr>
              <w:t>Sets or tests a forward driver. Cross-check. The three agencies span AA- to AA (Aa2 equivalent), i.e.</w:t>
            </w:r>
          </w:p>
        </w:tc>
      </w:tr>
      <w:tr>
        <w:trPr>
          <w:cantSplit/>
        </w:trPr>
        <w:tc>
          <w:tcPr>
            <w:tcW w:type="dxa" w:w="605"/>
          </w:tcPr>
          <w:p>
            <w:pPr>
              <w:spacing w:after="20"/>
            </w:pPr>
            <w:r>
              <w:rPr>
                <w:color w:val="1C3A36"/>
                <w:sz w:val="14"/>
              </w:rPr>
              <w:t>C-12</w:t>
            </w:r>
          </w:p>
        </w:tc>
        <w:tc>
          <w:tcPr>
            <w:tcW w:type="dxa" w:w="2160"/>
          </w:tcPr>
          <w:p>
            <w:pPr>
              <w:spacing w:after="20"/>
              <w:jc w:val="right"/>
            </w:pPr>
            <w:r>
              <w:rPr>
                <w:color w:val="1C3A36"/>
                <w:sz w:val="14"/>
              </w:rPr>
              <w:t>Damodaran country risk premium — UNITED ARAB EMIRATES row, from the original published country-premium file</w:t>
            </w:r>
          </w:p>
        </w:tc>
        <w:tc>
          <w:tcPr>
            <w:tcW w:type="dxa" w:w="3067"/>
          </w:tcPr>
          <w:p>
            <w:pPr>
              <w:spacing w:after="20"/>
              <w:jc w:val="right"/>
            </w:pPr>
            <w:r>
              <w:rPr>
                <w:color w:val="1C3A36"/>
                <w:sz w:val="14"/>
              </w:rPr>
              <w:t>Aswath Damodaran (NYU Stern) — Country Default Spreads and Risk Premiums (the published country-premium file), ORIGINAL FILE</w:t>
              <w:br/>
              <w:t>pages.stern.nyu.edu  -&gt;  ~adamodar  -&gt;  New_Home_Page  -&gt;  …</w:t>
              <w:br/>
              <w:t>read 9 Aug 2026; as at 5 Jan 2026</w:t>
            </w:r>
          </w:p>
        </w:tc>
        <w:tc>
          <w:tcPr>
            <w:tcW w:type="dxa" w:w="4248"/>
          </w:tcPr>
          <w:p>
            <w:pPr>
              <w:spacing w:after="20"/>
              <w:jc w:val="right"/>
            </w:pPr>
            <w:r>
              <w:rPr>
                <w:color w:val="1C3A36"/>
                <w:sz w:val="14"/>
              </w:rPr>
              <w:t>Context and cross-check only. THE cost-of-equity input. Ke = rf* + beta x ERP, with rf* = 4.48% - 0.42% = 4.06% (C-06) and ERP = 4.87%.</w:t>
            </w:r>
          </w:p>
        </w:tc>
      </w:tr>
      <w:tr>
        <w:trPr>
          <w:cantSplit/>
        </w:trPr>
        <w:tc>
          <w:tcPr>
            <w:tcW w:type="dxa" w:w="605"/>
          </w:tcPr>
          <w:p>
            <w:pPr>
              <w:spacing w:after="20"/>
            </w:pPr>
            <w:r>
              <w:rPr>
                <w:color w:val="1C3A36"/>
                <w:sz w:val="14"/>
              </w:rPr>
              <w:t>C-13</w:t>
            </w:r>
          </w:p>
        </w:tc>
        <w:tc>
          <w:tcPr>
            <w:tcW w:type="dxa" w:w="2160"/>
          </w:tcPr>
          <w:p>
            <w:pPr>
              <w:spacing w:after="20"/>
              <w:jc w:val="right"/>
            </w:pPr>
            <w:r>
              <w:rPr>
                <w:color w:val="1C3A36"/>
                <w:sz w:val="14"/>
              </w:rPr>
              <w:t>Damodaran July-2026 mid-year update — DISCREPANCY FLAG</w:t>
            </w:r>
          </w:p>
        </w:tc>
        <w:tc>
          <w:tcPr>
            <w:tcW w:type="dxa" w:w="3067"/>
          </w:tcPr>
          <w:p>
            <w:pPr>
              <w:spacing w:after="20"/>
              <w:jc w:val="right"/>
            </w:pPr>
            <w:r>
              <w:rPr>
                <w:color w:val="1C3A36"/>
                <w:sz w:val="14"/>
              </w:rPr>
              <w:t>Aswath Damodaran — 'Equity Risk Premiums, by country - July 2026 Update' (LinkedIn); third-party summary at elitecurrensea.com</w:t>
              <w:br/>
              <w:t>linkedin.com  -&gt;  pulse  -&gt;  equity-risk-premiums-cou…</w:t>
              <w:br/>
              <w:t>read 9 Aug 2026; as at 3 Jul 2026</w:t>
            </w:r>
          </w:p>
        </w:tc>
        <w:tc>
          <w:tcPr>
            <w:tcW w:type="dxa" w:w="4248"/>
          </w:tcPr>
          <w:p>
            <w:pPr>
              <w:spacing w:after="20"/>
              <w:jc w:val="right"/>
            </w:pPr>
            <w:r>
              <w:rPr>
                <w:color w:val="1C3A36"/>
                <w:sz w:val="14"/>
              </w:rPr>
              <w:t>Context and cross-check only. item flagged before issue. This study requires the UAE row from the original published country-premium file, and that file is the January-2026 vintage.</w:t>
            </w:r>
          </w:p>
        </w:tc>
      </w:tr>
      <w:tr>
        <w:trPr>
          <w:cantSplit/>
        </w:trPr>
        <w:tc>
          <w:tcPr>
            <w:tcW w:type="dxa" w:w="605"/>
          </w:tcPr>
          <w:p>
            <w:pPr>
              <w:spacing w:after="20"/>
            </w:pPr>
            <w:r>
              <w:rPr>
                <w:color w:val="1C3A36"/>
                <w:sz w:val="14"/>
              </w:rPr>
              <w:t>C-14</w:t>
            </w:r>
          </w:p>
        </w:tc>
        <w:tc>
          <w:tcPr>
            <w:tcW w:type="dxa" w:w="2160"/>
          </w:tcPr>
          <w:p>
            <w:pPr>
              <w:spacing w:after="20"/>
              <w:jc w:val="right"/>
            </w:pPr>
            <w:r>
              <w:rPr>
                <w:color w:val="1C3A36"/>
                <w:sz w:val="14"/>
              </w:rPr>
              <w:t>UAE federal corporate tax — 9% regime</w:t>
            </w:r>
          </w:p>
        </w:tc>
        <w:tc>
          <w:tcPr>
            <w:tcW w:type="dxa" w:w="3067"/>
          </w:tcPr>
          <w:p>
            <w:pPr>
              <w:spacing w:after="20"/>
              <w:jc w:val="right"/>
            </w:pPr>
            <w:r>
              <w:rPr>
                <w:color w:val="1C3A36"/>
                <w:sz w:val="14"/>
              </w:rPr>
              <w:t>PwC Worldwide Tax Summaries — United Arab Emirates, Corporate taxes on corporate income; UAE Ministry of Finance</w:t>
              <w:br/>
              <w:t>taxsummaries.pwc.com  -&gt;  united-arab-emirates  -&gt;  corporate  -&gt;  …</w:t>
              <w:br/>
              <w:t>read 9 Aug 2026; as at 1 Jan 2026</w:t>
            </w:r>
          </w:p>
        </w:tc>
        <w:tc>
          <w:tcPr>
            <w:tcW w:type="dxa" w:w="4248"/>
          </w:tcPr>
          <w:p>
            <w:pPr>
              <w:spacing w:after="20"/>
              <w:jc w:val="right"/>
            </w:pPr>
            <w:r>
              <w:rPr>
                <w:color w:val="1C3A36"/>
                <w:sz w:val="14"/>
              </w:rPr>
              <w:t>Context and cross-check only. Tax rate driver for the FCFF waterfall. The upstream-extraction carve-out does NOT cover ADNOC Distribution: it is a downstream retail and distribution business, not an extractor, so it sits inside the federal net.</w:t>
            </w:r>
          </w:p>
        </w:tc>
      </w:tr>
      <w:tr>
        <w:trPr>
          <w:cantSplit/>
        </w:trPr>
        <w:tc>
          <w:tcPr>
            <w:tcW w:type="dxa" w:w="605"/>
          </w:tcPr>
          <w:p>
            <w:pPr>
              <w:spacing w:after="20"/>
            </w:pPr>
            <w:r>
              <w:rPr>
                <w:color w:val="1C3A36"/>
                <w:sz w:val="14"/>
              </w:rPr>
              <w:t>C-15</w:t>
            </w:r>
          </w:p>
        </w:tc>
        <w:tc>
          <w:tcPr>
            <w:tcW w:type="dxa" w:w="2160"/>
          </w:tcPr>
          <w:p>
            <w:pPr>
              <w:spacing w:after="20"/>
              <w:jc w:val="right"/>
            </w:pPr>
            <w:r>
              <w:rPr>
                <w:color w:val="1C3A36"/>
                <w:sz w:val="14"/>
              </w:rPr>
              <w:t>UAE Domestic Minimum Top-up Tax (DMTT) — 15%</w:t>
            </w:r>
          </w:p>
        </w:tc>
        <w:tc>
          <w:tcPr>
            <w:tcW w:type="dxa" w:w="3067"/>
          </w:tcPr>
          <w:p>
            <w:pPr>
              <w:spacing w:after="20"/>
              <w:jc w:val="right"/>
            </w:pPr>
            <w:r>
              <w:rPr>
                <w:color w:val="1C3A36"/>
                <w:sz w:val="14"/>
              </w:rPr>
              <w:t>UAE Ministry of Finance — Top-up Tax; EY Global Tax Alert; PwC Middle East</w:t>
              <w:br/>
              <w:t>mof.gov.ae  -&gt;  en  -&gt;  public-finance  -&gt;  …</w:t>
              <w:br/>
              <w:t>read 9 Aug 2026; as at 1 Jan 2025</w:t>
            </w:r>
          </w:p>
        </w:tc>
        <w:tc>
          <w:tcPr>
            <w:tcW w:type="dxa" w:w="4248"/>
          </w:tcPr>
          <w:p>
            <w:pPr>
              <w:spacing w:after="20"/>
              <w:jc w:val="right"/>
            </w:pPr>
            <w:r>
              <w:rPr>
                <w:color w:val="1C3A36"/>
                <w:sz w:val="14"/>
              </w:rPr>
              <w:t>Context and cross-check only. MATERIAL TAX DRIVER. ADNOC Group's consolidated global revenues are far above the EUR 750m threshold, and ADNOC Distribution alone reported ~AED 40.8bn TTM revenue, so the DMTT threshold is clearly met at group level.</w:t>
            </w:r>
          </w:p>
        </w:tc>
      </w:tr>
      <w:tr>
        <w:trPr>
          <w:cantSplit/>
        </w:trPr>
        <w:tc>
          <w:tcPr>
            <w:tcW w:type="dxa" w:w="605"/>
          </w:tcPr>
          <w:p>
            <w:pPr>
              <w:spacing w:after="20"/>
            </w:pPr>
            <w:r>
              <w:rPr>
                <w:color w:val="1C3A36"/>
                <w:sz w:val="14"/>
              </w:rPr>
              <w:t>C-16</w:t>
            </w:r>
          </w:p>
        </w:tc>
        <w:tc>
          <w:tcPr>
            <w:tcW w:type="dxa" w:w="2160"/>
          </w:tcPr>
          <w:p>
            <w:pPr>
              <w:spacing w:after="20"/>
              <w:jc w:val="right"/>
            </w:pPr>
            <w:r>
              <w:rPr>
                <w:color w:val="1C3A36"/>
                <w:sz w:val="14"/>
              </w:rPr>
              <w:t>ADNOC Distribution's own tax position — regime applicability</w:t>
            </w:r>
          </w:p>
        </w:tc>
        <w:tc>
          <w:tcPr>
            <w:tcW w:type="dxa" w:w="3067"/>
          </w:tcPr>
          <w:p>
            <w:pPr>
              <w:spacing w:after="20"/>
              <w:jc w:val="right"/>
            </w:pPr>
            <w:r>
              <w:rPr>
                <w:color w:val="1C3A36"/>
                <w:sz w:val="14"/>
              </w:rPr>
              <w:t>Gulf News — ADNOC Distribution results reporting (independent, period ambiguous)</w:t>
              <w:br/>
              <w:t>gulfnews.com  -&gt;  business  -&gt;  markets  -&gt;  …</w:t>
              <w:br/>
              <w:t>read 9 Aug 2026</w:t>
            </w:r>
          </w:p>
        </w:tc>
        <w:tc>
          <w:tcPr>
            <w:tcW w:type="dxa" w:w="4248"/>
          </w:tcPr>
          <w:p>
            <w:pPr>
              <w:spacing w:after="20"/>
              <w:jc w:val="right"/>
            </w:pPr>
            <w:r>
              <w:rPr>
                <w:color w:val="1C3A36"/>
                <w:sz w:val="14"/>
              </w:rPr>
              <w:t>Context and cross-check only. flagged before issue. The tax rate is one of the most consequential single drivers in the DCF and it is not resolved by this research.</w:t>
            </w:r>
          </w:p>
        </w:tc>
      </w:tr>
      <w:tr>
        <w:trPr>
          <w:cantSplit/>
        </w:trPr>
        <w:tc>
          <w:tcPr>
            <w:tcW w:type="dxa" w:w="605"/>
          </w:tcPr>
          <w:p>
            <w:pPr>
              <w:spacing w:after="20"/>
            </w:pPr>
            <w:r>
              <w:rPr>
                <w:color w:val="1C3A36"/>
                <w:sz w:val="14"/>
              </w:rPr>
              <w:t>C-17</w:t>
            </w:r>
          </w:p>
        </w:tc>
        <w:tc>
          <w:tcPr>
            <w:tcW w:type="dxa" w:w="2160"/>
          </w:tcPr>
          <w:p>
            <w:pPr>
              <w:spacing w:after="20"/>
              <w:jc w:val="right"/>
            </w:pPr>
            <w:r>
              <w:rPr>
                <w:color w:val="1C3A36"/>
                <w:sz w:val="14"/>
              </w:rPr>
              <w:t>UAE retail fuel pricing mechanism — deregulation and the monthly committee</w:t>
            </w:r>
          </w:p>
        </w:tc>
        <w:tc>
          <w:tcPr>
            <w:tcW w:type="dxa" w:w="3067"/>
          </w:tcPr>
          <w:p>
            <w:pPr>
              <w:spacing w:after="20"/>
              <w:jc w:val="right"/>
            </w:pPr>
            <w:r>
              <w:rPr>
                <w:color w:val="1C3A36"/>
                <w:sz w:val="14"/>
              </w:rPr>
              <w:t>UAE Cabinet — 'Fuel Prices to be deregulated with effect from 1 August, 2015'; The Official Portal of the UAE Government — Deregulation of fuel prices</w:t>
              <w:br/>
              <w:t>u.ae  -&gt;  en  -&gt;  information-and-services  -&gt;  …</w:t>
              <w:br/>
              <w:t>read 9 Aug 2026; as at 1 Aug 2015</w:t>
            </w:r>
          </w:p>
        </w:tc>
        <w:tc>
          <w:tcPr>
            <w:tcW w:type="dxa" w:w="4248"/>
          </w:tcPr>
          <w:p>
            <w:pPr>
              <w:spacing w:after="20"/>
              <w:jc w:val="right"/>
            </w:pPr>
            <w:r>
              <w:rPr>
                <w:color w:val="1C3A36"/>
                <w:sz w:val="14"/>
              </w:rPr>
              <w:t>Context and cross-check only. THE central pricing driver and the reason this business is not a normal price-taking retailer. Three consequences for the build: (1) retail price is a regulated pass-through of global prices plus operating costs, reset monthly — so revenue per litre is formulaic and forecastable from a crude/crack path, not a competitive outcome;</w:t>
            </w:r>
          </w:p>
        </w:tc>
      </w:tr>
      <w:tr>
        <w:trPr>
          <w:cantSplit/>
        </w:trPr>
        <w:tc>
          <w:tcPr>
            <w:tcW w:type="dxa" w:w="605"/>
          </w:tcPr>
          <w:p>
            <w:pPr>
              <w:spacing w:after="20"/>
            </w:pPr>
            <w:r>
              <w:rPr>
                <w:color w:val="1C3A36"/>
                <w:sz w:val="14"/>
              </w:rPr>
              <w:t>C-18</w:t>
            </w:r>
          </w:p>
        </w:tc>
        <w:tc>
          <w:tcPr>
            <w:tcW w:type="dxa" w:w="2160"/>
          </w:tcPr>
          <w:p>
            <w:pPr>
              <w:spacing w:after="20"/>
              <w:jc w:val="right"/>
            </w:pPr>
            <w:r>
              <w:rPr>
                <w:color w:val="1C3A36"/>
                <w:sz w:val="14"/>
              </w:rPr>
              <w:t>UAE retail fuel prices — August 2026 (current levels)</w:t>
            </w:r>
          </w:p>
        </w:tc>
        <w:tc>
          <w:tcPr>
            <w:tcW w:type="dxa" w:w="3067"/>
          </w:tcPr>
          <w:p>
            <w:pPr>
              <w:spacing w:after="20"/>
              <w:jc w:val="right"/>
            </w:pPr>
            <w:r>
              <w:rPr>
                <w:color w:val="1C3A36"/>
                <w:sz w:val="14"/>
              </w:rPr>
              <w:t>Khaleej Times — 'UAE petrol and diesel prices for August 2026 announced'; UAE Fuel Price Committee</w:t>
              <w:br/>
              <w:t>khaleejtimes.com  -&gt;  business  -&gt;  energy  -&gt;  …</w:t>
              <w:br/>
              <w:t>read 9 Aug 2026; as at 1 Aug 2026</w:t>
            </w:r>
          </w:p>
        </w:tc>
        <w:tc>
          <w:tcPr>
            <w:tcW w:type="dxa" w:w="4248"/>
          </w:tcPr>
          <w:p>
            <w:pPr>
              <w:spacing w:after="20"/>
              <w:jc w:val="right"/>
            </w:pPr>
            <w:r>
              <w:rPr>
                <w:color w:val="1C3A36"/>
                <w:sz w:val="14"/>
              </w:rPr>
              <w:t>Context and cross-check only. The current realised price point for the revenue-per-litre driver, at the valuation date. Note prices are uniform nationally and across competitors — there is NO price competition in UAE fuel retail, so share is won on network, convenience and service, not price.</w:t>
            </w:r>
          </w:p>
        </w:tc>
      </w:tr>
      <w:tr>
        <w:trPr>
          <w:cantSplit/>
        </w:trPr>
        <w:tc>
          <w:tcPr>
            <w:tcW w:type="dxa" w:w="605"/>
          </w:tcPr>
          <w:p>
            <w:pPr>
              <w:spacing w:after="20"/>
            </w:pPr>
            <w:r>
              <w:rPr>
                <w:color w:val="1C3A36"/>
                <w:sz w:val="14"/>
              </w:rPr>
              <w:t>C-19</w:t>
            </w:r>
          </w:p>
        </w:tc>
        <w:tc>
          <w:tcPr>
            <w:tcW w:type="dxa" w:w="2160"/>
          </w:tcPr>
          <w:p>
            <w:pPr>
              <w:spacing w:after="20"/>
              <w:jc w:val="right"/>
            </w:pPr>
            <w:r>
              <w:rPr>
                <w:color w:val="1C3A36"/>
                <w:sz w:val="14"/>
              </w:rPr>
              <w:t>UAE retail fuel price path — full monthly 2026 series</w:t>
            </w:r>
          </w:p>
        </w:tc>
        <w:tc>
          <w:tcPr>
            <w:tcW w:type="dxa" w:w="3067"/>
          </w:tcPr>
          <w:p>
            <w:pPr>
              <w:spacing w:after="20"/>
              <w:jc w:val="right"/>
            </w:pPr>
            <w:r>
              <w:rPr>
                <w:color w:val="1C3A36"/>
                <w:sz w:val="14"/>
              </w:rPr>
              <w:t>OneClickDrive UAE Petrol Prices 2026 Tracker (monthly compilation of UAE Fuel Price Committee announcements)</w:t>
              <w:br/>
              <w:t>blog.oneclickdrive.com  -&gt;  uae-petrol-prices-2026-t…</w:t>
              <w:br/>
              <w:t>read 9 Aug 2026; as at 1 Aug 2026</w:t>
            </w:r>
          </w:p>
        </w:tc>
        <w:tc>
          <w:tcPr>
            <w:tcW w:type="dxa" w:w="4248"/>
          </w:tcPr>
          <w:p>
            <w:pPr>
              <w:spacing w:after="20"/>
              <w:jc w:val="right"/>
            </w:pPr>
            <w:r>
              <w:rPr>
                <w:color w:val="1C3A36"/>
                <w:sz w:val="14"/>
              </w:rPr>
              <w:t>Context and cross-check only. The single most important external series in the study. It explains ADNOC Distribution's H1-2026 revenue growth of +29% on volume growth of only +1.6% — the revenue increase is almost entirely PRICE, not volume, and price is a regulated pass-through the company does not control.</w:t>
            </w:r>
          </w:p>
        </w:tc>
      </w:tr>
      <w:tr>
        <w:trPr>
          <w:cantSplit/>
        </w:trPr>
        <w:tc>
          <w:tcPr>
            <w:tcW w:type="dxa" w:w="605"/>
          </w:tcPr>
          <w:p>
            <w:pPr>
              <w:spacing w:after="20"/>
            </w:pPr>
            <w:r>
              <w:rPr>
                <w:color w:val="1C3A36"/>
                <w:sz w:val="14"/>
              </w:rPr>
              <w:t>C-20</w:t>
            </w:r>
          </w:p>
        </w:tc>
        <w:tc>
          <w:tcPr>
            <w:tcW w:type="dxa" w:w="2160"/>
          </w:tcPr>
          <w:p>
            <w:pPr>
              <w:spacing w:after="20"/>
              <w:jc w:val="right"/>
            </w:pPr>
            <w:r>
              <w:rPr>
                <w:color w:val="1C3A36"/>
                <w:sz w:val="14"/>
              </w:rPr>
              <w:t>UAE retail fuel price path — 2024 and 2025 (prior-period base)</w:t>
            </w:r>
          </w:p>
        </w:tc>
        <w:tc>
          <w:tcPr>
            <w:tcW w:type="dxa" w:w="3067"/>
          </w:tcPr>
          <w:p>
            <w:pPr>
              <w:spacing w:after="20"/>
              <w:jc w:val="right"/>
            </w:pPr>
            <w:r>
              <w:rPr>
                <w:color w:val="1C3A36"/>
                <w:sz w:val="14"/>
              </w:rPr>
              <w:t>DubaiWheels UAE Petrol Price History (2015-2026); Khaleej Times and Gulf News monthly announcements</w:t>
              <w:br/>
              <w:t>dubaiwheels.ae  -&gt;  uae-petrol-price-history</w:t>
              <w:br/>
              <w:t>read 9 Aug 2026; as at 1 Dec 2025</w:t>
            </w:r>
          </w:p>
        </w:tc>
        <w:tc>
          <w:tcPr>
            <w:tcW w:type="dxa" w:w="4248"/>
          </w:tcPr>
          <w:p>
            <w:pPr>
              <w:spacing w:after="20"/>
              <w:jc w:val="right"/>
            </w:pPr>
            <w:r>
              <w:rPr>
                <w:color w:val="1C3A36"/>
                <w:sz w:val="14"/>
              </w:rPr>
              <w:t>Supplies a build-level driver. Establishes the pre-shock normal: 2025 Special 95 traded in a tight AED 2.46-2.77 band all year, versus AED 3.49 today. That ~AED 2.60 mid-cycle level is the honest anchor for a normalised-earnings-power lens (Section 1.4) and for the terminal year, and it makes clear how far above normal the current price sits.</w:t>
            </w:r>
          </w:p>
        </w:tc>
      </w:tr>
      <w:tr>
        <w:trPr>
          <w:cantSplit/>
        </w:trPr>
        <w:tc>
          <w:tcPr>
            <w:tcW w:type="dxa" w:w="605"/>
          </w:tcPr>
          <w:p>
            <w:pPr>
              <w:spacing w:after="20"/>
            </w:pPr>
            <w:r>
              <w:rPr>
                <w:color w:val="1C3A36"/>
                <w:sz w:val="14"/>
              </w:rPr>
              <w:t>I-01</w:t>
            </w:r>
          </w:p>
        </w:tc>
        <w:tc>
          <w:tcPr>
            <w:tcW w:type="dxa" w:w="2160"/>
          </w:tcPr>
          <w:p>
            <w:pPr>
              <w:spacing w:after="20"/>
              <w:jc w:val="right"/>
            </w:pPr>
            <w:r>
              <w:rPr>
                <w:color w:val="1C3A36"/>
                <w:sz w:val="14"/>
              </w:rPr>
              <w:t>UAE fuel retail market structure and shares</w:t>
            </w:r>
          </w:p>
        </w:tc>
        <w:tc>
          <w:tcPr>
            <w:tcW w:type="dxa" w:w="3067"/>
          </w:tcPr>
          <w:p>
            <w:pPr>
              <w:spacing w:after="20"/>
              <w:jc w:val="right"/>
            </w:pPr>
            <w:r>
              <w:rPr>
                <w:color w:val="1C3A36"/>
                <w:sz w:val="14"/>
              </w:rPr>
              <w:t>Mordor Intelligence — United Arab Emirates Fuel Station Market; ENOC and Emarat corporate sites</w:t>
              <w:br/>
              <w:t>mordorintelligence.com  -&gt;  industry-reports  -&gt;  united-arab-emirates-fue…</w:t>
              <w:br/>
              <w:t>read 9 Aug 2026; as at 31 Dec 2025</w:t>
            </w:r>
          </w:p>
        </w:tc>
        <w:tc>
          <w:tcPr>
            <w:tcW w:type="dxa" w:w="4248"/>
          </w:tcPr>
          <w:p>
            <w:pPr>
              <w:spacing w:after="20"/>
              <w:jc w:val="right"/>
            </w:pPr>
            <w:r>
              <w:rPr>
                <w:color w:val="1C3A36"/>
                <w:sz w:val="14"/>
              </w:rPr>
              <w:t>Supplies a build-level driver. A concentrated, geographically segmented market: ADNOC Distribution historically dominant in Abu Dhabi, ENOC/EPPCO in Dubai, Emarat in the Northern Emirates. With prices set uniformly by the Fuel Price Committee, competition is on network density and non-fuel offer only.</w:t>
            </w:r>
          </w:p>
        </w:tc>
      </w:tr>
      <w:tr>
        <w:trPr>
          <w:cantSplit/>
        </w:trPr>
        <w:tc>
          <w:tcPr>
            <w:tcW w:type="dxa" w:w="605"/>
          </w:tcPr>
          <w:p>
            <w:pPr>
              <w:spacing w:after="20"/>
            </w:pPr>
            <w:r>
              <w:rPr>
                <w:color w:val="1C3A36"/>
                <w:sz w:val="14"/>
              </w:rPr>
              <w:t>I-02</w:t>
            </w:r>
          </w:p>
        </w:tc>
        <w:tc>
          <w:tcPr>
            <w:tcW w:type="dxa" w:w="2160"/>
          </w:tcPr>
          <w:p>
            <w:pPr>
              <w:spacing w:after="20"/>
              <w:jc w:val="right"/>
            </w:pPr>
            <w:r>
              <w:rPr>
                <w:color w:val="1C3A36"/>
                <w:sz w:val="14"/>
              </w:rPr>
              <w:t>UAE fuel station market size and growth</w:t>
            </w:r>
          </w:p>
        </w:tc>
        <w:tc>
          <w:tcPr>
            <w:tcW w:type="dxa" w:w="3067"/>
          </w:tcPr>
          <w:p>
            <w:pPr>
              <w:spacing w:after="20"/>
              <w:jc w:val="right"/>
            </w:pPr>
            <w:r>
              <w:rPr>
                <w:color w:val="1C3A36"/>
                <w:sz w:val="14"/>
              </w:rPr>
              <w:t>Mordor Intelligence — United Arab Emirates Fuel Station Market</w:t>
              <w:br/>
              <w:t>mordorintelligence.com  -&gt;  industry-reports  -&gt;  united-arab-emirates-fue…</w:t>
              <w:br/>
              <w:t>read 9 Aug 2026; as at 1 Jan 2026</w:t>
            </w:r>
          </w:p>
        </w:tc>
        <w:tc>
          <w:tcPr>
            <w:tcW w:type="dxa" w:w="4248"/>
          </w:tcPr>
          <w:p>
            <w:pPr>
              <w:spacing w:after="20"/>
              <w:jc w:val="right"/>
            </w:pPr>
            <w:r>
              <w:rPr>
                <w:color w:val="1C3A36"/>
                <w:sz w:val="14"/>
              </w:rPr>
              <w:t>Resets the starting point. Background sizing only. The 4.15% CAGR is a nominal, price-inclusive market figure from a commercial research house — it is NOT a substitute for a bottom-up volume x price driver and must not be used as one.</w:t>
            </w:r>
          </w:p>
        </w:tc>
      </w:tr>
      <w:tr>
        <w:trPr>
          <w:cantSplit/>
        </w:trPr>
        <w:tc>
          <w:tcPr>
            <w:tcW w:type="dxa" w:w="605"/>
          </w:tcPr>
          <w:p>
            <w:pPr>
              <w:spacing w:after="20"/>
            </w:pPr>
            <w:r>
              <w:rPr>
                <w:color w:val="1C3A36"/>
                <w:sz w:val="14"/>
              </w:rPr>
              <w:t>I-03</w:t>
            </w:r>
          </w:p>
        </w:tc>
        <w:tc>
          <w:tcPr>
            <w:tcW w:type="dxa" w:w="2160"/>
          </w:tcPr>
          <w:p>
            <w:pPr>
              <w:spacing w:after="20"/>
              <w:jc w:val="right"/>
            </w:pPr>
            <w:r>
              <w:rPr>
                <w:color w:val="1C3A36"/>
                <w:sz w:val="14"/>
              </w:rPr>
              <w:t>Saudi Arabia fuel retail — licensing and consolidation regime</w:t>
            </w:r>
          </w:p>
        </w:tc>
        <w:tc>
          <w:tcPr>
            <w:tcW w:type="dxa" w:w="3067"/>
          </w:tcPr>
          <w:p>
            <w:pPr>
              <w:spacing w:after="20"/>
              <w:jc w:val="right"/>
            </w:pPr>
            <w:r>
              <w:rPr>
                <w:color w:val="1C3A36"/>
                <w:sz w:val="14"/>
              </w:rPr>
              <w:t>Saudi Press Agency; Zawya — 'Saudi: Energy Ministry mandates licenses for all petroleum, petrochemical operations'</w:t>
              <w:br/>
              <w:t>zawya.com  -&gt;  en  -&gt;  business  -&gt;  …</w:t>
              <w:br/>
              <w:t>read 9 Aug 2026; as at 1 Jun 2026</w:t>
            </w:r>
          </w:p>
        </w:tc>
        <w:tc>
          <w:tcPr>
            <w:tcW w:type="dxa" w:w="4248"/>
          </w:tcPr>
          <w:p>
            <w:pPr>
              <w:spacing w:after="20"/>
              <w:jc w:val="right"/>
            </w:pPr>
            <w:r>
              <w:rPr>
                <w:color w:val="1C3A36"/>
                <w:sz w:val="14"/>
              </w:rPr>
              <w:t>Supplies a build-level driver. The licensing-driven consolidation of Saudi fuel retail is the structural opportunity ADNOC Distribution's Saudi expansion is built on: thousands of sub-scale independent stations must either upgrade to standard or exit, creating a branded-operator land grab. Supports the credibility of the Saudi station-count ramp (I-04) but also means ...</w:t>
            </w:r>
          </w:p>
        </w:tc>
      </w:tr>
      <w:tr>
        <w:trPr>
          <w:cantSplit/>
        </w:trPr>
        <w:tc>
          <w:tcPr>
            <w:tcW w:type="dxa" w:w="605"/>
          </w:tcPr>
          <w:p>
            <w:pPr>
              <w:spacing w:after="20"/>
            </w:pPr>
            <w:r>
              <w:rPr>
                <w:color w:val="1C3A36"/>
                <w:sz w:val="14"/>
              </w:rPr>
              <w:t>I-04</w:t>
            </w:r>
          </w:p>
        </w:tc>
        <w:tc>
          <w:tcPr>
            <w:tcW w:type="dxa" w:w="2160"/>
          </w:tcPr>
          <w:p>
            <w:pPr>
              <w:spacing w:after="20"/>
              <w:jc w:val="right"/>
            </w:pPr>
            <w:r>
              <w:rPr>
                <w:color w:val="1C3A36"/>
                <w:sz w:val="14"/>
              </w:rPr>
              <w:t>ADNOC Distribution Saudi Arabia entry, network and competitors</w:t>
            </w:r>
          </w:p>
        </w:tc>
        <w:tc>
          <w:tcPr>
            <w:tcW w:type="dxa" w:w="3067"/>
          </w:tcPr>
          <w:p>
            <w:pPr>
              <w:spacing w:after="20"/>
              <w:jc w:val="right"/>
            </w:pPr>
            <w:r>
              <w:rPr>
                <w:color w:val="1C3A36"/>
                <w:sz w:val="14"/>
              </w:rPr>
              <w:t>ADNOC Distribution H1-2026 earnings call, 05-Aug-2026 (transcript via Investing.com); Argaam; Gulf News</w:t>
              <w:br/>
              <w:t>investing.com  -&gt;  news  -&gt;  transcripts  -&gt;  …</w:t>
              <w:br/>
              <w:t>read 9 Aug 2026; as at 30 Jun 2026</w:t>
            </w:r>
          </w:p>
        </w:tc>
        <w:tc>
          <w:tcPr>
            <w:tcW w:type="dxa" w:w="4248"/>
          </w:tcPr>
          <w:p>
            <w:pPr>
              <w:spacing w:after="20"/>
              <w:jc w:val="right"/>
            </w:pPr>
            <w:r>
              <w:rPr>
                <w:color w:val="1C3A36"/>
                <w:sz w:val="14"/>
              </w:rPr>
              <w:t>Supplies a build-level driver. The Saudi leg is the highest-growth part of the business (+65% sites y/y) and is capital-light via the DUCCO model, so it consumes little capex but earns a thinner per-site margin than an owned UAE site. It should be modelled as its own driver leg (sites x throughput x dealer margin), NOT blended into UAE economics.</w:t>
            </w:r>
          </w:p>
        </w:tc>
      </w:tr>
      <w:tr>
        <w:trPr>
          <w:cantSplit/>
        </w:trPr>
        <w:tc>
          <w:tcPr>
            <w:tcW w:type="dxa" w:w="605"/>
          </w:tcPr>
          <w:p>
            <w:pPr>
              <w:spacing w:after="20"/>
            </w:pPr>
            <w:r>
              <w:rPr>
                <w:color w:val="1C3A36"/>
                <w:sz w:val="14"/>
              </w:rPr>
              <w:t>I-05</w:t>
            </w:r>
          </w:p>
        </w:tc>
        <w:tc>
          <w:tcPr>
            <w:tcW w:type="dxa" w:w="2160"/>
          </w:tcPr>
          <w:p>
            <w:pPr>
              <w:spacing w:after="20"/>
              <w:jc w:val="right"/>
            </w:pPr>
            <w:r>
              <w:rPr>
                <w:color w:val="1C3A36"/>
                <w:sz w:val="14"/>
              </w:rPr>
              <w:t>Egypt fuel retail — TotalEnergies Marketing Egypt JV and EGP exposure</w:t>
            </w:r>
          </w:p>
        </w:tc>
        <w:tc>
          <w:tcPr>
            <w:tcW w:type="dxa" w:w="3067"/>
          </w:tcPr>
          <w:p>
            <w:pPr>
              <w:spacing w:after="20"/>
              <w:jc w:val="right"/>
            </w:pPr>
            <w:r>
              <w:rPr>
                <w:color w:val="1C3A36"/>
                <w:sz w:val="14"/>
              </w:rPr>
              <w:t>ADNOC Distribution — completion announcement (Feb-2023); H1-2026 earnings call, 05-Aug-2026</w:t>
              <w:br/>
              <w:t>adnocdistribution.ae  -&gt;  en  -&gt;  media-folder  -&gt;  …</w:t>
              <w:br/>
              <w:t>read 9 Aug 2026; as at 5 Aug 2026</w:t>
            </w:r>
          </w:p>
        </w:tc>
        <w:tc>
          <w:tcPr>
            <w:tcW w:type="dxa" w:w="4248"/>
          </w:tcPr>
          <w:p>
            <w:pPr>
              <w:spacing w:after="20"/>
              <w:jc w:val="right"/>
            </w:pPr>
            <w:r>
              <w:rPr>
                <w:color w:val="1C3A36"/>
                <w:sz w:val="14"/>
              </w:rPr>
              <w:t>Supplies a build-level driver. Egypt is the study's main FX-risk leg, and management's claim that 85-90% is naturally hedged against EGP devaluation is a MATERIAL, TESTABLE assertion that must be verified against the segment disclosure rather than accepted — the natural hedge comes from USD-linked aviation and lubricant revenue. If true, Egypt requires no EGP ...</w:t>
            </w:r>
          </w:p>
        </w:tc>
      </w:tr>
      <w:tr>
        <w:trPr>
          <w:cantSplit/>
        </w:trPr>
        <w:tc>
          <w:tcPr>
            <w:tcW w:type="dxa" w:w="605"/>
          </w:tcPr>
          <w:p>
            <w:pPr>
              <w:spacing w:after="20"/>
            </w:pPr>
            <w:r>
              <w:rPr>
                <w:color w:val="1C3A36"/>
                <w:sz w:val="14"/>
              </w:rPr>
              <w:t>I-06</w:t>
            </w:r>
          </w:p>
        </w:tc>
        <w:tc>
          <w:tcPr>
            <w:tcW w:type="dxa" w:w="2160"/>
          </w:tcPr>
          <w:p>
            <w:pPr>
              <w:spacing w:after="20"/>
              <w:jc w:val="right"/>
            </w:pPr>
            <w:r>
              <w:rPr>
                <w:color w:val="1C3A36"/>
                <w:sz w:val="14"/>
              </w:rPr>
              <w:t>EV charging in the UAE — policy targets and adoption</w:t>
            </w:r>
          </w:p>
        </w:tc>
        <w:tc>
          <w:tcPr>
            <w:tcW w:type="dxa" w:w="3067"/>
          </w:tcPr>
          <w:p>
            <w:pPr>
              <w:spacing w:after="20"/>
              <w:jc w:val="right"/>
            </w:pPr>
            <w:r>
              <w:rPr>
                <w:color w:val="1C3A36"/>
                <w:sz w:val="14"/>
              </w:rPr>
              <w:t>The Official Platform of the UAE Government — National Electric Vehicles Policy</w:t>
              <w:br/>
              <w:t>u.ae  -&gt;  en  -&gt;  about-the-uae  -&gt;  …</w:t>
              <w:br/>
              <w:t>read 9 Aug 2026; as at 1 Jan 2026</w:t>
            </w:r>
          </w:p>
        </w:tc>
        <w:tc>
          <w:tcPr>
            <w:tcW w:type="dxa" w:w="4248"/>
          </w:tcPr>
          <w:p>
            <w:pPr>
              <w:spacing w:after="20"/>
              <w:jc w:val="right"/>
            </w:pPr>
            <w:r>
              <w:rPr>
                <w:color w:val="1C3A36"/>
                <w:sz w:val="14"/>
              </w:rPr>
              <w:t>Supplies a build-level driver. The terminal-value driver for the UAE fuel leg. The critical distinction for a 5-year horizon is STOCK versus FLOW: even at 13%+ of new SALES, the target is only ~10% of the vehicle PARC electric by 2030, and fuel volumes track the parc, not the sales mix.</w:t>
            </w:r>
          </w:p>
        </w:tc>
      </w:tr>
      <w:tr>
        <w:trPr>
          <w:cantSplit/>
        </w:trPr>
        <w:tc>
          <w:tcPr>
            <w:tcW w:type="dxa" w:w="605"/>
          </w:tcPr>
          <w:p>
            <w:pPr>
              <w:spacing w:after="20"/>
            </w:pPr>
            <w:r>
              <w:rPr>
                <w:color w:val="1C3A36"/>
                <w:sz w:val="14"/>
              </w:rPr>
              <w:t>I-07</w:t>
            </w:r>
          </w:p>
        </w:tc>
        <w:tc>
          <w:tcPr>
            <w:tcW w:type="dxa" w:w="2160"/>
          </w:tcPr>
          <w:p>
            <w:pPr>
              <w:spacing w:after="20"/>
              <w:jc w:val="right"/>
            </w:pPr>
            <w:r>
              <w:rPr>
                <w:color w:val="1C3A36"/>
                <w:sz w:val="14"/>
              </w:rPr>
              <w:t>Peer multiple — Aldrees Petroleum and Transport Services (Tadawul: 4200) — CLOSEST REGIONAL PEER</w:t>
            </w:r>
          </w:p>
        </w:tc>
        <w:tc>
          <w:tcPr>
            <w:tcW w:type="dxa" w:w="3067"/>
          </w:tcPr>
          <w:p>
            <w:pPr>
              <w:spacing w:after="20"/>
              <w:jc w:val="right"/>
            </w:pPr>
            <w:r>
              <w:rPr>
                <w:color w:val="1C3A36"/>
                <w:sz w:val="14"/>
              </w:rPr>
              <w:t>StockAnalysis.com — Aldrees Petroleum and Transport Services (TADAWUL:4200) Statistics</w:t>
              <w:br/>
              <w:t>stockanalysis.com  -&gt;  quote  -&gt;  tadawul  -&gt;  …</w:t>
              <w:br/>
              <w:t>read 9 Aug 2026; as at 9 Aug 2026</w:t>
            </w:r>
          </w:p>
        </w:tc>
        <w:tc>
          <w:tcPr>
            <w:tcW w:type="dxa" w:w="4248"/>
          </w:tcPr>
          <w:p>
            <w:pPr>
              <w:spacing w:after="20"/>
              <w:jc w:val="right"/>
            </w:pPr>
            <w:r>
              <w:rPr>
                <w:color w:val="1C3A36"/>
                <w:sz w:val="14"/>
              </w:rPr>
              <w:t>Supplies a build-level driver. The most directly comparable listed peer: GCC fuel retail, same regulated-price structure, same Saudi market ADNOC Distribution is expanding into. Trades at 12.89x EV/EBITDA and 26.1x earnings versus ADNOC Distribution at 10.93x and 14.3x — i.e.</w:t>
            </w:r>
          </w:p>
        </w:tc>
      </w:tr>
      <w:tr>
        <w:trPr>
          <w:cantSplit/>
        </w:trPr>
        <w:tc>
          <w:tcPr>
            <w:tcW w:type="dxa" w:w="605"/>
          </w:tcPr>
          <w:p>
            <w:pPr>
              <w:spacing w:after="20"/>
            </w:pPr>
            <w:r>
              <w:rPr>
                <w:color w:val="1C3A36"/>
                <w:sz w:val="14"/>
              </w:rPr>
              <w:t>I-08</w:t>
            </w:r>
          </w:p>
        </w:tc>
        <w:tc>
          <w:tcPr>
            <w:tcW w:type="dxa" w:w="2160"/>
          </w:tcPr>
          <w:p>
            <w:pPr>
              <w:spacing w:after="20"/>
              <w:jc w:val="right"/>
            </w:pPr>
            <w:r>
              <w:rPr>
                <w:color w:val="1C3A36"/>
                <w:sz w:val="14"/>
              </w:rPr>
              <w:t>Peer multiple — Saudi Automotive Services Company / SASCO (Tadawul: 4050) — used only as a cross-check</w:t>
            </w:r>
          </w:p>
        </w:tc>
        <w:tc>
          <w:tcPr>
            <w:tcW w:type="dxa" w:w="3067"/>
          </w:tcPr>
          <w:p>
            <w:pPr>
              <w:spacing w:after="20"/>
              <w:jc w:val="right"/>
            </w:pPr>
            <w:r>
              <w:rPr>
                <w:color w:val="1C3A36"/>
                <w:sz w:val="14"/>
              </w:rPr>
              <w:t>StockAnalysis.com — Saudi Automotive Services Company (TADAWUL:4050) Statistics</w:t>
              <w:br/>
              <w:t>stockanalysis.com  -&gt;  quote  -&gt;  tadawul  -&gt;  …</w:t>
              <w:br/>
              <w:t>read 9 Aug 2026; as at 9 Aug 2026</w:t>
            </w:r>
          </w:p>
        </w:tc>
        <w:tc>
          <w:tcPr>
            <w:tcW w:type="dxa" w:w="4248"/>
          </w:tcPr>
          <w:p>
            <w:pPr>
              <w:spacing w:after="20"/>
              <w:jc w:val="right"/>
            </w:pPr>
            <w:r>
              <w:rPr>
                <w:color w:val="1C3A36"/>
                <w:sz w:val="14"/>
              </w:rPr>
              <w:t>Sets or tests a forward driver. used only as a cross-check, and a weak one. SASCO's 73x P/E, 0.30% margin, 2.39% ROIC and Altman Z of 2 make it a distressed sub-scale operator, not a valuation benchmark.</w:t>
            </w:r>
          </w:p>
        </w:tc>
      </w:tr>
      <w:tr>
        <w:trPr>
          <w:cantSplit/>
        </w:trPr>
        <w:tc>
          <w:tcPr>
            <w:tcW w:type="dxa" w:w="605"/>
          </w:tcPr>
          <w:p>
            <w:pPr>
              <w:spacing w:after="20"/>
            </w:pPr>
            <w:r>
              <w:rPr>
                <w:color w:val="1C3A36"/>
                <w:sz w:val="14"/>
              </w:rPr>
              <w:t>I-09</w:t>
            </w:r>
          </w:p>
        </w:tc>
        <w:tc>
          <w:tcPr>
            <w:tcW w:type="dxa" w:w="2160"/>
          </w:tcPr>
          <w:p>
            <w:pPr>
              <w:spacing w:after="20"/>
              <w:jc w:val="right"/>
            </w:pPr>
            <w:r>
              <w:rPr>
                <w:color w:val="1C3A36"/>
                <w:sz w:val="14"/>
              </w:rPr>
              <w:t>Peer multiple — Alimentation Couche-Tard (TSX: ATD) — used only as a cross-check</w:t>
            </w:r>
          </w:p>
        </w:tc>
        <w:tc>
          <w:tcPr>
            <w:tcW w:type="dxa" w:w="3067"/>
          </w:tcPr>
          <w:p>
            <w:pPr>
              <w:spacing w:after="20"/>
              <w:jc w:val="right"/>
            </w:pPr>
            <w:r>
              <w:rPr>
                <w:color w:val="1C3A36"/>
                <w:sz w:val="14"/>
              </w:rPr>
              <w:t>StockAnalysis.com — Alimentation Couche-Tard (TSX:ATD) Statistics</w:t>
              <w:br/>
              <w:t>stockanalysis.com  -&gt;  quote  -&gt;  tsx  -&gt;  …</w:t>
              <w:br/>
              <w:t>read 9 Aug 2026; as at 9 Aug 2026</w:t>
            </w:r>
          </w:p>
        </w:tc>
        <w:tc>
          <w:tcPr>
            <w:tcW w:type="dxa" w:w="4248"/>
          </w:tcPr>
          <w:p>
            <w:pPr>
              <w:spacing w:after="20"/>
              <w:jc w:val="right"/>
            </w:pPr>
            <w:r>
              <w:rPr>
                <w:color w:val="1C3A36"/>
                <w:sz w:val="14"/>
              </w:rPr>
              <w:t>Sets or tests a forward driver. used only as a cross-check — global convenience-led benchmark, useful for the non-fuel leg. Trades at 10.66x EV/EBITDA, almost exactly in line with ADNOC Distribution's 10.93x, but on a business where non-fuel dominates gross profit and in a fully deregulated, price-competitive market.</w:t>
            </w:r>
          </w:p>
        </w:tc>
      </w:tr>
      <w:tr>
        <w:trPr>
          <w:cantSplit/>
        </w:trPr>
        <w:tc>
          <w:tcPr>
            <w:tcW w:type="dxa" w:w="605"/>
          </w:tcPr>
          <w:p>
            <w:pPr>
              <w:spacing w:after="20"/>
            </w:pPr>
            <w:r>
              <w:rPr>
                <w:color w:val="1C3A36"/>
                <w:sz w:val="14"/>
              </w:rPr>
              <w:t>I-10</w:t>
            </w:r>
          </w:p>
        </w:tc>
        <w:tc>
          <w:tcPr>
            <w:tcW w:type="dxa" w:w="2160"/>
          </w:tcPr>
          <w:p>
            <w:pPr>
              <w:spacing w:after="20"/>
              <w:jc w:val="right"/>
            </w:pPr>
            <w:r>
              <w:rPr>
                <w:color w:val="1C3A36"/>
                <w:sz w:val="14"/>
              </w:rPr>
              <w:t>Peer multiple — Casey's General Stores (NASDAQ: CASY) — used only as a cross-check</w:t>
            </w:r>
          </w:p>
        </w:tc>
        <w:tc>
          <w:tcPr>
            <w:tcW w:type="dxa" w:w="3067"/>
          </w:tcPr>
          <w:p>
            <w:pPr>
              <w:spacing w:after="20"/>
              <w:jc w:val="right"/>
            </w:pPr>
            <w:r>
              <w:rPr>
                <w:color w:val="1C3A36"/>
                <w:sz w:val="14"/>
              </w:rPr>
              <w:t>StockAnalysis.com — Casey's General Stores (CASY) Statistics</w:t>
              <w:br/>
              <w:t>stockanalysis.com  -&gt;  stocks  -&gt;  casy  -&gt;  …</w:t>
              <w:br/>
              <w:t>read 9 Aug 2026; as at 9 Aug 2026</w:t>
            </w:r>
          </w:p>
        </w:tc>
        <w:tc>
          <w:tcPr>
            <w:tcW w:type="dxa" w:w="4248"/>
          </w:tcPr>
          <w:p>
            <w:pPr>
              <w:spacing w:after="20"/>
              <w:jc w:val="right"/>
            </w:pPr>
            <w:r>
              <w:rPr>
                <w:color w:val="1C3A36"/>
                <w:sz w:val="14"/>
              </w:rPr>
              <w:t>Sets or tests a forward driver. used only as a cross-check — the premium end of the convenience-led range at 22.4x EV/EBITDA and 43.5x earnings, reflecting a foodservice-heavy US model with a growth multiple. It is the single most important reminder that 'fuel retail' spans a 10x-to-22x EV/EBITDA range depending on non-fuel mix, and that the relative lens cannot be run ...</w:t>
            </w:r>
          </w:p>
        </w:tc>
      </w:tr>
      <w:tr>
        <w:trPr>
          <w:cantSplit/>
        </w:trPr>
        <w:tc>
          <w:tcPr>
            <w:tcW w:type="dxa" w:w="605"/>
          </w:tcPr>
          <w:p>
            <w:pPr>
              <w:spacing w:after="20"/>
            </w:pPr>
            <w:r>
              <w:rPr>
                <w:color w:val="1C3A36"/>
                <w:sz w:val="14"/>
              </w:rPr>
              <w:t>I-11</w:t>
            </w:r>
          </w:p>
        </w:tc>
        <w:tc>
          <w:tcPr>
            <w:tcW w:type="dxa" w:w="2160"/>
          </w:tcPr>
          <w:p>
            <w:pPr>
              <w:spacing w:after="20"/>
              <w:jc w:val="right"/>
            </w:pPr>
            <w:r>
              <w:rPr>
                <w:color w:val="1C3A36"/>
                <w:sz w:val="14"/>
              </w:rPr>
              <w:t>Peer multiple — Murphy USA (NYSE: MUSA) — used only as a cross-check</w:t>
            </w:r>
          </w:p>
        </w:tc>
        <w:tc>
          <w:tcPr>
            <w:tcW w:type="dxa" w:w="3067"/>
          </w:tcPr>
          <w:p>
            <w:pPr>
              <w:spacing w:after="20"/>
              <w:jc w:val="right"/>
            </w:pPr>
            <w:r>
              <w:rPr>
                <w:color w:val="1C3A36"/>
                <w:sz w:val="14"/>
              </w:rPr>
              <w:t>StockAnalysis.com — Murphy USA (MUSA) Statistics</w:t>
              <w:br/>
              <w:t>stockanalysis.com  -&gt;  stocks  -&gt;  musa  -&gt;  …</w:t>
              <w:br/>
              <w:t>read 9 Aug 2026; as at 9 Aug 2026</w:t>
            </w:r>
          </w:p>
        </w:tc>
        <w:tc>
          <w:tcPr>
            <w:tcW w:type="dxa" w:w="4248"/>
          </w:tcPr>
          <w:p>
            <w:pPr>
              <w:spacing w:after="20"/>
              <w:jc w:val="right"/>
            </w:pPr>
            <w:r>
              <w:rPr>
                <w:color w:val="1C3A36"/>
                <w:sz w:val="14"/>
              </w:rPr>
              <w:t>Sets or tests a forward driver. used only as a cross-check — the high-ROIC, fuel-led end of the US peer set (ROIC 21.8%) and the closest US analogue to ADNOC Distribution's volume-led model. At 10.03x EV/EBITDA it brackets ADNOC Distribution's 10.93x from below.</w:t>
            </w:r>
          </w:p>
        </w:tc>
      </w:tr>
      <w:tr>
        <w:trPr>
          <w:cantSplit/>
        </w:trPr>
        <w:tc>
          <w:tcPr>
            <w:tcW w:type="dxa" w:w="605"/>
          </w:tcPr>
          <w:p>
            <w:pPr>
              <w:spacing w:after="20"/>
            </w:pPr>
            <w:r>
              <w:rPr>
                <w:color w:val="1C3A36"/>
                <w:sz w:val="14"/>
              </w:rPr>
              <w:t>I-12</w:t>
            </w:r>
          </w:p>
        </w:tc>
        <w:tc>
          <w:tcPr>
            <w:tcW w:type="dxa" w:w="2160"/>
          </w:tcPr>
          <w:p>
            <w:pPr>
              <w:spacing w:after="20"/>
              <w:jc w:val="right"/>
            </w:pPr>
            <w:r>
              <w:rPr>
                <w:color w:val="1C3A36"/>
                <w:sz w:val="14"/>
              </w:rPr>
              <w:t>Peer multiple — OMV Petrom (BVB: SNP) — used only as a cross-check</w:t>
            </w:r>
          </w:p>
        </w:tc>
        <w:tc>
          <w:tcPr>
            <w:tcW w:type="dxa" w:w="3067"/>
          </w:tcPr>
          <w:p>
            <w:pPr>
              <w:spacing w:after="20"/>
              <w:jc w:val="right"/>
            </w:pPr>
            <w:r>
              <w:rPr>
                <w:color w:val="1C3A36"/>
                <w:sz w:val="14"/>
              </w:rPr>
              <w:t>StockAnalysis.com — OMV Petrom (BVB:SNP) Statistics</w:t>
              <w:br/>
              <w:t>stockanalysis.com  -&gt;  quote  -&gt;  bvb  -&gt;  …</w:t>
              <w:br/>
              <w:t>read 9 Aug 2026; as at 9 Aug 2026</w:t>
            </w:r>
          </w:p>
        </w:tc>
        <w:tc>
          <w:tcPr>
            <w:tcW w:type="dxa" w:w="4248"/>
          </w:tcPr>
          <w:p>
            <w:pPr>
              <w:spacing w:after="20"/>
              <w:jc w:val="right"/>
            </w:pPr>
            <w:r>
              <w:rPr>
                <w:color w:val="1C3A36"/>
                <w:sz w:val="14"/>
              </w:rPr>
              <w:t>Sets or tests a forward driver. used only as a cross-check, and a weak comparable: OMV Petrom is an INTEGRATED upstream-plus-downstream company, not a pure fuel retailer, so its EV/EBITDA embeds reserve value and its earnings are crude-price geared in a way ADNOC Distribution's are not. Its 6.13% dividend yield is the closest peer read to ADNOC Distribution's 5.05%.</w:t>
            </w:r>
          </w:p>
        </w:tc>
      </w:tr>
      <w:tr>
        <w:trPr>
          <w:cantSplit/>
        </w:trPr>
        <w:tc>
          <w:tcPr>
            <w:tcW w:type="dxa" w:w="605"/>
          </w:tcPr>
          <w:p>
            <w:pPr>
              <w:spacing w:after="20"/>
            </w:pPr>
            <w:r>
              <w:rPr>
                <w:color w:val="1C3A36"/>
                <w:sz w:val="14"/>
              </w:rPr>
              <w:t>I-13</w:t>
            </w:r>
          </w:p>
        </w:tc>
        <w:tc>
          <w:tcPr>
            <w:tcW w:type="dxa" w:w="2160"/>
          </w:tcPr>
          <w:p>
            <w:pPr>
              <w:spacing w:after="20"/>
              <w:jc w:val="right"/>
            </w:pPr>
            <w:r>
              <w:rPr>
                <w:color w:val="1C3A36"/>
                <w:sz w:val="14"/>
              </w:rPr>
              <w:t>Peer multiple — Vibra Energia (B3: VBBR3) — used only as a cross-check</w:t>
            </w:r>
          </w:p>
        </w:tc>
        <w:tc>
          <w:tcPr>
            <w:tcW w:type="dxa" w:w="3067"/>
          </w:tcPr>
          <w:p>
            <w:pPr>
              <w:spacing w:after="20"/>
              <w:jc w:val="right"/>
            </w:pPr>
            <w:r>
              <w:rPr>
                <w:color w:val="1C3A36"/>
                <w:sz w:val="14"/>
              </w:rPr>
              <w:t>StockAnalysis.com — Vibra Energia (BVMF:VBBR3) Statistics</w:t>
              <w:br/>
              <w:t>stockanalysis.com  -&gt;  quote  -&gt;  bvmf  -&gt;  …</w:t>
              <w:br/>
              <w:t>read 9 Aug 2026; as at 9 Aug 2026</w:t>
            </w:r>
          </w:p>
        </w:tc>
        <w:tc>
          <w:tcPr>
            <w:tcW w:type="dxa" w:w="4248"/>
          </w:tcPr>
          <w:p>
            <w:pPr>
              <w:spacing w:after="20"/>
              <w:jc w:val="right"/>
            </w:pPr>
            <w:r>
              <w:rPr>
                <w:color w:val="1C3A36"/>
                <w:sz w:val="14"/>
              </w:rPr>
              <w:t>Sets or tests a forward driver. used only as a cross-check — the EM fuel-distribution discount end of the range at 7.70x EV/EBITDA and a forward P/E of 6.34. Brazil-specific currency, inflation and competitive risk drive the discount;</w:t>
            </w:r>
          </w:p>
        </w:tc>
      </w:tr>
      <w:tr>
        <w:trPr>
          <w:cantSplit/>
        </w:trPr>
        <w:tc>
          <w:tcPr>
            <w:tcW w:type="dxa" w:w="605"/>
          </w:tcPr>
          <w:p>
            <w:pPr>
              <w:spacing w:after="20"/>
            </w:pPr>
            <w:r>
              <w:rPr>
                <w:color w:val="1C3A36"/>
                <w:sz w:val="14"/>
              </w:rPr>
              <w:t>I-14</w:t>
            </w:r>
          </w:p>
        </w:tc>
        <w:tc>
          <w:tcPr>
            <w:tcW w:type="dxa" w:w="2160"/>
          </w:tcPr>
          <w:p>
            <w:pPr>
              <w:spacing w:after="20"/>
              <w:jc w:val="right"/>
            </w:pPr>
            <w:r>
              <w:rPr>
                <w:color w:val="1C3A36"/>
                <w:sz w:val="14"/>
              </w:rPr>
              <w:t>Peer multiple — Ultrapar Participacoes (NYSE: UGP, ADR of UGPA3) — used only as a cross-check</w:t>
            </w:r>
          </w:p>
        </w:tc>
        <w:tc>
          <w:tcPr>
            <w:tcW w:type="dxa" w:w="3067"/>
          </w:tcPr>
          <w:p>
            <w:pPr>
              <w:spacing w:after="20"/>
              <w:jc w:val="right"/>
            </w:pPr>
            <w:r>
              <w:rPr>
                <w:color w:val="1C3A36"/>
                <w:sz w:val="14"/>
              </w:rPr>
              <w:t>StockAnalysis.com — Ultrapar Participacoes (UGP) Statistics</w:t>
              <w:br/>
              <w:t>stockanalysis.com  -&gt;  stocks  -&gt;  ugp  -&gt;  …</w:t>
              <w:br/>
              <w:t>read 9 Aug 2026; as at 9 Aug 2026</w:t>
            </w:r>
          </w:p>
        </w:tc>
        <w:tc>
          <w:tcPr>
            <w:tcW w:type="dxa" w:w="4248"/>
          </w:tcPr>
          <w:p>
            <w:pPr>
              <w:spacing w:after="20"/>
              <w:jc w:val="right"/>
            </w:pPr>
            <w:r>
              <w:rPr>
                <w:color w:val="1C3A36"/>
                <w:sz w:val="14"/>
              </w:rPr>
              <w:t>Sets or tests a forward driver. used only as a cross-check — the lowest multiple in the peer set at 6.80x EV/EBITDA, confirming the Brazilian fuel-distribution discount seen at Vibra. NOTE: this is the ADR, so the multiple is USD-denominated;</w:t>
            </w:r>
          </w:p>
        </w:tc>
      </w:tr>
      <w:tr>
        <w:trPr>
          <w:cantSplit/>
        </w:trPr>
        <w:tc>
          <w:tcPr>
            <w:tcW w:type="dxa" w:w="605"/>
          </w:tcPr>
          <w:p>
            <w:pPr>
              <w:spacing w:after="20"/>
            </w:pPr>
            <w:r>
              <w:rPr>
                <w:color w:val="1C3A36"/>
                <w:sz w:val="14"/>
              </w:rPr>
              <w:t>I-15</w:t>
            </w:r>
          </w:p>
        </w:tc>
        <w:tc>
          <w:tcPr>
            <w:tcW w:type="dxa" w:w="2160"/>
          </w:tcPr>
          <w:p>
            <w:pPr>
              <w:spacing w:after="20"/>
              <w:jc w:val="right"/>
            </w:pPr>
            <w:r>
              <w:rPr>
                <w:color w:val="1C3A36"/>
                <w:sz w:val="14"/>
              </w:rPr>
              <w:t>Peers requested but NOT LISTED — Jio-bp and Puma Energy</w:t>
            </w:r>
          </w:p>
        </w:tc>
        <w:tc>
          <w:tcPr>
            <w:tcW w:type="dxa" w:w="3067"/>
          </w:tcPr>
          <w:p>
            <w:pPr>
              <w:spacing w:after="20"/>
              <w:jc w:val="right"/>
            </w:pPr>
            <w:r>
              <w:rPr>
                <w:color w:val="1C3A36"/>
                <w:sz w:val="14"/>
              </w:rPr>
              <w:t>Wikipedia — Jio-bp; BP India press release; search of 2026 IPO pipelines</w:t>
              <w:br/>
              <w:t>en.wikipedia.org  -&gt;  wiki  -&gt;  Jio-bp</w:t>
              <w:br/>
              <w:t>read 9 Aug 2026; as at 9 Aug 2026</w:t>
            </w:r>
          </w:p>
        </w:tc>
        <w:tc>
          <w:tcPr>
            <w:tcW w:type="dxa" w:w="4248"/>
          </w:tcPr>
          <w:p>
            <w:pPr>
              <w:spacing w:after="20"/>
              <w:jc w:val="right"/>
            </w:pPr>
            <w:r>
              <w:rPr>
                <w:color w:val="1C3A36"/>
                <w:sz w:val="14"/>
              </w:rPr>
              <w:t>Resets the starting point. NOT FOUND, recorded as a negative result per the bibliography's negative-results requirement. Neither name can enter the peer table.</w:t>
            </w:r>
          </w:p>
        </w:tc>
      </w:tr>
      <w:tr>
        <w:trPr>
          <w:cantSplit/>
        </w:trPr>
        <w:tc>
          <w:tcPr>
            <w:tcW w:type="dxa" w:w="605"/>
          </w:tcPr>
          <w:p>
            <w:pPr>
              <w:spacing w:after="20"/>
            </w:pPr>
            <w:r>
              <w:rPr>
                <w:color w:val="1C3A36"/>
                <w:sz w:val="14"/>
              </w:rPr>
              <w:t>CO-01</w:t>
            </w:r>
          </w:p>
        </w:tc>
        <w:tc>
          <w:tcPr>
            <w:tcW w:type="dxa" w:w="2160"/>
          </w:tcPr>
          <w:p>
            <w:pPr>
              <w:spacing w:after="20"/>
              <w:jc w:val="right"/>
            </w:pPr>
            <w:r>
              <w:rPr>
                <w:color w:val="1C3A36"/>
                <w:sz w:val="14"/>
              </w:rPr>
              <w:t>ADNOC Distribution market data — price and capitalisation</w:t>
            </w:r>
          </w:p>
        </w:tc>
        <w:tc>
          <w:tcPr>
            <w:tcW w:type="dxa" w:w="3067"/>
          </w:tcPr>
          <w:p>
            <w:pPr>
              <w:spacing w:after="20"/>
              <w:jc w:val="right"/>
            </w:pPr>
            <w:r>
              <w:rPr>
                <w:color w:val="1C3A36"/>
                <w:sz w:val="14"/>
              </w:rPr>
              <w:t>StockAnalysis.com — Abu Dhabi National Oil Company for Distribution PJSC (ADX:ADNOCDIST) Statistics</w:t>
              <w:br/>
              <w:t>stockanalysis.com  -&gt;  quote  -&gt;  adx  -&gt;  …</w:t>
              <w:br/>
              <w:t>read 9 Aug 2026; as at 7 Aug 2026</w:t>
            </w:r>
          </w:p>
        </w:tc>
        <w:tc>
          <w:tcPr>
            <w:tcW w:type="dxa" w:w="4248"/>
          </w:tcPr>
          <w:p>
            <w:pPr>
              <w:spacing w:after="20"/>
              <w:jc w:val="right"/>
            </w:pPr>
            <w:r>
              <w:rPr>
                <w:color w:val="1C3A36"/>
                <w:sz w:val="14"/>
              </w:rPr>
              <w:t>Context and cross-check only. Market-value equity for the WACC weights (market-value equity only, never book) and the market anchor the fair-value range is compared against. NOTE the forward P/E (16.83x) is ABOVE the trailing (14.27x) — the market expects earnings to FALL, consistent with the EIA crude path (G-04) unwinding the 2026 price spike.</w:t>
            </w:r>
          </w:p>
        </w:tc>
      </w:tr>
      <w:tr>
        <w:trPr>
          <w:cantSplit/>
        </w:trPr>
        <w:tc>
          <w:tcPr>
            <w:tcW w:type="dxa" w:w="605"/>
          </w:tcPr>
          <w:p>
            <w:pPr>
              <w:spacing w:after="20"/>
            </w:pPr>
            <w:r>
              <w:rPr>
                <w:color w:val="1C3A36"/>
                <w:sz w:val="14"/>
              </w:rPr>
              <w:t>CO-02</w:t>
            </w:r>
          </w:p>
        </w:tc>
        <w:tc>
          <w:tcPr>
            <w:tcW w:type="dxa" w:w="2160"/>
          </w:tcPr>
          <w:p>
            <w:pPr>
              <w:spacing w:after="20"/>
              <w:jc w:val="right"/>
            </w:pPr>
            <w:r>
              <w:rPr>
                <w:color w:val="1C3A36"/>
                <w:sz w:val="14"/>
              </w:rPr>
              <w:t>ADNOC Distribution ownership — free float and parent stake</w:t>
            </w:r>
          </w:p>
        </w:tc>
        <w:tc>
          <w:tcPr>
            <w:tcW w:type="dxa" w:w="3067"/>
          </w:tcPr>
          <w:p>
            <w:pPr>
              <w:spacing w:after="20"/>
              <w:jc w:val="right"/>
            </w:pPr>
            <w:r>
              <w:rPr>
                <w:color w:val="1C3A36"/>
                <w:sz w:val="14"/>
              </w:rPr>
              <w:t>ADNOC Distribution Investor Relations; ADX disclosures</w:t>
              <w:br/>
              <w:t>adnocdistribution.ae  -&gt;  en  -&gt;  investor-relations</w:t>
              <w:br/>
              <w:t>read 9 Aug 2026; as at 31 Dec 2025</w:t>
            </w:r>
          </w:p>
        </w:tc>
        <w:tc>
          <w:tcPr>
            <w:tcW w:type="dxa" w:w="4248"/>
          </w:tcPr>
          <w:p>
            <w:pPr>
              <w:spacing w:after="20"/>
              <w:jc w:val="right"/>
            </w:pPr>
            <w:r>
              <w:rPr>
                <w:color w:val="1C3A36"/>
                <w:sz w:val="14"/>
              </w:rPr>
              <w:t>Supplies a build-level driver. A 23% float with a 77% state-linked parent is a governance and liquidity fact that belongs in the caveats section and bears on the discount rate discussion: minority holders are price-takers on strategy, the related-party supply agreement with the parent sets the company's margin (CO-09), and the ADNOC Distribution CEO sits on the ...</w:t>
            </w:r>
          </w:p>
        </w:tc>
      </w:tr>
      <w:tr>
        <w:trPr>
          <w:cantSplit/>
        </w:trPr>
        <w:tc>
          <w:tcPr>
            <w:tcW w:type="dxa" w:w="605"/>
          </w:tcPr>
          <w:p>
            <w:pPr>
              <w:spacing w:after="20"/>
            </w:pPr>
            <w:r>
              <w:rPr>
                <w:color w:val="1C3A36"/>
                <w:sz w:val="14"/>
              </w:rPr>
              <w:t>CO-03</w:t>
            </w:r>
          </w:p>
        </w:tc>
        <w:tc>
          <w:tcPr>
            <w:tcW w:type="dxa" w:w="2160"/>
          </w:tcPr>
          <w:p>
            <w:pPr>
              <w:spacing w:after="20"/>
              <w:jc w:val="right"/>
            </w:pPr>
            <w:r>
              <w:rPr>
                <w:color w:val="1C3A36"/>
                <w:sz w:val="14"/>
              </w:rPr>
              <w:t>ADNOC Distribution Q2 and H1 2026 results — headline (CONTEXT ONLY)</w:t>
            </w:r>
          </w:p>
        </w:tc>
        <w:tc>
          <w:tcPr>
            <w:tcW w:type="dxa" w:w="3067"/>
          </w:tcPr>
          <w:p>
            <w:pPr>
              <w:spacing w:after="20"/>
              <w:jc w:val="right"/>
            </w:pPr>
            <w:r>
              <w:rPr>
                <w:color w:val="1C3A36"/>
                <w:sz w:val="14"/>
              </w:rPr>
              <w:t>ADNOC Distribution H1-2026 results and earnings call, 05-Aug-2026 (transcript via Investing.com); The National</w:t>
              <w:br/>
              <w:t>investing.com  -&gt;  news  -&gt;  transcripts  -&gt;  …</w:t>
              <w:br/>
              <w:t>read 9 Aug 2026; as at 30 Jun 2026</w:t>
            </w:r>
          </w:p>
        </w:tc>
        <w:tc>
          <w:tcPr>
            <w:tcW w:type="dxa" w:w="4248"/>
          </w:tcPr>
          <w:p>
            <w:pPr>
              <w:spacing w:after="20"/>
              <w:jc w:val="right"/>
            </w:pPr>
            <w:r>
              <w:rPr>
                <w:color w:val="1C3A36"/>
                <w:sz w:val="14"/>
              </w:rPr>
              <w:t>Context and cross-check only. CONTEXT ONLY — these figures MUST be re-read from the company's own interim financial statements before entering the model (the source-integrity rule). The single most important disclosure here is the gap between headline EBITDA (+39%) and UNDERLYING EBITDA ex-inventory (+14%): roughly USD 183m of H1-2026 EBITDA, or 23% of the headline, ...</w:t>
            </w:r>
          </w:p>
        </w:tc>
      </w:tr>
      <w:tr>
        <w:trPr>
          <w:cantSplit/>
        </w:trPr>
        <w:tc>
          <w:tcPr>
            <w:tcW w:type="dxa" w:w="605"/>
          </w:tcPr>
          <w:p>
            <w:pPr>
              <w:spacing w:after="20"/>
            </w:pPr>
            <w:r>
              <w:rPr>
                <w:color w:val="1C3A36"/>
                <w:sz w:val="14"/>
              </w:rPr>
              <w:t>CO-04</w:t>
            </w:r>
          </w:p>
        </w:tc>
        <w:tc>
          <w:tcPr>
            <w:tcW w:type="dxa" w:w="2160"/>
          </w:tcPr>
          <w:p>
            <w:pPr>
              <w:spacing w:after="20"/>
              <w:jc w:val="right"/>
            </w:pPr>
            <w:r>
              <w:rPr>
                <w:color w:val="1C3A36"/>
                <w:sz w:val="14"/>
              </w:rPr>
              <w:t>ADNOC Distribution non-fuel retail and property (CONTEXT ONLY)</w:t>
            </w:r>
          </w:p>
        </w:tc>
        <w:tc>
          <w:tcPr>
            <w:tcW w:type="dxa" w:w="3067"/>
          </w:tcPr>
          <w:p>
            <w:pPr>
              <w:spacing w:after="20"/>
              <w:jc w:val="right"/>
            </w:pPr>
            <w:r>
              <w:rPr>
                <w:color w:val="1C3A36"/>
                <w:sz w:val="14"/>
              </w:rPr>
              <w:t>ADNOC Distribution H1-2026 earnings call, 05-Aug-2026</w:t>
              <w:br/>
              <w:t>investing.com  -&gt;  news  -&gt;  transcripts  -&gt;  …</w:t>
              <w:br/>
              <w:t>read 9 Aug 2026; as at 30 Jun 2026</w:t>
            </w:r>
          </w:p>
        </w:tc>
        <w:tc>
          <w:tcPr>
            <w:tcW w:type="dxa" w:w="4248"/>
          </w:tcPr>
          <w:p>
            <w:pPr>
              <w:spacing w:after="20"/>
              <w:jc w:val="right"/>
            </w:pPr>
            <w:r>
              <w:rPr>
                <w:color w:val="1C3A36"/>
                <w:sz w:val="14"/>
              </w:rPr>
              <w:t>Supplies a build-level driver. The non-fuel leg is the structural growth and re-rating story, and the leg least exposed to both crude prices and EV substitution. At USD 140m of gross profit against USD 786m of H1 EBITDA it is still small relative to the 70-78% non-fuel gross-profit share at US peers (G-07), so the runway is long but the near-term valuation ...</w:t>
            </w:r>
          </w:p>
        </w:tc>
      </w:tr>
      <w:tr>
        <w:trPr>
          <w:cantSplit/>
        </w:trPr>
        <w:tc>
          <w:tcPr>
            <w:tcW w:type="dxa" w:w="605"/>
          </w:tcPr>
          <w:p>
            <w:pPr>
              <w:spacing w:after="20"/>
            </w:pPr>
            <w:r>
              <w:rPr>
                <w:color w:val="1C3A36"/>
                <w:sz w:val="14"/>
              </w:rPr>
              <w:t>CO-05</w:t>
            </w:r>
          </w:p>
        </w:tc>
        <w:tc>
          <w:tcPr>
            <w:tcW w:type="dxa" w:w="2160"/>
          </w:tcPr>
          <w:p>
            <w:pPr>
              <w:spacing w:after="20"/>
              <w:jc w:val="right"/>
            </w:pPr>
            <w:r>
              <w:rPr>
                <w:color w:val="1C3A36"/>
                <w:sz w:val="14"/>
              </w:rPr>
              <w:t>ADNOC Distribution — Shell Downstream South Africa acquisition</w:t>
            </w:r>
          </w:p>
        </w:tc>
        <w:tc>
          <w:tcPr>
            <w:tcW w:type="dxa" w:w="3067"/>
          </w:tcPr>
          <w:p>
            <w:pPr>
              <w:spacing w:after="20"/>
              <w:jc w:val="right"/>
            </w:pPr>
            <w:r>
              <w:rPr>
                <w:color w:val="1C3A36"/>
                <w:sz w:val="14"/>
              </w:rPr>
              <w:t>ADNOC Distribution H1-2026 earnings call; Semafor — 'ADNOC wants more gas stations, eyes Africa and Southeast Asia'</w:t>
              <w:br/>
              <w:t>semafor.com  -&gt;  article  -&gt;  07  -&gt;  …</w:t>
              <w:br/>
              <w:t>read 9 Aug 2026; as at 7 Jul 2026</w:t>
            </w:r>
          </w:p>
        </w:tc>
        <w:tc>
          <w:tcPr>
            <w:tcW w:type="dxa" w:w="4248"/>
          </w:tcPr>
          <w:p>
            <w:pPr>
              <w:spacing w:after="20"/>
              <w:jc w:val="right"/>
            </w:pPr>
            <w:r>
              <w:rPr>
                <w:color w:val="1C3A36"/>
                <w:sz w:val="14"/>
              </w:rPr>
              <w:t>Context and cross-check only. MATERIAL and UNRESOLVED at the valuation date. A USD 1bn EV acquisition against a AED 55.7bn (USD ~15.2bn) EV, adding ~55% to the network and ~20% to volumes, closing in 2027 — i.e.</w:t>
            </w:r>
          </w:p>
        </w:tc>
      </w:tr>
      <w:tr>
        <w:trPr>
          <w:cantSplit/>
        </w:trPr>
        <w:tc>
          <w:tcPr>
            <w:tcW w:type="dxa" w:w="605"/>
          </w:tcPr>
          <w:p>
            <w:pPr>
              <w:spacing w:after="20"/>
            </w:pPr>
            <w:r>
              <w:rPr>
                <w:color w:val="1C3A36"/>
                <w:sz w:val="14"/>
              </w:rPr>
              <w:t>CO-06</w:t>
            </w:r>
          </w:p>
        </w:tc>
        <w:tc>
          <w:tcPr>
            <w:tcW w:type="dxa" w:w="2160"/>
          </w:tcPr>
          <w:p>
            <w:pPr>
              <w:spacing w:after="20"/>
              <w:jc w:val="right"/>
            </w:pPr>
            <w:r>
              <w:rPr>
                <w:color w:val="1C3A36"/>
                <w:sz w:val="14"/>
              </w:rPr>
              <w:t>ADNOC Distribution dividend policy</w:t>
            </w:r>
          </w:p>
        </w:tc>
        <w:tc>
          <w:tcPr>
            <w:tcW w:type="dxa" w:w="3067"/>
          </w:tcPr>
          <w:p>
            <w:pPr>
              <w:spacing w:after="20"/>
              <w:jc w:val="right"/>
            </w:pPr>
            <w:r>
              <w:rPr>
                <w:color w:val="1C3A36"/>
                <w:sz w:val="14"/>
              </w:rPr>
              <w:t>ADNOC Distribution — Dividends / Investor Relations; shareholder approval of the final 2025 dividend (April 2026)</w:t>
              <w:br/>
              <w:t>adnocdistribution.ae  -&gt;  en  -&gt;  investor-relations  -&gt;  …</w:t>
              <w:br/>
              <w:t>read 9 Aug 2026; as at 1 Apr 2026</w:t>
            </w:r>
          </w:p>
        </w:tc>
        <w:tc>
          <w:tcPr>
            <w:tcW w:type="dxa" w:w="4248"/>
          </w:tcPr>
          <w:p>
            <w:pPr>
              <w:spacing w:after="20"/>
              <w:jc w:val="right"/>
            </w:pPr>
            <w:r>
              <w:rPr>
                <w:color w:val="1C3A36"/>
                <w:sz w:val="14"/>
              </w:rPr>
              <w:t>Context and cross-check only. A contractual-strength, parent-endorsed policy running to 2030 — this is unusually firm for a dividend assumption and effectively fixes the payout leg of the model through the explicit forecast window. It also caps retained-earnings-funded growth: with a floor of the greater of USD 700m or 75% of net profit, the company distributes most ...</w:t>
            </w:r>
          </w:p>
        </w:tc>
      </w:tr>
      <w:tr>
        <w:trPr>
          <w:cantSplit/>
        </w:trPr>
        <w:tc>
          <w:tcPr>
            <w:tcW w:type="dxa" w:w="605"/>
          </w:tcPr>
          <w:p>
            <w:pPr>
              <w:spacing w:after="20"/>
            </w:pPr>
            <w:r>
              <w:rPr>
                <w:color w:val="1C3A36"/>
                <w:sz w:val="14"/>
              </w:rPr>
              <w:t>CO-07</w:t>
            </w:r>
          </w:p>
        </w:tc>
        <w:tc>
          <w:tcPr>
            <w:tcW w:type="dxa" w:w="2160"/>
          </w:tcPr>
          <w:p>
            <w:pPr>
              <w:spacing w:after="20"/>
              <w:jc w:val="right"/>
            </w:pPr>
            <w:r>
              <w:rPr>
                <w:color w:val="1C3A36"/>
                <w:sz w:val="14"/>
              </w:rPr>
              <w:t>ADNOC Distribution dividends declared 2025-2026</w:t>
            </w:r>
          </w:p>
        </w:tc>
        <w:tc>
          <w:tcPr>
            <w:tcW w:type="dxa" w:w="3067"/>
          </w:tcPr>
          <w:p>
            <w:pPr>
              <w:spacing w:after="20"/>
              <w:jc w:val="right"/>
            </w:pPr>
            <w:r>
              <w:rPr>
                <w:color w:val="1C3A36"/>
                <w:sz w:val="14"/>
              </w:rPr>
              <w:t>ADNOC Distribution — H1-2026 results announcement; shareholder approval of final 2025 dividend</w:t>
              <w:br/>
              <w:t>adnocdistribution.ae  -&gt;  en  -&gt;  media-folder  -&gt;  …</w:t>
              <w:br/>
              <w:t>read 9 Aug 2026; as at 5 Aug 2026</w:t>
            </w:r>
          </w:p>
        </w:tc>
        <w:tc>
          <w:tcPr>
            <w:tcW w:type="dxa" w:w="4248"/>
          </w:tcPr>
          <w:p>
            <w:pPr>
              <w:spacing w:after="20"/>
              <w:jc w:val="right"/>
            </w:pPr>
            <w:r>
              <w:rPr>
                <w:color w:val="1C3A36"/>
                <w:sz w:val="14"/>
              </w:rPr>
              <w:t>Supplies a build-level driver. Confirms the policy is being executed at the USD 700m floor run-rate (4 x 5.14 fils = 20.56 fils = ~USD 700m), NOT at 75% of the elevated 2026 profit. That is informative: despite record H1 profit driven by inventory gains, the Board is paying the floor, implicitly treating the 2026 profit spike as non-recurring.</w:t>
            </w:r>
          </w:p>
        </w:tc>
      </w:tr>
      <w:tr>
        <w:trPr>
          <w:cantSplit/>
        </w:trPr>
        <w:tc>
          <w:tcPr>
            <w:tcW w:type="dxa" w:w="605"/>
          </w:tcPr>
          <w:p>
            <w:pPr>
              <w:spacing w:after="20"/>
            </w:pPr>
            <w:r>
              <w:rPr>
                <w:color w:val="1C3A36"/>
                <w:sz w:val="14"/>
              </w:rPr>
              <w:t>CO-08</w:t>
            </w:r>
          </w:p>
        </w:tc>
        <w:tc>
          <w:tcPr>
            <w:tcW w:type="dxa" w:w="2160"/>
          </w:tcPr>
          <w:p>
            <w:pPr>
              <w:spacing w:after="20"/>
              <w:jc w:val="right"/>
            </w:pPr>
            <w:r>
              <w:rPr>
                <w:color w:val="1C3A36"/>
                <w:sz w:val="14"/>
              </w:rPr>
              <w:t>ADNOC supply agreement — the 45 fils/litre minimum margin backstop</w:t>
            </w:r>
          </w:p>
        </w:tc>
        <w:tc>
          <w:tcPr>
            <w:tcW w:type="dxa" w:w="3067"/>
          </w:tcPr>
          <w:p>
            <w:pPr>
              <w:spacing w:after="20"/>
              <w:jc w:val="right"/>
            </w:pPr>
            <w:r>
              <w:rPr>
                <w:color w:val="1C3A36"/>
                <w:sz w:val="14"/>
              </w:rPr>
              <w:t>ADNOC Distribution H1-2026 earnings call, 05-Aug-2026; ADX filing on the ADNOC supply agreement</w:t>
              <w:br/>
              <w:t>investing.com  -&gt;  news  -&gt;  transcripts  -&gt;  …</w:t>
              <w:br/>
              <w:t>read 9 Aug 2026; as at 5 Aug 2026</w:t>
            </w:r>
          </w:p>
        </w:tc>
        <w:tc>
          <w:tcPr>
            <w:tcW w:type="dxa" w:w="4248"/>
          </w:tcPr>
          <w:p>
            <w:pPr>
              <w:spacing w:after="20"/>
              <w:jc w:val="right"/>
            </w:pPr>
            <w:r>
              <w:rPr>
                <w:color w:val="1C3A36"/>
                <w:sz w:val="14"/>
              </w:rPr>
              <w:t>Context and cross-check only. THE most important structural feature of this business and the core of the valuation case. It converts a commodity-exposed retailer into something closer to a regulated utility with an option on price: a floor of ~45 fils/litre with unlimited upside.</w:t>
            </w:r>
          </w:p>
        </w:tc>
      </w:tr>
      <w:tr>
        <w:trPr>
          <w:cantSplit/>
        </w:trPr>
        <w:tc>
          <w:tcPr>
            <w:tcW w:type="dxa" w:w="605"/>
          </w:tcPr>
          <w:p>
            <w:pPr>
              <w:spacing w:after="20"/>
            </w:pPr>
            <w:r>
              <w:rPr>
                <w:color w:val="1C3A36"/>
                <w:sz w:val="14"/>
              </w:rPr>
              <w:t>CO-09</w:t>
            </w:r>
          </w:p>
        </w:tc>
        <w:tc>
          <w:tcPr>
            <w:tcW w:type="dxa" w:w="2160"/>
          </w:tcPr>
          <w:p>
            <w:pPr>
              <w:spacing w:after="20"/>
              <w:jc w:val="right"/>
            </w:pPr>
            <w:r>
              <w:rPr>
                <w:color w:val="1C3A36"/>
                <w:sz w:val="14"/>
              </w:rPr>
              <w:t>ADNOC Distribution guidance — capex, network and 2028-2030 targets</w:t>
            </w:r>
          </w:p>
        </w:tc>
        <w:tc>
          <w:tcPr>
            <w:tcW w:type="dxa" w:w="3067"/>
          </w:tcPr>
          <w:p>
            <w:pPr>
              <w:spacing w:after="20"/>
              <w:jc w:val="right"/>
            </w:pPr>
            <w:r>
              <w:rPr>
                <w:color w:val="1C3A36"/>
                <w:sz w:val="14"/>
              </w:rPr>
              <w:t>ADNOC Distribution H1-2026 earnings call and strategy guidance; Semafor</w:t>
              <w:br/>
              <w:t>investing.com  -&gt;  news  -&gt;  transcripts  -&gt;  …</w:t>
              <w:br/>
              <w:t>read 9 Aug 2026; as at 5 Aug 2026</w:t>
            </w:r>
          </w:p>
        </w:tc>
        <w:tc>
          <w:tcPr>
            <w:tcW w:type="dxa" w:w="4248"/>
          </w:tcPr>
          <w:p>
            <w:pPr>
              <w:spacing w:after="20"/>
              <w:jc w:val="right"/>
            </w:pPr>
            <w:r>
              <w:rPr>
                <w:color w:val="1C3A36"/>
                <w:sz w:val="14"/>
              </w:rPr>
              <w:t>Supplies a build-level driver. Capex of USD 250-300m against operating cash flow of AED 4.72bn (~USD 1.29bn) confirms this is a low-reinvestment, high-free-cash-flow business (FCF AED 3.74bn) — consistent with the 50.7% ROIC and the ability to sustain a USD 700m dividend. Sets the capex line of the FCFF waterfall directly.</w:t>
            </w:r>
          </w:p>
        </w:tc>
      </w:tr>
      <w:tr>
        <w:trPr>
          <w:cantSplit/>
        </w:trPr>
        <w:tc>
          <w:tcPr>
            <w:tcW w:type="dxa" w:w="605"/>
          </w:tcPr>
          <w:p>
            <w:pPr>
              <w:spacing w:after="20"/>
            </w:pPr>
            <w:r>
              <w:rPr>
                <w:color w:val="1C3A36"/>
                <w:sz w:val="14"/>
              </w:rPr>
              <w:t>CO-10</w:t>
            </w:r>
          </w:p>
        </w:tc>
        <w:tc>
          <w:tcPr>
            <w:tcW w:type="dxa" w:w="2160"/>
          </w:tcPr>
          <w:p>
            <w:pPr>
              <w:spacing w:after="20"/>
              <w:jc w:val="right"/>
            </w:pPr>
            <w:r>
              <w:rPr>
                <w:color w:val="1C3A36"/>
                <w:sz w:val="14"/>
              </w:rPr>
              <w:t>ADNOC Distribution debt and cost of debt evidence (cross-check)</w:t>
            </w:r>
          </w:p>
        </w:tc>
        <w:tc>
          <w:tcPr>
            <w:tcW w:type="dxa" w:w="3067"/>
          </w:tcPr>
          <w:p>
            <w:pPr>
              <w:spacing w:after="20"/>
              <w:jc w:val="right"/>
            </w:pPr>
            <w:r>
              <w:rPr>
                <w:color w:val="1C3A36"/>
                <w:sz w:val="14"/>
              </w:rPr>
              <w:t>ADNOC — 'ADNOC Successfully Completes $1.5 Billion Debut International Sukuk Issuance'; AGBI on ADNOC Distribution loan facilities</w:t>
              <w:br/>
              <w:t>adnoc.ae  -&gt;  -  -&gt;  media  -&gt;  …</w:t>
              <w:br/>
              <w:t>read 9 Aug 2026; as at 6 May 2025</w:t>
            </w:r>
          </w:p>
        </w:tc>
        <w:tc>
          <w:tcPr>
            <w:tcW w:type="dxa" w:w="4248"/>
          </w:tcPr>
          <w:p>
            <w:pPr>
              <w:spacing w:after="20"/>
              <w:jc w:val="right"/>
            </w:pPr>
            <w:r>
              <w:rPr>
                <w:color w:val="1C3A36"/>
                <w:sz w:val="14"/>
              </w:rPr>
              <w:t>Supplies a build-level driver. cross-check for the marginal cost of debt. The Kd rule requires a MARGINAL, forward-looking rate in the CASH-FLOW CURRENCY (AED), sitting ABOVE the local sovereign.</w:t>
            </w:r>
          </w:p>
        </w:tc>
      </w:tr>
      <w:tr>
        <w:trPr>
          <w:cantSplit/>
        </w:trPr>
        <w:tc>
          <w:tcPr>
            <w:tcW w:type="dxa" w:w="605"/>
          </w:tcPr>
          <w:p>
            <w:pPr>
              <w:spacing w:after="20"/>
            </w:pPr>
            <w:r>
              <w:rPr>
                <w:color w:val="1C3A36"/>
                <w:sz w:val="14"/>
              </w:rPr>
              <w:t>CO-11</w:t>
            </w:r>
          </w:p>
        </w:tc>
        <w:tc>
          <w:tcPr>
            <w:tcW w:type="dxa" w:w="2160"/>
          </w:tcPr>
          <w:p>
            <w:pPr>
              <w:spacing w:after="20"/>
              <w:jc w:val="right"/>
            </w:pPr>
            <w:r>
              <w:rPr>
                <w:color w:val="1C3A36"/>
                <w:sz w:val="14"/>
              </w:rPr>
              <w:t>Sell-side / analyst commentary — used only as a cross-check, never as a source for the model</w:t>
            </w:r>
          </w:p>
        </w:tc>
        <w:tc>
          <w:tcPr>
            <w:tcW w:type="dxa" w:w="3067"/>
          </w:tcPr>
          <w:p>
            <w:pPr>
              <w:spacing w:after="20"/>
              <w:jc w:val="right"/>
            </w:pPr>
            <w:r>
              <w:rPr>
                <w:color w:val="1C3A36"/>
                <w:sz w:val="14"/>
              </w:rPr>
              <w:t>StockAnalysis.com consensus data (aggregated sell-side)</w:t>
              <w:br/>
              <w:t>stockanalysis.com  -&gt;  quote  -&gt;  adx  -&gt;  …</w:t>
              <w:br/>
              <w:t>read 9 Aug 2026; as at 9 Aug 2026</w:t>
            </w:r>
          </w:p>
        </w:tc>
        <w:tc>
          <w:tcPr>
            <w:tcW w:type="dxa" w:w="4248"/>
          </w:tcPr>
          <w:p>
            <w:pPr>
              <w:spacing w:after="20"/>
              <w:jc w:val="right"/>
            </w:pPr>
            <w:r>
              <w:rPr>
                <w:color w:val="1C3A36"/>
                <w:sz w:val="14"/>
              </w:rPr>
              <w:t>Resets the starting point. used only as a cross-check. Recorded because the research plan called for it and because a large divergence between the study's fair-value range and consensus is itself information worth explaining.</w:t>
            </w:r>
          </w:p>
        </w:tc>
      </w:tr>
      <w:tr>
        <w:trPr>
          <w:cantSplit/>
        </w:trPr>
        <w:tc>
          <w:tcPr>
            <w:tcW w:type="dxa" w:w="605"/>
          </w:tcPr>
          <w:p>
            <w:pPr>
              <w:spacing w:after="20"/>
            </w:pPr>
            <w:r>
              <w:rPr>
                <w:color w:val="1C3A36"/>
                <w:sz w:val="14"/>
              </w:rPr>
              <w:t>C-21</w:t>
            </w:r>
          </w:p>
        </w:tc>
        <w:tc>
          <w:tcPr>
            <w:tcW w:type="dxa" w:w="2160"/>
          </w:tcPr>
          <w:p>
            <w:pPr>
              <w:spacing w:after="20"/>
              <w:jc w:val="right"/>
            </w:pPr>
            <w:r>
              <w:rPr>
                <w:color w:val="1C3A36"/>
                <w:sz w:val="14"/>
              </w:rPr>
              <w:t>FTSE ADX General Index — the published index of the subject's own exchange</w:t>
            </w:r>
          </w:p>
        </w:tc>
        <w:tc>
          <w:tcPr>
            <w:tcW w:type="dxa" w:w="3067"/>
          </w:tcPr>
          <w:p>
            <w:pPr>
              <w:spacing w:after="20"/>
              <w:jc w:val="right"/>
            </w:pPr>
            <w:r>
              <w:rPr>
                <w:color w:val="1C3A36"/>
                <w:sz w:val="14"/>
              </w:rPr>
              <w:t>FTSE ADX General Index daily history</w:t>
              <w:br/>
              <w:t>adx.ae  -&gt;  english  -&gt;  pages  -&gt;  …</w:t>
              <w:br/>
              <w:t>read 9 Aug 2026; as at 24 Jul 2026</w:t>
            </w:r>
          </w:p>
        </w:tc>
        <w:tc>
          <w:tcPr>
            <w:tcW w:type="dxa" w:w="4248"/>
          </w:tcPr>
          <w:p>
            <w:pPr>
              <w:spacing w:after="20"/>
              <w:jc w:val="right"/>
            </w:pPr>
            <w:r>
              <w:rPr>
                <w:color w:val="1C3A36"/>
                <w:sz w:val="14"/>
              </w:rPr>
              <w:t>Supplies a build-level driver. Sets the beta, and through it the cost of equity, the cost of capital and the terminal cost of capital. Replaces the equal-weight composite of exchange members the first edition used as a stand-in for the index.</w:t>
            </w:r>
          </w:p>
        </w:tc>
      </w:tr>
    </w:tbl>
    <w:p>
      <w:pPr>
        <w:spacing w:after="40"/>
      </w:pPr>
    </w:p>
    <w:p>
      <w:pPr>
        <w:spacing w:after="200" w:before="0"/>
      </w:pPr>
      <w:r>
        <w:rPr>
          <w:b w:val="0"/>
          <w:i/>
          <w:color w:val="6E7B77"/>
          <w:sz w:val="17"/>
        </w:rPr>
        <w:t>Table 3 — the 56 sources consulted outside the company's own documents, grouped by the layer they belong to: 9 global, 20 country, 15 industry and 11 about the company itself — the last of which are context and cross-check only and are never a source of a reported figure.</w:t>
      </w:r>
    </w:p>
    <w:p>
      <w:pPr>
        <w:spacing w:after="120" w:before="280"/>
      </w:pPr>
      <w:r>
        <w:rPr>
          <w:b/>
          <w:i w:val="0"/>
          <w:color w:val="1C3A36"/>
          <w:sz w:val="30"/>
        </w:rPr>
        <w:t>2. The full input record</w:t>
      </w:r>
    </w:p>
    <w:p>
      <w:pPr>
        <w:spacing w:after="120" w:before="0"/>
      </w:pPr>
      <w:r>
        <w:rPr>
          <w:b w:val="0"/>
          <w:i w:val="0"/>
          <w:color w:val="1C3A36"/>
          <w:sz w:val="21"/>
        </w:rPr>
        <w:t>Every input the valuation uses, with its value, the date that value belongs to, and the sentence that says where it came from and how it was built. There are 235 of them and all 235 are printed here. A bare numeral cannot enter the model: the build refuses to produce a valuation unless each input carries all four fields — a value, a source, a date and a layer.</w:t>
      </w:r>
    </w:p>
    <w:p>
      <w:pPr>
        <w:spacing w:after="120" w:before="0"/>
      </w:pPr>
      <w:r>
        <w:rPr>
          <w:b w:val="0"/>
          <w:i w:val="0"/>
          <w:color w:val="6E7B77"/>
          <w:sz w:val="19"/>
        </w:rPr>
        <w:t>Conventions in the value column: money figures are in dirhams, in millions, with thousands separators, unless the input name says otherwise; rates and growth figures are shown as percentages; per-share and per-litre figures are shown to four decimals; volumes are in millions of litres and station, store and transaction figures are counts. Where an input is a path rather than a single figure, the five forecast years are shown in order as a comma-separated series.</w:t>
      </w:r>
    </w:p>
    <w:p>
      <w:pPr>
        <w:spacing w:after="80" w:before="200"/>
      </w:pPr>
      <w:r>
        <w:rPr>
          <w:b/>
          <w:i w:val="0"/>
          <w:color w:val="1C3A36"/>
          <w:sz w:val="24"/>
        </w:rPr>
        <w:t>Market layer — 4 inputs</w:t>
      </w:r>
    </w:p>
    <w:p>
      <w:pPr>
        <w:spacing w:after="80" w:before="0"/>
      </w:pPr>
      <w:r>
        <w:rPr>
          <w:b w:val="0"/>
          <w:i/>
          <w:color w:val="6E7B77"/>
          <w:sz w:val="18"/>
        </w:rPr>
        <w:t>What the exchange itself observes — the share price and what is measured from its history.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440"/>
        <w:gridCol w:w="936"/>
        <w:gridCol w:w="6048"/>
      </w:tblGrid>
      <w:tr>
        <w:trPr>
          <w:cantSplit/>
        </w:trPr>
        <w:tc>
          <w:tcPr>
            <w:tcW w:type="dxa" w:w="1656"/>
            <w:shd w:val="clear" w:color="auto" w:fill="EAF0EE"/>
          </w:tcPr>
          <w:p>
            <w:pPr>
              <w:spacing w:after="20"/>
            </w:pPr>
            <w:r>
              <w:rPr>
                <w:b/>
                <w:color w:val="1C3A36"/>
                <w:sz w:val="14"/>
              </w:rPr>
              <w:t>Input</w:t>
            </w:r>
          </w:p>
        </w:tc>
        <w:tc>
          <w:tcPr>
            <w:tcW w:type="dxa" w:w="1440"/>
            <w:shd w:val="clear" w:color="auto" w:fill="EAF0EE"/>
          </w:tcPr>
          <w:p>
            <w:pPr>
              <w:spacing w:after="20"/>
            </w:pPr>
            <w:r>
              <w:rPr>
                <w:b/>
                <w:color w:val="1C3A36"/>
                <w:sz w:val="14"/>
              </w:rPr>
              <w:t>Value</w:t>
            </w:r>
          </w:p>
        </w:tc>
        <w:tc>
          <w:tcPr>
            <w:tcW w:type="dxa" w:w="936"/>
            <w:shd w:val="clear" w:color="auto" w:fill="EAF0EE"/>
          </w:tcPr>
          <w:p>
            <w:pPr>
              <w:spacing w:after="20"/>
            </w:pPr>
            <w:r>
              <w:rPr>
                <w:b/>
                <w:color w:val="1C3A36"/>
                <w:sz w:val="14"/>
              </w:rPr>
              <w:t>Date</w:t>
            </w:r>
          </w:p>
        </w:tc>
        <w:tc>
          <w:tcPr>
            <w:tcW w:type="dxa" w:w="6048"/>
            <w:shd w:val="clear" w:color="auto" w:fill="EAF0EE"/>
          </w:tcPr>
          <w:p>
            <w:pPr>
              <w:spacing w:after="20"/>
            </w:pPr>
            <w:r>
              <w:rPr>
                <w:b/>
                <w:color w:val="1C3A36"/>
                <w:sz w:val="14"/>
              </w:rPr>
              <w:t>Source, and how the figure was built</w:t>
            </w:r>
          </w:p>
        </w:tc>
      </w:tr>
      <w:tr>
        <w:trPr>
          <w:cantSplit/>
        </w:trPr>
        <w:tc>
          <w:tcPr>
            <w:tcW w:type="dxa" w:w="1656"/>
          </w:tcPr>
          <w:p>
            <w:pPr>
              <w:spacing w:after="20"/>
            </w:pPr>
            <w:r>
              <w:rPr>
                <w:color w:val="1C3A36"/>
                <w:sz w:val="14"/>
              </w:rPr>
              <w:t>beta</w:t>
            </w:r>
          </w:p>
        </w:tc>
        <w:tc>
          <w:tcPr>
            <w:tcW w:type="dxa" w:w="1440"/>
          </w:tcPr>
          <w:p>
            <w:pPr>
              <w:spacing w:after="20"/>
            </w:pPr>
            <w:r>
              <w:rPr>
                <w:color w:val="1C3A36"/>
                <w:sz w:val="14"/>
              </w:rPr>
              <w:t>0.649</w:t>
            </w:r>
          </w:p>
        </w:tc>
        <w:tc>
          <w:tcPr>
            <w:tcW w:type="dxa" w:w="936"/>
          </w:tcPr>
          <w:p>
            <w:pPr>
              <w:spacing w:after="20"/>
            </w:pPr>
            <w:r>
              <w:rPr>
                <w:color w:val="1C3A36"/>
                <w:sz w:val="14"/>
              </w:rPr>
              <w:t>24 Jul 2026</w:t>
            </w:r>
          </w:p>
        </w:tc>
        <w:tc>
          <w:tcPr>
            <w:tcW w:type="dxa" w:w="6048"/>
          </w:tcPr>
          <w:p>
            <w:pPr>
              <w:spacing w:after="20"/>
            </w:pPr>
            <w:r>
              <w:rPr>
                <w:color w:val="1C3A36"/>
                <w:sz w:val="14"/>
              </w:rPr>
              <w:t>Five-year weekly regression of the company's own returns against the FTSE ADX General Index, the published index of its own exchange; 257 weekly observations to 24-Jul-2026, R-squared 0.179, standard error 0.087, 90% confidence interval 0.51 to 0.79. Supersedes the 0.509 carried by the first edition, which regressed against an equal-weight composite of the exchange's listed names because no published index series was held at the time</w:t>
            </w:r>
          </w:p>
        </w:tc>
      </w:tr>
      <w:tr>
        <w:trPr>
          <w:cantSplit/>
        </w:trPr>
        <w:tc>
          <w:tcPr>
            <w:tcW w:type="dxa" w:w="1656"/>
          </w:tcPr>
          <w:p>
            <w:pPr>
              <w:spacing w:after="20"/>
            </w:pPr>
            <w:r>
              <w:rPr>
                <w:color w:val="1C3A36"/>
                <w:sz w:val="14"/>
              </w:rPr>
              <w:t>beta drift frac</w:t>
            </w:r>
          </w:p>
        </w:tc>
        <w:tc>
          <w:tcPr>
            <w:tcW w:type="dxa" w:w="1440"/>
          </w:tcPr>
          <w:p>
            <w:pPr>
              <w:spacing w:after="20"/>
            </w:pPr>
            <w:r>
              <w:rPr>
                <w:color w:val="1C3A36"/>
                <w:sz w:val="14"/>
              </w:rPr>
              <w:t>0.389</w:t>
            </w:r>
          </w:p>
        </w:tc>
        <w:tc>
          <w:tcPr>
            <w:tcW w:type="dxa" w:w="936"/>
          </w:tcPr>
          <w:p>
            <w:pPr>
              <w:spacing w:after="20"/>
            </w:pPr>
            <w:r>
              <w:rPr>
                <w:color w:val="1C3A36"/>
                <w:sz w:val="14"/>
              </w:rPr>
              <w:t>5 Aug 2026</w:t>
            </w:r>
          </w:p>
        </w:tc>
        <w:tc>
          <w:tcPr>
            <w:tcW w:type="dxa" w:w="6048"/>
          </w:tcPr>
          <w:p>
            <w:pPr>
              <w:spacing w:after="20"/>
            </w:pPr>
            <w:r>
              <w:rPr>
                <w:color w:val="1C3A36"/>
                <w:sz w:val="14"/>
              </w:rPr>
              <w:t>Fraction of the distance from the measured beta to the market beta of one that the terminal beta is allowed to travel, as transition risk in the business rises and the regulated margin becomes a smaller share of a more diversified earnings base. Stated as a fraction so the terminal beta is DERIVED from the measured one rather than asserted alongside it: re-measure the beta and the terminal beta follows</w:t>
            </w:r>
          </w:p>
        </w:tc>
      </w:tr>
      <w:tr>
        <w:trPr>
          <w:cantSplit/>
        </w:trPr>
        <w:tc>
          <w:tcPr>
            <w:tcW w:type="dxa" w:w="1656"/>
          </w:tcPr>
          <w:p>
            <w:pPr>
              <w:spacing w:after="20"/>
            </w:pPr>
            <w:r>
              <w:rPr>
                <w:color w:val="1C3A36"/>
                <w:sz w:val="14"/>
              </w:rPr>
              <w:t>spot</w:t>
            </w:r>
          </w:p>
        </w:tc>
        <w:tc>
          <w:tcPr>
            <w:tcW w:type="dxa" w:w="1440"/>
          </w:tcPr>
          <w:p>
            <w:pPr>
              <w:spacing w:after="20"/>
            </w:pPr>
            <w:r>
              <w:rPr>
                <w:color w:val="1C3A36"/>
                <w:sz w:val="14"/>
              </w:rPr>
              <w:t>4.0200</w:t>
            </w:r>
          </w:p>
        </w:tc>
        <w:tc>
          <w:tcPr>
            <w:tcW w:type="dxa" w:w="936"/>
          </w:tcPr>
          <w:p>
            <w:pPr>
              <w:spacing w:after="20"/>
            </w:pPr>
            <w:r>
              <w:rPr>
                <w:color w:val="1C3A36"/>
                <w:sz w:val="14"/>
              </w:rPr>
              <w:t>3 Sep 2026</w:t>
            </w:r>
          </w:p>
        </w:tc>
        <w:tc>
          <w:tcPr>
            <w:tcW w:type="dxa" w:w="6048"/>
          </w:tcPr>
          <w:p>
            <w:pPr>
              <w:spacing w:after="20"/>
            </w:pPr>
            <w:r>
              <w:rPr>
                <w:color w:val="1C3A36"/>
                <w:sz w:val="14"/>
              </w:rPr>
              <w:t>Daily price history for the ADX listing supplied for this study, cleaned through the study's own data screen; last close 3 September 2026, the latest price supplied to this repository (SUPPLIED_03-09-2026.json). Superseded: AED 4.07 of 7 August 2026, on which every edition before this one was struck</w:t>
            </w:r>
          </w:p>
        </w:tc>
      </w:tr>
      <w:tr>
        <w:trPr>
          <w:cantSplit/>
        </w:trPr>
        <w:tc>
          <w:tcPr>
            <w:tcW w:type="dxa" w:w="1656"/>
          </w:tcPr>
          <w:p>
            <w:pPr>
              <w:spacing w:after="20"/>
            </w:pPr>
            <w:r>
              <w:rPr>
                <w:color w:val="1C3A36"/>
                <w:sz w:val="14"/>
              </w:rPr>
              <w:t>wd terminal</w:t>
            </w:r>
          </w:p>
        </w:tc>
        <w:tc>
          <w:tcPr>
            <w:tcW w:type="dxa" w:w="1440"/>
          </w:tcPr>
          <w:p>
            <w:pPr>
              <w:spacing w:after="20"/>
            </w:pPr>
            <w:r>
              <w:rPr>
                <w:color w:val="1C3A36"/>
                <w:sz w:val="14"/>
              </w:rPr>
              <w:t>10.00%</w:t>
            </w:r>
          </w:p>
        </w:tc>
        <w:tc>
          <w:tcPr>
            <w:tcW w:type="dxa" w:w="936"/>
          </w:tcPr>
          <w:p>
            <w:pPr>
              <w:spacing w:after="20"/>
            </w:pPr>
            <w:r>
              <w:rPr>
                <w:color w:val="1C3A36"/>
                <w:sz w:val="14"/>
              </w:rPr>
              <w:t>5 Aug 2026</w:t>
            </w:r>
          </w:p>
        </w:tc>
        <w:tc>
          <w:tcPr>
            <w:tcW w:type="dxa" w:w="6048"/>
          </w:tcPr>
          <w:p>
            <w:pPr>
              <w:spacing w:after="20"/>
            </w:pPr>
            <w:r>
              <w:rPr>
                <w:color w:val="1C3A36"/>
                <w:sz w:val="14"/>
              </w:rPr>
              <w:t>Terminal debt weight, above today's 5.5% because the current weight reflects an unusually high equity market value against a small and stable borrowing book</w:t>
            </w:r>
          </w:p>
        </w:tc>
      </w:tr>
    </w:tbl>
    <w:p>
      <w:pPr>
        <w:spacing w:after="40"/>
      </w:pPr>
    </w:p>
    <w:p>
      <w:pPr>
        <w:spacing w:after="200" w:before="0"/>
      </w:pPr>
      <w:r>
        <w:rPr>
          <w:b w:val="0"/>
          <w:i/>
          <w:color w:val="6E7B77"/>
          <w:sz w:val="17"/>
        </w:rPr>
        <w:t>Table 4 — every market-layer input, in alphabetical order.</w:t>
      </w:r>
    </w:p>
    <w:p>
      <w:pPr>
        <w:spacing w:after="80" w:before="200"/>
      </w:pPr>
      <w:r>
        <w:rPr>
          <w:b/>
          <w:i w:val="0"/>
          <w:color w:val="1C3A36"/>
          <w:sz w:val="24"/>
        </w:rPr>
        <w:t>Company layer — 217 inputs</w:t>
      </w:r>
    </w:p>
    <w:p>
      <w:pPr>
        <w:spacing w:after="80" w:before="0"/>
      </w:pPr>
      <w:r>
        <w:rPr>
          <w:b w:val="0"/>
          <w:i/>
          <w:color w:val="6E7B77"/>
          <w:sz w:val="18"/>
        </w:rPr>
        <w:t>The company's own issued documents. Every historical figure in the model sits in this layer.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440"/>
        <w:gridCol w:w="936"/>
        <w:gridCol w:w="6048"/>
      </w:tblGrid>
      <w:tr>
        <w:trPr>
          <w:cantSplit/>
        </w:trPr>
        <w:tc>
          <w:tcPr>
            <w:tcW w:type="dxa" w:w="1656"/>
            <w:shd w:val="clear" w:color="auto" w:fill="EAF0EE"/>
          </w:tcPr>
          <w:p>
            <w:pPr>
              <w:spacing w:after="20"/>
            </w:pPr>
            <w:r>
              <w:rPr>
                <w:b/>
                <w:color w:val="1C3A36"/>
                <w:sz w:val="14"/>
              </w:rPr>
              <w:t>Input</w:t>
            </w:r>
          </w:p>
        </w:tc>
        <w:tc>
          <w:tcPr>
            <w:tcW w:type="dxa" w:w="1440"/>
            <w:shd w:val="clear" w:color="auto" w:fill="EAF0EE"/>
          </w:tcPr>
          <w:p>
            <w:pPr>
              <w:spacing w:after="20"/>
            </w:pPr>
            <w:r>
              <w:rPr>
                <w:b/>
                <w:color w:val="1C3A36"/>
                <w:sz w:val="14"/>
              </w:rPr>
              <w:t>Value</w:t>
            </w:r>
          </w:p>
        </w:tc>
        <w:tc>
          <w:tcPr>
            <w:tcW w:type="dxa" w:w="936"/>
            <w:shd w:val="clear" w:color="auto" w:fill="EAF0EE"/>
          </w:tcPr>
          <w:p>
            <w:pPr>
              <w:spacing w:after="20"/>
            </w:pPr>
            <w:r>
              <w:rPr>
                <w:b/>
                <w:color w:val="1C3A36"/>
                <w:sz w:val="14"/>
              </w:rPr>
              <w:t>Date</w:t>
            </w:r>
          </w:p>
        </w:tc>
        <w:tc>
          <w:tcPr>
            <w:tcW w:type="dxa" w:w="6048"/>
            <w:shd w:val="clear" w:color="auto" w:fill="EAF0EE"/>
          </w:tcPr>
          <w:p>
            <w:pPr>
              <w:spacing w:after="20"/>
            </w:pPr>
            <w:r>
              <w:rPr>
                <w:b/>
                <w:color w:val="1C3A36"/>
                <w:sz w:val="14"/>
              </w:rPr>
              <w:t>Source, and how the figure was built</w:t>
            </w:r>
          </w:p>
        </w:tc>
      </w:tr>
      <w:tr>
        <w:trPr>
          <w:cantSplit/>
        </w:trPr>
        <w:tc>
          <w:tcPr>
            <w:tcW w:type="dxa" w:w="1656"/>
          </w:tcPr>
          <w:p>
            <w:pPr>
              <w:spacing w:after="20"/>
            </w:pPr>
            <w:r>
              <w:rPr>
                <w:color w:val="1C3A36"/>
                <w:sz w:val="14"/>
              </w:rPr>
              <w:t>amort fy23</w:t>
            </w:r>
          </w:p>
        </w:tc>
        <w:tc>
          <w:tcPr>
            <w:tcW w:type="dxa" w:w="1440"/>
          </w:tcPr>
          <w:p>
            <w:pPr>
              <w:spacing w:after="20"/>
            </w:pPr>
            <w:r>
              <w:rPr>
                <w:color w:val="1C3A36"/>
                <w:sz w:val="14"/>
              </w:rPr>
              <w:t>43.046</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cash-flow statement, FY2023 comparative column</w:t>
            </w:r>
          </w:p>
        </w:tc>
      </w:tr>
      <w:tr>
        <w:trPr>
          <w:cantSplit/>
        </w:trPr>
        <w:tc>
          <w:tcPr>
            <w:tcW w:type="dxa" w:w="1656"/>
          </w:tcPr>
          <w:p>
            <w:pPr>
              <w:spacing w:after="20"/>
            </w:pPr>
            <w:r>
              <w:rPr>
                <w:color w:val="1C3A36"/>
                <w:sz w:val="14"/>
              </w:rPr>
              <w:t>amort fy24</w:t>
            </w:r>
          </w:p>
        </w:tc>
        <w:tc>
          <w:tcPr>
            <w:tcW w:type="dxa" w:w="1440"/>
          </w:tcPr>
          <w:p>
            <w:pPr>
              <w:spacing w:after="20"/>
            </w:pPr>
            <w:r>
              <w:rPr>
                <w:color w:val="1C3A36"/>
                <w:sz w:val="14"/>
              </w:rPr>
              <w:t>31.952</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cash-flow statement</w:t>
            </w:r>
          </w:p>
        </w:tc>
      </w:tr>
      <w:tr>
        <w:trPr>
          <w:cantSplit/>
        </w:trPr>
        <w:tc>
          <w:tcPr>
            <w:tcW w:type="dxa" w:w="1656"/>
          </w:tcPr>
          <w:p>
            <w:pPr>
              <w:spacing w:after="20"/>
            </w:pPr>
            <w:r>
              <w:rPr>
                <w:color w:val="1C3A36"/>
                <w:sz w:val="14"/>
              </w:rPr>
              <w:t>amort fy25</w:t>
            </w:r>
          </w:p>
        </w:tc>
        <w:tc>
          <w:tcPr>
            <w:tcW w:type="dxa" w:w="1440"/>
          </w:tcPr>
          <w:p>
            <w:pPr>
              <w:spacing w:after="20"/>
            </w:pPr>
            <w:r>
              <w:rPr>
                <w:color w:val="1C3A36"/>
                <w:sz w:val="14"/>
              </w:rPr>
              <w:t>30.724</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cash-flow statement</w:t>
            </w:r>
          </w:p>
        </w:tc>
      </w:tr>
      <w:tr>
        <w:trPr>
          <w:cantSplit/>
        </w:trPr>
        <w:tc>
          <w:tcPr>
            <w:tcW w:type="dxa" w:w="1656"/>
          </w:tcPr>
          <w:p>
            <w:pPr>
              <w:spacing w:after="20"/>
            </w:pPr>
            <w:r>
              <w:rPr>
                <w:color w:val="1C3A36"/>
                <w:sz w:val="14"/>
              </w:rPr>
              <w:t>basket g</w:t>
            </w:r>
          </w:p>
        </w:tc>
        <w:tc>
          <w:tcPr>
            <w:tcW w:type="dxa" w:w="1440"/>
          </w:tcPr>
          <w:p>
            <w:pPr>
              <w:spacing w:after="20"/>
            </w:pPr>
            <w:r>
              <w:rPr>
                <w:color w:val="1C3A36"/>
                <w:sz w:val="14"/>
              </w:rPr>
              <w:t>0.015, 0.035, 0.030, 0.030, 0.030</w:t>
            </w:r>
          </w:p>
        </w:tc>
        <w:tc>
          <w:tcPr>
            <w:tcW w:type="dxa" w:w="936"/>
          </w:tcPr>
          <w:p>
            <w:pPr>
              <w:spacing w:after="20"/>
            </w:pPr>
            <w:r>
              <w:rPr>
                <w:color w:val="1C3A36"/>
                <w:sz w:val="14"/>
              </w:rPr>
              <w:t>30 Jun 2026</w:t>
            </w:r>
          </w:p>
        </w:tc>
        <w:tc>
          <w:tcPr>
            <w:tcW w:type="dxa" w:w="6048"/>
          </w:tcPr>
          <w:p>
            <w:pPr>
              <w:spacing w:after="20"/>
            </w:pPr>
            <w:r>
              <w:rPr>
                <w:color w:val="1C3A36"/>
                <w:sz w:val="14"/>
              </w:rPr>
              <w:t>Growth in the average non-fuel basket, on the domestic price escalator plus the stated shift toward higher-margin food service</w:t>
            </w:r>
          </w:p>
        </w:tc>
      </w:tr>
      <w:tr>
        <w:trPr>
          <w:cantSplit/>
        </w:trPr>
        <w:tc>
          <w:tcPr>
            <w:tcW w:type="dxa" w:w="1656"/>
          </w:tcPr>
          <w:p>
            <w:pPr>
              <w:spacing w:after="20"/>
            </w:pPr>
            <w:r>
              <w:rPr>
                <w:color w:val="1C3A36"/>
                <w:sz w:val="14"/>
              </w:rPr>
              <w:t>borr fy23</w:t>
            </w:r>
          </w:p>
        </w:tc>
        <w:tc>
          <w:tcPr>
            <w:tcW w:type="dxa" w:w="1440"/>
          </w:tcPr>
          <w:p>
            <w:pPr>
              <w:spacing w:after="20"/>
            </w:pPr>
            <w:r>
              <w:rPr>
                <w:color w:val="1C3A36"/>
                <w:sz w:val="14"/>
              </w:rPr>
              <w:t>5,492.280</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borrowings: term loan non-current 5,492.280, no short term borrowing</w:t>
            </w:r>
          </w:p>
        </w:tc>
      </w:tr>
      <w:tr>
        <w:trPr>
          <w:cantSplit/>
        </w:trPr>
        <w:tc>
          <w:tcPr>
            <w:tcW w:type="dxa" w:w="1656"/>
          </w:tcPr>
          <w:p>
            <w:pPr>
              <w:spacing w:after="20"/>
            </w:pPr>
            <w:r>
              <w:rPr>
                <w:color w:val="1C3A36"/>
                <w:sz w:val="14"/>
              </w:rPr>
              <w:t>borr fy24</w:t>
            </w:r>
          </w:p>
        </w:tc>
        <w:tc>
          <w:tcPr>
            <w:tcW w:type="dxa" w:w="1440"/>
          </w:tcPr>
          <w:p>
            <w:pPr>
              <w:spacing w:after="20"/>
            </w:pPr>
            <w:r>
              <w:rPr>
                <w:color w:val="1C3A36"/>
                <w:sz w:val="14"/>
              </w:rPr>
              <w:t>5,590.644</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borrowings: term loan non-current 5,494.859 plus short term borrowings 95.785</w:t>
            </w:r>
          </w:p>
        </w:tc>
      </w:tr>
      <w:tr>
        <w:trPr>
          <w:cantSplit/>
        </w:trPr>
        <w:tc>
          <w:tcPr>
            <w:tcW w:type="dxa" w:w="1656"/>
          </w:tcPr>
          <w:p>
            <w:pPr>
              <w:spacing w:after="20"/>
            </w:pPr>
            <w:r>
              <w:rPr>
                <w:color w:val="1C3A36"/>
                <w:sz w:val="14"/>
              </w:rPr>
              <w:t>borr fy25</w:t>
            </w:r>
          </w:p>
        </w:tc>
        <w:tc>
          <w:tcPr>
            <w:tcW w:type="dxa" w:w="1440"/>
          </w:tcPr>
          <w:p>
            <w:pPr>
              <w:spacing w:after="20"/>
            </w:pPr>
            <w:r>
              <w:rPr>
                <w:color w:val="1C3A36"/>
                <w:sz w:val="14"/>
              </w:rPr>
              <w:t>5,545.975</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borrowings note: term loan non-current 5,499.591 plus short term borrowings 46.384</w:t>
            </w:r>
          </w:p>
        </w:tc>
      </w:tr>
      <w:tr>
        <w:trPr>
          <w:cantSplit/>
        </w:trPr>
        <w:tc>
          <w:tcPr>
            <w:tcW w:type="dxa" w:w="1656"/>
          </w:tcPr>
          <w:p>
            <w:pPr>
              <w:spacing w:after="20"/>
            </w:pPr>
            <w:r>
              <w:rPr>
                <w:color w:val="1C3A36"/>
                <w:sz w:val="14"/>
              </w:rPr>
              <w:t>capex adv fy23</w:t>
            </w:r>
          </w:p>
        </w:tc>
        <w:tc>
          <w:tcPr>
            <w:tcW w:type="dxa" w:w="1440"/>
          </w:tcPr>
          <w:p>
            <w:pPr>
              <w:spacing w:after="20"/>
            </w:pPr>
            <w:r>
              <w:rPr>
                <w:color w:val="1C3A36"/>
                <w:sz w:val="14"/>
              </w:rPr>
              <w:t>31.951</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payments for advances to contractors, FY2023 comparative</w:t>
            </w:r>
          </w:p>
        </w:tc>
      </w:tr>
      <w:tr>
        <w:trPr>
          <w:cantSplit/>
        </w:trPr>
        <w:tc>
          <w:tcPr>
            <w:tcW w:type="dxa" w:w="1656"/>
          </w:tcPr>
          <w:p>
            <w:pPr>
              <w:spacing w:after="20"/>
            </w:pPr>
            <w:r>
              <w:rPr>
                <w:color w:val="1C3A36"/>
                <w:sz w:val="14"/>
              </w:rPr>
              <w:t>capex adv fy24</w:t>
            </w:r>
          </w:p>
        </w:tc>
        <w:tc>
          <w:tcPr>
            <w:tcW w:type="dxa" w:w="1440"/>
          </w:tcPr>
          <w:p>
            <w:pPr>
              <w:spacing w:after="20"/>
            </w:pPr>
            <w:r>
              <w:rPr>
                <w:color w:val="1C3A36"/>
                <w:sz w:val="14"/>
              </w:rPr>
              <w:t>62.403</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payments for advances to contractors</w:t>
            </w:r>
          </w:p>
        </w:tc>
      </w:tr>
      <w:tr>
        <w:trPr>
          <w:cantSplit/>
        </w:trPr>
        <w:tc>
          <w:tcPr>
            <w:tcW w:type="dxa" w:w="1656"/>
          </w:tcPr>
          <w:p>
            <w:pPr>
              <w:spacing w:after="20"/>
            </w:pPr>
            <w:r>
              <w:rPr>
                <w:color w:val="1C3A36"/>
                <w:sz w:val="14"/>
              </w:rPr>
              <w:t>capex adv fy25</w:t>
            </w:r>
          </w:p>
        </w:tc>
        <w:tc>
          <w:tcPr>
            <w:tcW w:type="dxa" w:w="1440"/>
          </w:tcPr>
          <w:p>
            <w:pPr>
              <w:spacing w:after="20"/>
            </w:pPr>
            <w:r>
              <w:rPr>
                <w:color w:val="1C3A36"/>
                <w:sz w:val="14"/>
              </w:rPr>
              <w:t>26.647</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payments for advances to contractors</w:t>
            </w:r>
          </w:p>
        </w:tc>
      </w:tr>
      <w:tr>
        <w:trPr>
          <w:cantSplit/>
        </w:trPr>
        <w:tc>
          <w:tcPr>
            <w:tcW w:type="dxa" w:w="1656"/>
          </w:tcPr>
          <w:p>
            <w:pPr>
              <w:spacing w:after="20"/>
            </w:pPr>
            <w:r>
              <w:rPr>
                <w:color w:val="1C3A36"/>
                <w:sz w:val="14"/>
              </w:rPr>
              <w:t>capex fwd</w:t>
            </w:r>
          </w:p>
        </w:tc>
        <w:tc>
          <w:tcPr>
            <w:tcW w:type="dxa" w:w="1440"/>
          </w:tcPr>
          <w:p>
            <w:pPr>
              <w:spacing w:after="20"/>
            </w:pPr>
            <w:r>
              <w:rPr>
                <w:color w:val="1C3A36"/>
                <w:sz w:val="14"/>
              </w:rPr>
              <w:t>1,010, 1,060, 1,100, 1,140, 1,180</w:t>
            </w:r>
          </w:p>
        </w:tc>
        <w:tc>
          <w:tcPr>
            <w:tcW w:type="dxa" w:w="936"/>
          </w:tcPr>
          <w:p>
            <w:pPr>
              <w:spacing w:after="20"/>
            </w:pPr>
            <w:r>
              <w:rPr>
                <w:color w:val="1C3A36"/>
                <w:sz w:val="14"/>
              </w:rPr>
              <w:t>5 Aug 2026</w:t>
            </w:r>
          </w:p>
        </w:tc>
        <w:tc>
          <w:tcPr>
            <w:tcW w:type="dxa" w:w="6048"/>
          </w:tcPr>
          <w:p>
            <w:pPr>
              <w:spacing w:after="20"/>
            </w:pPr>
            <w:r>
              <w:rPr>
                <w:color w:val="1C3A36"/>
                <w:sz w:val="14"/>
              </w:rPr>
              <w:t>Capital expenditure. FY2026 takes the midpoint of the company's own reaffirmed guidance of US$250-300 million, which is AED 0.9-1.1 billion; FY2025 spent AED 1,051 million on an accrual basis. Later years grow with the network target of 1,150 stations by 2028 from about 1,000 at the end of 2025. Saudi expansion is capital-light because those stations are dealer-owned and company-operated</w:t>
            </w:r>
          </w:p>
        </w:tc>
      </w:tr>
      <w:tr>
        <w:trPr>
          <w:cantSplit/>
        </w:trPr>
        <w:tc>
          <w:tcPr>
            <w:tcW w:type="dxa" w:w="1656"/>
          </w:tcPr>
          <w:p>
            <w:pPr>
              <w:spacing w:after="20"/>
            </w:pPr>
            <w:r>
              <w:rPr>
                <w:color w:val="1C3A36"/>
                <w:sz w:val="14"/>
              </w:rPr>
              <w:t>capex per station</w:t>
            </w:r>
          </w:p>
        </w:tc>
        <w:tc>
          <w:tcPr>
            <w:tcW w:type="dxa" w:w="1440"/>
          </w:tcPr>
          <w:p>
            <w:pPr>
              <w:spacing w:after="20"/>
            </w:pPr>
            <w:r>
              <w:rPr>
                <w:color w:val="1C3A36"/>
                <w:sz w:val="14"/>
              </w:rPr>
              <w:t>3.592</w:t>
            </w:r>
          </w:p>
        </w:tc>
        <w:tc>
          <w:tcPr>
            <w:tcW w:type="dxa" w:w="936"/>
          </w:tcPr>
          <w:p>
            <w:pPr>
              <w:spacing w:after="20"/>
            </w:pPr>
            <w:r>
              <w:rPr>
                <w:color w:val="1C3A36"/>
                <w:sz w:val="14"/>
              </w:rPr>
              <w:t>3 Feb 2026</w:t>
            </w:r>
          </w:p>
        </w:tc>
        <w:tc>
          <w:tcPr>
            <w:tcW w:type="dxa" w:w="6048"/>
          </w:tcPr>
          <w:p>
            <w:pPr>
              <w:spacing w:after="20"/>
            </w:pPr>
            <w:r>
              <w:rPr>
                <w:color w:val="1C3A36"/>
                <w:sz w:val="14"/>
              </w:rPr>
              <w:t>Capital cost per station added, in AED million. Backed out of the company's OWN FY2026 capital-spending guidance: the guidance midpoint of 1,010 less maintenance of 792.4 on the opening base leaves 217.6 for the 60.6 stations the network plan adds, giving 3.59 per station (about USD 1.0 million). So FY2026 still reconciles to guidance while FY2027-30 follow the network plan rather than a pasted array</w:t>
            </w:r>
          </w:p>
        </w:tc>
      </w:tr>
      <w:tr>
        <w:trPr>
          <w:cantSplit/>
        </w:trPr>
        <w:tc>
          <w:tcPr>
            <w:tcW w:type="dxa" w:w="1656"/>
          </w:tcPr>
          <w:p>
            <w:pPr>
              <w:spacing w:after="20"/>
            </w:pPr>
            <w:r>
              <w:rPr>
                <w:color w:val="1C3A36"/>
                <w:sz w:val="14"/>
              </w:rPr>
              <w:t>capex ppe fy23</w:t>
            </w:r>
          </w:p>
        </w:tc>
        <w:tc>
          <w:tcPr>
            <w:tcW w:type="dxa" w:w="1440"/>
          </w:tcPr>
          <w:p>
            <w:pPr>
              <w:spacing w:after="20"/>
            </w:pPr>
            <w:r>
              <w:rPr>
                <w:color w:val="1C3A36"/>
                <w:sz w:val="14"/>
              </w:rPr>
              <w:t>1,000.290</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payments for purchases of property, plant and equipment, FY2023 comparative</w:t>
            </w:r>
          </w:p>
        </w:tc>
      </w:tr>
      <w:tr>
        <w:trPr>
          <w:cantSplit/>
        </w:trPr>
        <w:tc>
          <w:tcPr>
            <w:tcW w:type="dxa" w:w="1656"/>
          </w:tcPr>
          <w:p>
            <w:pPr>
              <w:spacing w:after="20"/>
            </w:pPr>
            <w:r>
              <w:rPr>
                <w:color w:val="1C3A36"/>
                <w:sz w:val="14"/>
              </w:rPr>
              <w:t>capex ppe fy24</w:t>
            </w:r>
          </w:p>
        </w:tc>
        <w:tc>
          <w:tcPr>
            <w:tcW w:type="dxa" w:w="1440"/>
          </w:tcPr>
          <w:p>
            <w:pPr>
              <w:spacing w:after="20"/>
            </w:pPr>
            <w:r>
              <w:rPr>
                <w:color w:val="1C3A36"/>
                <w:sz w:val="14"/>
              </w:rPr>
              <w:t>1,116.830</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payments for purchases of property, plant and equipment</w:t>
            </w:r>
          </w:p>
        </w:tc>
      </w:tr>
      <w:tr>
        <w:trPr>
          <w:cantSplit/>
        </w:trPr>
        <w:tc>
          <w:tcPr>
            <w:tcW w:type="dxa" w:w="1656"/>
          </w:tcPr>
          <w:p>
            <w:pPr>
              <w:spacing w:after="20"/>
            </w:pPr>
            <w:r>
              <w:rPr>
                <w:color w:val="1C3A36"/>
                <w:sz w:val="14"/>
              </w:rPr>
              <w:t>capex ppe fy25</w:t>
            </w:r>
          </w:p>
        </w:tc>
        <w:tc>
          <w:tcPr>
            <w:tcW w:type="dxa" w:w="1440"/>
          </w:tcPr>
          <w:p>
            <w:pPr>
              <w:spacing w:after="20"/>
            </w:pPr>
            <w:r>
              <w:rPr>
                <w:color w:val="1C3A36"/>
                <w:sz w:val="14"/>
              </w:rPr>
              <w:t>1,180.747</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payments for purchases of property, plant and equipment</w:t>
            </w:r>
          </w:p>
        </w:tc>
      </w:tr>
      <w:tr>
        <w:trPr>
          <w:cantSplit/>
        </w:trPr>
        <w:tc>
          <w:tcPr>
            <w:tcW w:type="dxa" w:w="1656"/>
          </w:tcPr>
          <w:p>
            <w:pPr>
              <w:spacing w:after="20"/>
            </w:pPr>
            <w:r>
              <w:rPr>
                <w:color w:val="1C3A36"/>
                <w:sz w:val="14"/>
              </w:rPr>
              <w:t>cash fy23</w:t>
            </w:r>
          </w:p>
        </w:tc>
        <w:tc>
          <w:tcPr>
            <w:tcW w:type="dxa" w:w="1440"/>
          </w:tcPr>
          <w:p>
            <w:pPr>
              <w:spacing w:after="20"/>
            </w:pPr>
            <w:r>
              <w:rPr>
                <w:color w:val="1C3A36"/>
                <w:sz w:val="14"/>
              </w:rPr>
              <w:t>2,993.937</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cash and bank balances</w:t>
            </w:r>
          </w:p>
        </w:tc>
      </w:tr>
      <w:tr>
        <w:trPr>
          <w:cantSplit/>
        </w:trPr>
        <w:tc>
          <w:tcPr>
            <w:tcW w:type="dxa" w:w="1656"/>
          </w:tcPr>
          <w:p>
            <w:pPr>
              <w:spacing w:after="20"/>
            </w:pPr>
            <w:r>
              <w:rPr>
                <w:color w:val="1C3A36"/>
                <w:sz w:val="14"/>
              </w:rPr>
              <w:t>cash fy24</w:t>
            </w:r>
          </w:p>
        </w:tc>
        <w:tc>
          <w:tcPr>
            <w:tcW w:type="dxa" w:w="1440"/>
          </w:tcPr>
          <w:p>
            <w:pPr>
              <w:spacing w:after="20"/>
            </w:pPr>
            <w:r>
              <w:rPr>
                <w:color w:val="1C3A36"/>
                <w:sz w:val="14"/>
              </w:rPr>
              <w:t>2,734.038</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cash and bank balances</w:t>
            </w:r>
          </w:p>
        </w:tc>
      </w:tr>
      <w:tr>
        <w:trPr>
          <w:cantSplit/>
        </w:trPr>
        <w:tc>
          <w:tcPr>
            <w:tcW w:type="dxa" w:w="1656"/>
          </w:tcPr>
          <w:p>
            <w:pPr>
              <w:spacing w:after="20"/>
            </w:pPr>
            <w:r>
              <w:rPr>
                <w:color w:val="1C3A36"/>
                <w:sz w:val="14"/>
              </w:rPr>
              <w:t>cash fy25</w:t>
            </w:r>
          </w:p>
        </w:tc>
        <w:tc>
          <w:tcPr>
            <w:tcW w:type="dxa" w:w="1440"/>
          </w:tcPr>
          <w:p>
            <w:pPr>
              <w:spacing w:after="20"/>
            </w:pPr>
            <w:r>
              <w:rPr>
                <w:color w:val="1C3A36"/>
                <w:sz w:val="14"/>
              </w:rPr>
              <w:t>2,360.854</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cash and bank balances</w:t>
            </w:r>
          </w:p>
        </w:tc>
      </w:tr>
      <w:tr>
        <w:trPr>
          <w:cantSplit/>
        </w:trPr>
        <w:tc>
          <w:tcPr>
            <w:tcW w:type="dxa" w:w="1656"/>
          </w:tcPr>
          <w:p>
            <w:pPr>
              <w:spacing w:after="20"/>
            </w:pPr>
            <w:r>
              <w:rPr>
                <w:color w:val="1C3A36"/>
                <w:sz w:val="14"/>
              </w:rPr>
              <w:t>conversion g</w:t>
            </w:r>
          </w:p>
        </w:tc>
        <w:tc>
          <w:tcPr>
            <w:tcW w:type="dxa" w:w="1440"/>
          </w:tcPr>
          <w:p>
            <w:pPr>
              <w:spacing w:after="20"/>
            </w:pPr>
            <w:r>
              <w:rPr>
                <w:color w:val="1C3A36"/>
                <w:sz w:val="14"/>
              </w:rPr>
              <w:t>-0.005, -0.010, 0, 0.005, 0.005</w:t>
            </w:r>
          </w:p>
        </w:tc>
        <w:tc>
          <w:tcPr>
            <w:tcW w:type="dxa" w:w="936"/>
          </w:tcPr>
          <w:p>
            <w:pPr>
              <w:spacing w:after="20"/>
            </w:pPr>
            <w:r>
              <w:rPr>
                <w:color w:val="1C3A36"/>
                <w:sz w:val="14"/>
              </w:rPr>
              <w:t>30 Jun 2026</w:t>
            </w:r>
          </w:p>
        </w:tc>
        <w:tc>
          <w:tcPr>
            <w:tcW w:type="dxa" w:w="6048"/>
          </w:tcPr>
          <w:p>
            <w:pPr>
              <w:spacing w:after="20"/>
            </w:pPr>
            <w:r>
              <w:rPr>
                <w:color w:val="1C3A36"/>
                <w:sz w:val="14"/>
              </w:rPr>
              <w:t>Growth in the non-fuel conversion rate — the share of fuel customers who also buy inside. It FELL from 27.0% to 26.2% in the year to June 2026, which is the opposite of what the non-fuel strategy needs, and the forecast carries that deterioration before assuming it stabilises</w:t>
            </w:r>
          </w:p>
        </w:tc>
      </w:tr>
      <w:tr>
        <w:trPr>
          <w:cantSplit/>
        </w:trPr>
        <w:tc>
          <w:tcPr>
            <w:tcW w:type="dxa" w:w="1656"/>
          </w:tcPr>
          <w:p>
            <w:pPr>
              <w:spacing w:after="20"/>
            </w:pPr>
            <w:r>
              <w:rPr>
                <w:color w:val="1C3A36"/>
                <w:sz w:val="14"/>
              </w:rPr>
              <w:t>credit margin</w:t>
            </w:r>
          </w:p>
        </w:tc>
        <w:tc>
          <w:tcPr>
            <w:tcW w:type="dxa" w:w="1440"/>
          </w:tcPr>
          <w:p>
            <w:pPr>
              <w:spacing w:after="20"/>
            </w:pPr>
            <w:r>
              <w:rPr>
                <w:color w:val="1C3A36"/>
                <w:sz w:val="14"/>
              </w:rPr>
              <w:t>0.600%</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borrowings note: the term loan refinanced in October 2022 carries EIBOR plus a margin of 0.60% on the dirham portion and the Secured Overnight Financing Rate plus 0.85% on the US dollar portion</w:t>
            </w:r>
          </w:p>
        </w:tc>
      </w:tr>
      <w:tr>
        <w:trPr>
          <w:cantSplit/>
        </w:trPr>
        <w:tc>
          <w:tcPr>
            <w:tcW w:type="dxa" w:w="1656"/>
          </w:tcPr>
          <w:p>
            <w:pPr>
              <w:spacing w:after="20"/>
            </w:pPr>
            <w:r>
              <w:rPr>
                <w:color w:val="1C3A36"/>
                <w:sz w:val="14"/>
              </w:rPr>
              <w:t>credit margin usd</w:t>
            </w:r>
          </w:p>
        </w:tc>
        <w:tc>
          <w:tcPr>
            <w:tcW w:type="dxa" w:w="1440"/>
          </w:tcPr>
          <w:p>
            <w:pPr>
              <w:spacing w:after="20"/>
            </w:pPr>
            <w:r>
              <w:rPr>
                <w:color w:val="1C3A36"/>
                <w:sz w:val="14"/>
              </w:rPr>
              <w:t>0.850%</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borrowings note: US dollar facility margin</w:t>
            </w:r>
          </w:p>
        </w:tc>
      </w:tr>
      <w:tr>
        <w:trPr>
          <w:cantSplit/>
        </w:trPr>
        <w:tc>
          <w:tcPr>
            <w:tcW w:type="dxa" w:w="1656"/>
          </w:tcPr>
          <w:p>
            <w:pPr>
              <w:spacing w:after="20"/>
            </w:pPr>
            <w:r>
              <w:rPr>
                <w:color w:val="1C3A36"/>
                <w:sz w:val="14"/>
              </w:rPr>
              <w:t>cstores h126</w:t>
            </w:r>
          </w:p>
        </w:tc>
        <w:tc>
          <w:tcPr>
            <w:tcW w:type="dxa" w:w="1440"/>
          </w:tcPr>
          <w:p>
            <w:pPr>
              <w:spacing w:after="20"/>
            </w:pPr>
            <w:r>
              <w:rPr>
                <w:color w:val="1C3A36"/>
                <w:sz w:val="14"/>
              </w:rPr>
              <w:t>541</w:t>
            </w:r>
          </w:p>
        </w:tc>
        <w:tc>
          <w:tcPr>
            <w:tcW w:type="dxa" w:w="936"/>
          </w:tcPr>
          <w:p>
            <w:pPr>
              <w:spacing w:after="20"/>
            </w:pPr>
            <w:r>
              <w:rPr>
                <w:color w:val="1C3A36"/>
                <w:sz w:val="14"/>
              </w:rPr>
              <w:t>30 Jun 2026</w:t>
            </w:r>
          </w:p>
        </w:tc>
        <w:tc>
          <w:tcPr>
            <w:tcW w:type="dxa" w:w="6048"/>
          </w:tcPr>
          <w:p>
            <w:pPr>
              <w:spacing w:after="20"/>
            </w:pPr>
            <w:r>
              <w:rPr>
                <w:color w:val="1C3A36"/>
                <w:sz w:val="14"/>
              </w:rPr>
              <w:t>ADNOC Distribution, Management Discussion &amp; Analysis Report, second quarter and first half 2026, 5 August 2026, total convenience stores network: 387 UAE, 15 Saudi Arabia, 139 Egypt</w:t>
            </w:r>
          </w:p>
        </w:tc>
      </w:tr>
      <w:tr>
        <w:trPr>
          <w:cantSplit/>
        </w:trPr>
        <w:tc>
          <w:tcPr>
            <w:tcW w:type="dxa" w:w="1656"/>
          </w:tcPr>
          <w:p>
            <w:pPr>
              <w:spacing w:after="20"/>
            </w:pPr>
            <w:r>
              <w:rPr>
                <w:color w:val="1C3A36"/>
                <w:sz w:val="14"/>
              </w:rPr>
              <w:t>da exp fy23</w:t>
            </w:r>
          </w:p>
        </w:tc>
        <w:tc>
          <w:tcPr>
            <w:tcW w:type="dxa" w:w="1440"/>
          </w:tcPr>
          <w:p>
            <w:pPr>
              <w:spacing w:after="20"/>
            </w:pPr>
            <w:r>
              <w:rPr>
                <w:color w:val="1C3A36"/>
                <w:sz w:val="14"/>
              </w:rPr>
              <w:t>2,916.538</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distribution and administrative expenses</w:t>
            </w:r>
          </w:p>
        </w:tc>
      </w:tr>
      <w:tr>
        <w:trPr>
          <w:cantSplit/>
        </w:trPr>
        <w:tc>
          <w:tcPr>
            <w:tcW w:type="dxa" w:w="1656"/>
          </w:tcPr>
          <w:p>
            <w:pPr>
              <w:spacing w:after="20"/>
            </w:pPr>
            <w:r>
              <w:rPr>
                <w:color w:val="1C3A36"/>
                <w:sz w:val="14"/>
              </w:rPr>
              <w:t>da exp fy24</w:t>
            </w:r>
          </w:p>
        </w:tc>
        <w:tc>
          <w:tcPr>
            <w:tcW w:type="dxa" w:w="1440"/>
          </w:tcPr>
          <w:p>
            <w:pPr>
              <w:spacing w:after="20"/>
            </w:pPr>
            <w:r>
              <w:rPr>
                <w:color w:val="1C3A36"/>
                <w:sz w:val="14"/>
              </w:rPr>
              <w:t>3,194.942</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distribution and administrative expenses</w:t>
            </w:r>
          </w:p>
        </w:tc>
      </w:tr>
      <w:tr>
        <w:trPr>
          <w:cantSplit/>
        </w:trPr>
        <w:tc>
          <w:tcPr>
            <w:tcW w:type="dxa" w:w="1656"/>
          </w:tcPr>
          <w:p>
            <w:pPr>
              <w:spacing w:after="20"/>
            </w:pPr>
            <w:r>
              <w:rPr>
                <w:color w:val="1C3A36"/>
                <w:sz w:val="14"/>
              </w:rPr>
              <w:t>da exp fy25</w:t>
            </w:r>
          </w:p>
        </w:tc>
        <w:tc>
          <w:tcPr>
            <w:tcW w:type="dxa" w:w="1440"/>
          </w:tcPr>
          <w:p>
            <w:pPr>
              <w:spacing w:after="20"/>
            </w:pPr>
            <w:r>
              <w:rPr>
                <w:color w:val="1C3A36"/>
                <w:sz w:val="14"/>
              </w:rPr>
              <w:t>3,323.546</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distribution and administrative expenses</w:t>
            </w:r>
          </w:p>
        </w:tc>
      </w:tr>
      <w:tr>
        <w:trPr>
          <w:cantSplit/>
        </w:trPr>
        <w:tc>
          <w:tcPr>
            <w:tcW w:type="dxa" w:w="1656"/>
          </w:tcPr>
          <w:p>
            <w:pPr>
              <w:spacing w:after="20"/>
            </w:pPr>
            <w:r>
              <w:rPr>
                <w:color w:val="1C3A36"/>
                <w:sz w:val="14"/>
              </w:rPr>
              <w:t>daexp h126</w:t>
            </w:r>
          </w:p>
        </w:tc>
        <w:tc>
          <w:tcPr>
            <w:tcW w:type="dxa" w:w="1440"/>
          </w:tcPr>
          <w:p>
            <w:pPr>
              <w:spacing w:after="20"/>
            </w:pPr>
            <w:r>
              <w:rPr>
                <w:color w:val="1C3A36"/>
                <w:sz w:val="14"/>
              </w:rPr>
              <w:t>1,646.280</w:t>
            </w:r>
          </w:p>
        </w:tc>
        <w:tc>
          <w:tcPr>
            <w:tcW w:type="dxa" w:w="936"/>
          </w:tcPr>
          <w:p>
            <w:pPr>
              <w:spacing w:after="20"/>
            </w:pPr>
            <w:r>
              <w:rPr>
                <w:color w:val="1C3A36"/>
                <w:sz w:val="14"/>
              </w:rPr>
              <w:t>30 Jun 2026</w:t>
            </w:r>
          </w:p>
        </w:tc>
        <w:tc>
          <w:tcPr>
            <w:tcW w:type="dxa" w:w="6048"/>
          </w:tcPr>
          <w:p>
            <w:pPr>
              <w:spacing w:after="20"/>
            </w:pPr>
            <w:r>
              <w:rPr>
                <w:color w:val="1C3A36"/>
                <w:sz w:val="14"/>
              </w:rPr>
              <w:t>Abu Dhabi National Oil Company for Distribution PJSC, reviewed interim condensed consolidated financial statements for the six months ended 30 June 2026, published on the company's investor-relations site, distribution and administrative expenses, six months</w:t>
            </w:r>
          </w:p>
        </w:tc>
      </w:tr>
      <w:tr>
        <w:trPr>
          <w:cantSplit/>
        </w:trPr>
        <w:tc>
          <w:tcPr>
            <w:tcW w:type="dxa" w:w="1656"/>
          </w:tcPr>
          <w:p>
            <w:pPr>
              <w:spacing w:after="20"/>
            </w:pPr>
            <w:r>
              <w:rPr>
                <w:color w:val="1C3A36"/>
                <w:sz w:val="14"/>
              </w:rPr>
              <w:t>dc fy23</w:t>
            </w:r>
          </w:p>
        </w:tc>
        <w:tc>
          <w:tcPr>
            <w:tcW w:type="dxa" w:w="1440"/>
          </w:tcPr>
          <w:p>
            <w:pPr>
              <w:spacing w:after="20"/>
            </w:pPr>
            <w:r>
              <w:rPr>
                <w:color w:val="1C3A36"/>
                <w:sz w:val="14"/>
              </w:rPr>
              <w:t>28,792.893</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direct costs</w:t>
            </w:r>
          </w:p>
        </w:tc>
      </w:tr>
      <w:tr>
        <w:trPr>
          <w:cantSplit/>
        </w:trPr>
        <w:tc>
          <w:tcPr>
            <w:tcW w:type="dxa" w:w="1656"/>
          </w:tcPr>
          <w:p>
            <w:pPr>
              <w:spacing w:after="20"/>
            </w:pPr>
            <w:r>
              <w:rPr>
                <w:color w:val="1C3A36"/>
                <w:sz w:val="14"/>
              </w:rPr>
              <w:t>dc fy24</w:t>
            </w:r>
          </w:p>
        </w:tc>
        <w:tc>
          <w:tcPr>
            <w:tcW w:type="dxa" w:w="1440"/>
          </w:tcPr>
          <w:p>
            <w:pPr>
              <w:spacing w:after="20"/>
            </w:pPr>
            <w:r>
              <w:rPr>
                <w:color w:val="1C3A36"/>
                <w:sz w:val="14"/>
              </w:rPr>
              <w:t>29,237.684</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direct costs</w:t>
            </w:r>
          </w:p>
        </w:tc>
      </w:tr>
      <w:tr>
        <w:trPr>
          <w:cantSplit/>
        </w:trPr>
        <w:tc>
          <w:tcPr>
            <w:tcW w:type="dxa" w:w="1656"/>
          </w:tcPr>
          <w:p>
            <w:pPr>
              <w:spacing w:after="20"/>
            </w:pPr>
            <w:r>
              <w:rPr>
                <w:color w:val="1C3A36"/>
                <w:sz w:val="14"/>
              </w:rPr>
              <w:t>dc fy25</w:t>
            </w:r>
          </w:p>
        </w:tc>
        <w:tc>
          <w:tcPr>
            <w:tcW w:type="dxa" w:w="1440"/>
          </w:tcPr>
          <w:p>
            <w:pPr>
              <w:spacing w:after="20"/>
            </w:pPr>
            <w:r>
              <w:rPr>
                <w:color w:val="1C3A36"/>
                <w:sz w:val="14"/>
              </w:rPr>
              <w:t>28,950.827</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direct costs</w:t>
            </w:r>
          </w:p>
        </w:tc>
      </w:tr>
      <w:tr>
        <w:trPr>
          <w:cantSplit/>
        </w:trPr>
        <w:tc>
          <w:tcPr>
            <w:tcW w:type="dxa" w:w="1656"/>
          </w:tcPr>
          <w:p>
            <w:pPr>
              <w:spacing w:after="20"/>
            </w:pPr>
            <w:r>
              <w:rPr>
                <w:color w:val="1C3A36"/>
                <w:sz w:val="14"/>
              </w:rPr>
              <w:t>dep ppe fy23</w:t>
            </w:r>
          </w:p>
        </w:tc>
        <w:tc>
          <w:tcPr>
            <w:tcW w:type="dxa" w:w="1440"/>
          </w:tcPr>
          <w:p>
            <w:pPr>
              <w:spacing w:after="20"/>
            </w:pPr>
            <w:r>
              <w:rPr>
                <w:color w:val="1C3A36"/>
                <w:sz w:val="14"/>
              </w:rPr>
              <w:t>507.107</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cash-flow statement, FY2023 comparative column</w:t>
            </w:r>
          </w:p>
        </w:tc>
      </w:tr>
      <w:tr>
        <w:trPr>
          <w:cantSplit/>
        </w:trPr>
        <w:tc>
          <w:tcPr>
            <w:tcW w:type="dxa" w:w="1656"/>
          </w:tcPr>
          <w:p>
            <w:pPr>
              <w:spacing w:after="20"/>
            </w:pPr>
            <w:r>
              <w:rPr>
                <w:color w:val="1C3A36"/>
                <w:sz w:val="14"/>
              </w:rPr>
              <w:t>dep ppe fy24</w:t>
            </w:r>
          </w:p>
        </w:tc>
        <w:tc>
          <w:tcPr>
            <w:tcW w:type="dxa" w:w="1440"/>
          </w:tcPr>
          <w:p>
            <w:pPr>
              <w:spacing w:after="20"/>
            </w:pPr>
            <w:r>
              <w:rPr>
                <w:color w:val="1C3A36"/>
                <w:sz w:val="14"/>
              </w:rPr>
              <w:t>602.186</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cash-flow statement</w:t>
            </w:r>
          </w:p>
        </w:tc>
      </w:tr>
      <w:tr>
        <w:trPr>
          <w:cantSplit/>
        </w:trPr>
        <w:tc>
          <w:tcPr>
            <w:tcW w:type="dxa" w:w="1656"/>
          </w:tcPr>
          <w:p>
            <w:pPr>
              <w:spacing w:after="20"/>
            </w:pPr>
            <w:r>
              <w:rPr>
                <w:color w:val="1C3A36"/>
                <w:sz w:val="14"/>
              </w:rPr>
              <w:t>dep ppe fy25</w:t>
            </w:r>
          </w:p>
        </w:tc>
        <w:tc>
          <w:tcPr>
            <w:tcW w:type="dxa" w:w="1440"/>
          </w:tcPr>
          <w:p>
            <w:pPr>
              <w:spacing w:after="20"/>
            </w:pPr>
            <w:r>
              <w:rPr>
                <w:color w:val="1C3A36"/>
                <w:sz w:val="14"/>
              </w:rPr>
              <w:t>594.222</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cash-flow statement</w:t>
            </w:r>
          </w:p>
        </w:tc>
      </w:tr>
      <w:tr>
        <w:trPr>
          <w:cantSplit/>
        </w:trPr>
        <w:tc>
          <w:tcPr>
            <w:tcW w:type="dxa" w:w="1656"/>
          </w:tcPr>
          <w:p>
            <w:pPr>
              <w:spacing w:after="20"/>
            </w:pPr>
            <w:r>
              <w:rPr>
                <w:color w:val="1C3A36"/>
                <w:sz w:val="14"/>
              </w:rPr>
              <w:t>dep rate</w:t>
            </w:r>
          </w:p>
        </w:tc>
        <w:tc>
          <w:tcPr>
            <w:tcW w:type="dxa" w:w="1440"/>
          </w:tcPr>
          <w:p>
            <w:pPr>
              <w:spacing w:after="20"/>
            </w:pPr>
            <w:r>
              <w:rPr>
                <w:color w:val="1C3A36"/>
                <w:sz w:val="14"/>
              </w:rPr>
              <w:t>0.084</w:t>
            </w:r>
          </w:p>
        </w:tc>
        <w:tc>
          <w:tcPr>
            <w:tcW w:type="dxa" w:w="936"/>
          </w:tcPr>
          <w:p>
            <w:pPr>
              <w:spacing w:after="20"/>
            </w:pPr>
            <w:r>
              <w:rPr>
                <w:color w:val="1C3A36"/>
                <w:sz w:val="14"/>
              </w:rPr>
              <w:t>31 Dec 2025</w:t>
            </w:r>
          </w:p>
        </w:tc>
        <w:tc>
          <w:tcPr>
            <w:tcW w:type="dxa" w:w="6048"/>
          </w:tcPr>
          <w:p>
            <w:pPr>
              <w:spacing w:after="20"/>
            </w:pPr>
            <w:r>
              <w:rPr>
                <w:color w:val="1C3A36"/>
                <w:sz w:val="14"/>
              </w:rPr>
              <w:t>Depreciation and amortisation as a share of the OPENING fixed and right-of-use asset base, measured off the audited FY2025 accounts (775.9 on an opening base of 9,278.5). Replaces a hardcoded five-year depreciation array: the charge is now an output of the asset base the model itself rolls forward</w:t>
            </w:r>
          </w:p>
        </w:tc>
      </w:tr>
      <w:tr>
        <w:trPr>
          <w:cantSplit/>
        </w:trPr>
        <w:tc>
          <w:tcPr>
            <w:tcW w:type="dxa" w:w="1656"/>
          </w:tcPr>
          <w:p>
            <w:pPr>
              <w:spacing w:after="20"/>
            </w:pPr>
            <w:r>
              <w:rPr>
                <w:color w:val="1C3A36"/>
                <w:sz w:val="14"/>
              </w:rPr>
              <w:t>dep rou fy23</w:t>
            </w:r>
          </w:p>
        </w:tc>
        <w:tc>
          <w:tcPr>
            <w:tcW w:type="dxa" w:w="1440"/>
          </w:tcPr>
          <w:p>
            <w:pPr>
              <w:spacing w:after="20"/>
            </w:pPr>
            <w:r>
              <w:rPr>
                <w:color w:val="1C3A36"/>
                <w:sz w:val="14"/>
              </w:rPr>
              <w:t>146.412</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cash-flow statement, FY2023 comparative column</w:t>
            </w:r>
          </w:p>
        </w:tc>
      </w:tr>
      <w:tr>
        <w:trPr>
          <w:cantSplit/>
        </w:trPr>
        <w:tc>
          <w:tcPr>
            <w:tcW w:type="dxa" w:w="1656"/>
          </w:tcPr>
          <w:p>
            <w:pPr>
              <w:spacing w:after="20"/>
            </w:pPr>
            <w:r>
              <w:rPr>
                <w:color w:val="1C3A36"/>
                <w:sz w:val="14"/>
              </w:rPr>
              <w:t>dep rou fy24</w:t>
            </w:r>
          </w:p>
        </w:tc>
        <w:tc>
          <w:tcPr>
            <w:tcW w:type="dxa" w:w="1440"/>
          </w:tcPr>
          <w:p>
            <w:pPr>
              <w:spacing w:after="20"/>
            </w:pPr>
            <w:r>
              <w:rPr>
                <w:color w:val="1C3A36"/>
                <w:sz w:val="14"/>
              </w:rPr>
              <w:t>151.669</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cash-flow statement</w:t>
            </w:r>
          </w:p>
        </w:tc>
      </w:tr>
      <w:tr>
        <w:trPr>
          <w:cantSplit/>
        </w:trPr>
        <w:tc>
          <w:tcPr>
            <w:tcW w:type="dxa" w:w="1656"/>
          </w:tcPr>
          <w:p>
            <w:pPr>
              <w:spacing w:after="20"/>
            </w:pPr>
            <w:r>
              <w:rPr>
                <w:color w:val="1C3A36"/>
                <w:sz w:val="14"/>
              </w:rPr>
              <w:t>dep rou fy25</w:t>
            </w:r>
          </w:p>
        </w:tc>
        <w:tc>
          <w:tcPr>
            <w:tcW w:type="dxa" w:w="1440"/>
          </w:tcPr>
          <w:p>
            <w:pPr>
              <w:spacing w:after="20"/>
            </w:pPr>
            <w:r>
              <w:rPr>
                <w:color w:val="1C3A36"/>
                <w:sz w:val="14"/>
              </w:rPr>
              <w:t>151</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cash-flow statement</w:t>
            </w:r>
          </w:p>
        </w:tc>
      </w:tr>
      <w:tr>
        <w:trPr>
          <w:cantSplit/>
        </w:trPr>
        <w:tc>
          <w:tcPr>
            <w:tcW w:type="dxa" w:w="1656"/>
          </w:tcPr>
          <w:p>
            <w:pPr>
              <w:spacing w:after="20"/>
            </w:pPr>
            <w:r>
              <w:rPr>
                <w:color w:val="1C3A36"/>
                <w:sz w:val="14"/>
              </w:rPr>
              <w:t>dfrp fy23</w:t>
            </w:r>
          </w:p>
        </w:tc>
        <w:tc>
          <w:tcPr>
            <w:tcW w:type="dxa" w:w="1440"/>
          </w:tcPr>
          <w:p>
            <w:pPr>
              <w:spacing w:after="20"/>
            </w:pPr>
            <w:r>
              <w:rPr>
                <w:color w:val="1C3A36"/>
                <w:sz w:val="14"/>
              </w:rPr>
              <w:t>805.558</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due from related parties</w:t>
            </w:r>
          </w:p>
        </w:tc>
      </w:tr>
      <w:tr>
        <w:trPr>
          <w:cantSplit/>
        </w:trPr>
        <w:tc>
          <w:tcPr>
            <w:tcW w:type="dxa" w:w="1656"/>
          </w:tcPr>
          <w:p>
            <w:pPr>
              <w:spacing w:after="20"/>
            </w:pPr>
            <w:r>
              <w:rPr>
                <w:color w:val="1C3A36"/>
                <w:sz w:val="14"/>
              </w:rPr>
              <w:t>dfrp fy24</w:t>
            </w:r>
          </w:p>
        </w:tc>
        <w:tc>
          <w:tcPr>
            <w:tcW w:type="dxa" w:w="1440"/>
          </w:tcPr>
          <w:p>
            <w:pPr>
              <w:spacing w:after="20"/>
            </w:pPr>
            <w:r>
              <w:rPr>
                <w:color w:val="1C3A36"/>
                <w:sz w:val="14"/>
              </w:rPr>
              <w:t>750.723</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due from related parties</w:t>
            </w:r>
          </w:p>
        </w:tc>
      </w:tr>
      <w:tr>
        <w:trPr>
          <w:cantSplit/>
        </w:trPr>
        <w:tc>
          <w:tcPr>
            <w:tcW w:type="dxa" w:w="1656"/>
          </w:tcPr>
          <w:p>
            <w:pPr>
              <w:spacing w:after="20"/>
            </w:pPr>
            <w:r>
              <w:rPr>
                <w:color w:val="1C3A36"/>
                <w:sz w:val="14"/>
              </w:rPr>
              <w:t>dfrp fy25</w:t>
            </w:r>
          </w:p>
        </w:tc>
        <w:tc>
          <w:tcPr>
            <w:tcW w:type="dxa" w:w="1440"/>
          </w:tcPr>
          <w:p>
            <w:pPr>
              <w:spacing w:after="20"/>
            </w:pPr>
            <w:r>
              <w:rPr>
                <w:color w:val="1C3A36"/>
                <w:sz w:val="14"/>
              </w:rPr>
              <w:t>758.468</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due from related parties</w:t>
            </w:r>
          </w:p>
        </w:tc>
      </w:tr>
      <w:tr>
        <w:trPr>
          <w:cantSplit/>
        </w:trPr>
        <w:tc>
          <w:tcPr>
            <w:tcW w:type="dxa" w:w="1656"/>
          </w:tcPr>
          <w:p>
            <w:pPr>
              <w:spacing w:after="20"/>
            </w:pPr>
            <w:r>
              <w:rPr>
                <w:color w:val="1C3A36"/>
                <w:sz w:val="14"/>
              </w:rPr>
              <w:t>divpaid fy23</w:t>
            </w:r>
          </w:p>
        </w:tc>
        <w:tc>
          <w:tcPr>
            <w:tcW w:type="dxa" w:w="1440"/>
          </w:tcPr>
          <w:p>
            <w:pPr>
              <w:spacing w:after="20"/>
            </w:pPr>
            <w:r>
              <w:rPr>
                <w:color w:val="1C3A36"/>
                <w:sz w:val="14"/>
              </w:rPr>
              <w:t>2,622.890</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dividends paid, FY2023 comparative</w:t>
            </w:r>
          </w:p>
        </w:tc>
      </w:tr>
      <w:tr>
        <w:trPr>
          <w:cantSplit/>
        </w:trPr>
        <w:tc>
          <w:tcPr>
            <w:tcW w:type="dxa" w:w="1656"/>
          </w:tcPr>
          <w:p>
            <w:pPr>
              <w:spacing w:after="20"/>
            </w:pPr>
            <w:r>
              <w:rPr>
                <w:color w:val="1C3A36"/>
                <w:sz w:val="14"/>
              </w:rPr>
              <w:t>divpaid fy24</w:t>
            </w:r>
          </w:p>
        </w:tc>
        <w:tc>
          <w:tcPr>
            <w:tcW w:type="dxa" w:w="1440"/>
          </w:tcPr>
          <w:p>
            <w:pPr>
              <w:spacing w:after="20"/>
            </w:pPr>
            <w:r>
              <w:rPr>
                <w:color w:val="1C3A36"/>
                <w:sz w:val="14"/>
              </w:rPr>
              <w:t>2,613.700</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dividends paid</w:t>
            </w:r>
          </w:p>
        </w:tc>
      </w:tr>
      <w:tr>
        <w:trPr>
          <w:cantSplit/>
        </w:trPr>
        <w:tc>
          <w:tcPr>
            <w:tcW w:type="dxa" w:w="1656"/>
          </w:tcPr>
          <w:p>
            <w:pPr>
              <w:spacing w:after="20"/>
            </w:pPr>
            <w:r>
              <w:rPr>
                <w:color w:val="1C3A36"/>
                <w:sz w:val="14"/>
              </w:rPr>
              <w:t>divpaid fy25</w:t>
            </w:r>
          </w:p>
        </w:tc>
        <w:tc>
          <w:tcPr>
            <w:tcW w:type="dxa" w:w="1440"/>
          </w:tcPr>
          <w:p>
            <w:pPr>
              <w:spacing w:after="20"/>
            </w:pPr>
            <w:r>
              <w:rPr>
                <w:color w:val="1C3A36"/>
                <w:sz w:val="14"/>
              </w:rPr>
              <w:t>2,599.146</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dividends paid</w:t>
            </w:r>
          </w:p>
        </w:tc>
      </w:tr>
      <w:tr>
        <w:trPr>
          <w:cantSplit/>
        </w:trPr>
        <w:tc>
          <w:tcPr>
            <w:tcW w:type="dxa" w:w="1656"/>
          </w:tcPr>
          <w:p>
            <w:pPr>
              <w:spacing w:after="20"/>
            </w:pPr>
            <w:r>
              <w:rPr>
                <w:color w:val="1C3A36"/>
                <w:sz w:val="14"/>
              </w:rPr>
              <w:t>dna fwd</w:t>
            </w:r>
          </w:p>
        </w:tc>
        <w:tc>
          <w:tcPr>
            <w:tcW w:type="dxa" w:w="1440"/>
          </w:tcPr>
          <w:p>
            <w:pPr>
              <w:spacing w:after="20"/>
            </w:pPr>
            <w:r>
              <w:rPr>
                <w:color w:val="1C3A36"/>
                <w:sz w:val="14"/>
              </w:rPr>
              <w:t>800, 830, 862, 894, 926</w:t>
            </w:r>
          </w:p>
        </w:tc>
        <w:tc>
          <w:tcPr>
            <w:tcW w:type="dxa" w:w="936"/>
          </w:tcPr>
          <w:p>
            <w:pPr>
              <w:spacing w:after="20"/>
            </w:pPr>
            <w:r>
              <w:rPr>
                <w:color w:val="1C3A36"/>
                <w:sz w:val="14"/>
              </w:rPr>
              <w:t>5 Aug 2026</w:t>
            </w:r>
          </w:p>
        </w:tc>
        <w:tc>
          <w:tcPr>
            <w:tcW w:type="dxa" w:w="6048"/>
          </w:tcPr>
          <w:p>
            <w:pPr>
              <w:spacing w:after="20"/>
            </w:pPr>
            <w:r>
              <w:rPr>
                <w:color w:val="1C3A36"/>
                <w:sz w:val="14"/>
              </w:rPr>
              <w:t>Depreciation and amortisation, grown on the asset base as capital spending exceeds the current charge; the first half of 2026 charge of AED 369.7 million annualises to AED 739 million before the year's additions</w:t>
            </w:r>
          </w:p>
        </w:tc>
      </w:tr>
      <w:tr>
        <w:trPr>
          <w:cantSplit/>
        </w:trPr>
        <w:tc>
          <w:tcPr>
            <w:tcW w:type="dxa" w:w="1656"/>
          </w:tcPr>
          <w:p>
            <w:pPr>
              <w:spacing w:after="20"/>
            </w:pPr>
            <w:r>
              <w:rPr>
                <w:color w:val="1C3A36"/>
                <w:sz w:val="14"/>
              </w:rPr>
              <w:t>dna h126</w:t>
            </w:r>
          </w:p>
        </w:tc>
        <w:tc>
          <w:tcPr>
            <w:tcW w:type="dxa" w:w="1440"/>
          </w:tcPr>
          <w:p>
            <w:pPr>
              <w:spacing w:after="20"/>
            </w:pPr>
            <w:r>
              <w:rPr>
                <w:color w:val="1C3A36"/>
                <w:sz w:val="14"/>
              </w:rPr>
              <w:t>369.702</w:t>
            </w:r>
          </w:p>
        </w:tc>
        <w:tc>
          <w:tcPr>
            <w:tcW w:type="dxa" w:w="936"/>
          </w:tcPr>
          <w:p>
            <w:pPr>
              <w:spacing w:after="20"/>
            </w:pPr>
            <w:r>
              <w:rPr>
                <w:color w:val="1C3A36"/>
                <w:sz w:val="14"/>
              </w:rPr>
              <w:t>30 Jun 2026</w:t>
            </w:r>
          </w:p>
        </w:tc>
        <w:tc>
          <w:tcPr>
            <w:tcW w:type="dxa" w:w="6048"/>
          </w:tcPr>
          <w:p>
            <w:pPr>
              <w:spacing w:after="20"/>
            </w:pPr>
            <w:r>
              <w:rPr>
                <w:color w:val="1C3A36"/>
                <w:sz w:val="14"/>
              </w:rPr>
              <w:t>Abu Dhabi National Oil Company for Distribution PJSC, reviewed interim condensed consolidated financial statements for the six months ended 30 June 2026, published on the company's investor-relations site, distribution and administrative expenses note: depreciation and amortisation, six months</w:t>
            </w:r>
          </w:p>
        </w:tc>
      </w:tr>
      <w:tr>
        <w:trPr>
          <w:cantSplit/>
        </w:trPr>
        <w:tc>
          <w:tcPr>
            <w:tcW w:type="dxa" w:w="1656"/>
          </w:tcPr>
          <w:p>
            <w:pPr>
              <w:spacing w:after="20"/>
            </w:pPr>
            <w:r>
              <w:rPr>
                <w:color w:val="1C3A36"/>
                <w:sz w:val="14"/>
              </w:rPr>
              <w:t>dps</w:t>
            </w:r>
          </w:p>
        </w:tc>
        <w:tc>
          <w:tcPr>
            <w:tcW w:type="dxa" w:w="1440"/>
          </w:tcPr>
          <w:p>
            <w:pPr>
              <w:spacing w:after="20"/>
            </w:pPr>
            <w:r>
              <w:rPr>
                <w:color w:val="1C3A36"/>
                <w:sz w:val="14"/>
              </w:rPr>
              <w:t>0.2057</w:t>
            </w:r>
          </w:p>
        </w:tc>
        <w:tc>
          <w:tcPr>
            <w:tcW w:type="dxa" w:w="936"/>
          </w:tcPr>
          <w:p>
            <w:pPr>
              <w:spacing w:after="20"/>
            </w:pPr>
            <w:r>
              <w:rPr>
                <w:color w:val="1C3A36"/>
                <w:sz w:val="14"/>
              </w:rPr>
              <w:t>31 Dec 2025</w:t>
            </w:r>
          </w:p>
        </w:tc>
        <w:tc>
          <w:tcPr>
            <w:tcW w:type="dxa" w:w="6048"/>
          </w:tcPr>
          <w:p>
            <w:pPr>
              <w:spacing w:after="20"/>
            </w:pPr>
            <w:r>
              <w:rPr>
                <w:color w:val="1C3A36"/>
                <w:sz w:val="14"/>
              </w:rPr>
              <w:t>Dividend per share. FY2025 dividends paid of AED 2,599.146 million over 12,500 million shares is AED 0.2079; the company's stated policy sets a fixed annual dividend of 20.57 fils per share</w:t>
            </w:r>
          </w:p>
        </w:tc>
      </w:tr>
      <w:tr>
        <w:trPr>
          <w:cantSplit/>
        </w:trPr>
        <w:tc>
          <w:tcPr>
            <w:tcW w:type="dxa" w:w="1656"/>
          </w:tcPr>
          <w:p>
            <w:pPr>
              <w:spacing w:after="20"/>
            </w:pPr>
            <w:r>
              <w:rPr>
                <w:color w:val="1C3A36"/>
                <w:sz w:val="14"/>
              </w:rPr>
              <w:t>dtrp fy23</w:t>
            </w:r>
          </w:p>
        </w:tc>
        <w:tc>
          <w:tcPr>
            <w:tcW w:type="dxa" w:w="1440"/>
          </w:tcPr>
          <w:p>
            <w:pPr>
              <w:spacing w:after="20"/>
            </w:pPr>
            <w:r>
              <w:rPr>
                <w:color w:val="1C3A36"/>
                <w:sz w:val="14"/>
              </w:rPr>
              <w:t>4,827.631</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due to related parties</w:t>
            </w:r>
          </w:p>
        </w:tc>
      </w:tr>
      <w:tr>
        <w:trPr>
          <w:cantSplit/>
        </w:trPr>
        <w:tc>
          <w:tcPr>
            <w:tcW w:type="dxa" w:w="1656"/>
          </w:tcPr>
          <w:p>
            <w:pPr>
              <w:spacing w:after="20"/>
            </w:pPr>
            <w:r>
              <w:rPr>
                <w:color w:val="1C3A36"/>
                <w:sz w:val="14"/>
              </w:rPr>
              <w:t>dtrp fy24</w:t>
            </w:r>
          </w:p>
        </w:tc>
        <w:tc>
          <w:tcPr>
            <w:tcW w:type="dxa" w:w="1440"/>
          </w:tcPr>
          <w:p>
            <w:pPr>
              <w:spacing w:after="20"/>
            </w:pPr>
            <w:r>
              <w:rPr>
                <w:color w:val="1C3A36"/>
                <w:sz w:val="14"/>
              </w:rPr>
              <w:t>4,439.345</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due to related parties</w:t>
            </w:r>
          </w:p>
        </w:tc>
      </w:tr>
      <w:tr>
        <w:trPr>
          <w:cantSplit/>
        </w:trPr>
        <w:tc>
          <w:tcPr>
            <w:tcW w:type="dxa" w:w="1656"/>
          </w:tcPr>
          <w:p>
            <w:pPr>
              <w:spacing w:after="20"/>
            </w:pPr>
            <w:r>
              <w:rPr>
                <w:color w:val="1C3A36"/>
                <w:sz w:val="14"/>
              </w:rPr>
              <w:t>dtrp fy25</w:t>
            </w:r>
          </w:p>
        </w:tc>
        <w:tc>
          <w:tcPr>
            <w:tcW w:type="dxa" w:w="1440"/>
          </w:tcPr>
          <w:p>
            <w:pPr>
              <w:spacing w:after="20"/>
            </w:pPr>
            <w:r>
              <w:rPr>
                <w:color w:val="1C3A36"/>
                <w:sz w:val="14"/>
              </w:rPr>
              <w:t>3,646.512</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due to related parties</w:t>
            </w:r>
          </w:p>
        </w:tc>
      </w:tr>
      <w:tr>
        <w:trPr>
          <w:cantSplit/>
        </w:trPr>
        <w:tc>
          <w:tcPr>
            <w:tcW w:type="dxa" w:w="1656"/>
          </w:tcPr>
          <w:p>
            <w:pPr>
              <w:spacing w:after="20"/>
            </w:pPr>
            <w:r>
              <w:rPr>
                <w:color w:val="1C3A36"/>
                <w:sz w:val="14"/>
              </w:rPr>
              <w:t>ebitda und fy24</w:t>
            </w:r>
          </w:p>
        </w:tc>
        <w:tc>
          <w:tcPr>
            <w:tcW w:type="dxa" w:w="1440"/>
          </w:tcPr>
          <w:p>
            <w:pPr>
              <w:spacing w:after="20"/>
            </w:pPr>
            <w:r>
              <w:rPr>
                <w:color w:val="1C3A36"/>
                <w:sz w:val="14"/>
              </w:rPr>
              <w:t>3,633</w:t>
            </w:r>
          </w:p>
        </w:tc>
        <w:tc>
          <w:tcPr>
            <w:tcW w:type="dxa" w:w="936"/>
          </w:tcPr>
          <w:p>
            <w:pPr>
              <w:spacing w:after="20"/>
            </w:pPr>
            <w:r>
              <w:rPr>
                <w:color w:val="1C3A36"/>
                <w:sz w:val="14"/>
              </w:rPr>
              <w:t>31 Dec 2024</w:t>
            </w:r>
          </w:p>
        </w:tc>
        <w:tc>
          <w:tcPr>
            <w:tcW w:type="dxa" w:w="6048"/>
          </w:tcPr>
          <w:p>
            <w:pPr>
              <w:spacing w:after="20"/>
            </w:pPr>
            <w:r>
              <w:rPr>
                <w:color w:val="1C3A36"/>
                <w:sz w:val="14"/>
              </w:rPr>
              <w:t>ADNOC Distribution, Management Discussion &amp; Analysis Report, full year 2025, 3 February 2026, underlying EBITDA, defined by the company as EBITDA excluding inventory movements and one-off items</w:t>
            </w:r>
          </w:p>
        </w:tc>
      </w:tr>
      <w:tr>
        <w:trPr>
          <w:cantSplit/>
        </w:trPr>
        <w:tc>
          <w:tcPr>
            <w:tcW w:type="dxa" w:w="1656"/>
          </w:tcPr>
          <w:p>
            <w:pPr>
              <w:spacing w:after="20"/>
            </w:pPr>
            <w:r>
              <w:rPr>
                <w:color w:val="1C3A36"/>
                <w:sz w:val="14"/>
              </w:rPr>
              <w:t>ebitda und fy25</w:t>
            </w:r>
          </w:p>
        </w:tc>
        <w:tc>
          <w:tcPr>
            <w:tcW w:type="dxa" w:w="1440"/>
          </w:tcPr>
          <w:p>
            <w:pPr>
              <w:spacing w:after="20"/>
            </w:pPr>
            <w:r>
              <w:rPr>
                <w:color w:val="1C3A36"/>
                <w:sz w:val="14"/>
              </w:rPr>
              <w:t>4,001</w:t>
            </w:r>
          </w:p>
        </w:tc>
        <w:tc>
          <w:tcPr>
            <w:tcW w:type="dxa" w:w="936"/>
          </w:tcPr>
          <w:p>
            <w:pPr>
              <w:spacing w:after="20"/>
            </w:pPr>
            <w:r>
              <w:rPr>
                <w:color w:val="1C3A36"/>
                <w:sz w:val="14"/>
              </w:rPr>
              <w:t>31 Dec 2025</w:t>
            </w:r>
          </w:p>
        </w:tc>
        <w:tc>
          <w:tcPr>
            <w:tcW w:type="dxa" w:w="6048"/>
          </w:tcPr>
          <w:p>
            <w:pPr>
              <w:spacing w:after="20"/>
            </w:pPr>
            <w:r>
              <w:rPr>
                <w:color w:val="1C3A36"/>
                <w:sz w:val="14"/>
              </w:rPr>
              <w:t>ADNOC Distribution, Management Discussion &amp; Analysis Report, full year 2025, 3 February 2026, underlying EBITDA</w:t>
            </w:r>
          </w:p>
        </w:tc>
      </w:tr>
      <w:tr>
        <w:trPr>
          <w:cantSplit/>
        </w:trPr>
        <w:tc>
          <w:tcPr>
            <w:tcW w:type="dxa" w:w="1656"/>
          </w:tcPr>
          <w:p>
            <w:pPr>
              <w:spacing w:after="20"/>
            </w:pPr>
            <w:r>
              <w:rPr>
                <w:color w:val="1C3A36"/>
                <w:sz w:val="14"/>
              </w:rPr>
              <w:t>eps fy23</w:t>
            </w:r>
          </w:p>
        </w:tc>
        <w:tc>
          <w:tcPr>
            <w:tcW w:type="dxa" w:w="1440"/>
          </w:tcPr>
          <w:p>
            <w:pPr>
              <w:spacing w:after="20"/>
            </w:pPr>
            <w:r>
              <w:rPr>
                <w:color w:val="1C3A36"/>
                <w:sz w:val="14"/>
              </w:rPr>
              <w:t>0.2080</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basic and diluted earnings per share</w:t>
            </w:r>
          </w:p>
        </w:tc>
      </w:tr>
      <w:tr>
        <w:trPr>
          <w:cantSplit/>
        </w:trPr>
        <w:tc>
          <w:tcPr>
            <w:tcW w:type="dxa" w:w="1656"/>
          </w:tcPr>
          <w:p>
            <w:pPr>
              <w:spacing w:after="20"/>
            </w:pPr>
            <w:r>
              <w:rPr>
                <w:color w:val="1C3A36"/>
                <w:sz w:val="14"/>
              </w:rPr>
              <w:t>eps fy24</w:t>
            </w:r>
          </w:p>
        </w:tc>
        <w:tc>
          <w:tcPr>
            <w:tcW w:type="dxa" w:w="1440"/>
          </w:tcPr>
          <w:p>
            <w:pPr>
              <w:spacing w:after="20"/>
            </w:pPr>
            <w:r>
              <w:rPr>
                <w:color w:val="1C3A36"/>
                <w:sz w:val="14"/>
              </w:rPr>
              <w:t>0.1940</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basic and diluted earnings per share</w:t>
            </w:r>
          </w:p>
        </w:tc>
      </w:tr>
      <w:tr>
        <w:trPr>
          <w:cantSplit/>
        </w:trPr>
        <w:tc>
          <w:tcPr>
            <w:tcW w:type="dxa" w:w="1656"/>
          </w:tcPr>
          <w:p>
            <w:pPr>
              <w:spacing w:after="20"/>
            </w:pPr>
            <w:r>
              <w:rPr>
                <w:color w:val="1C3A36"/>
                <w:sz w:val="14"/>
              </w:rPr>
              <w:t>eps fy25</w:t>
            </w:r>
          </w:p>
        </w:tc>
        <w:tc>
          <w:tcPr>
            <w:tcW w:type="dxa" w:w="1440"/>
          </w:tcPr>
          <w:p>
            <w:pPr>
              <w:spacing w:after="20"/>
            </w:pPr>
            <w:r>
              <w:rPr>
                <w:color w:val="1C3A36"/>
                <w:sz w:val="14"/>
              </w:rPr>
              <w:t>0.2240</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basic and diluted earnings per share</w:t>
            </w:r>
          </w:p>
        </w:tc>
      </w:tr>
      <w:tr>
        <w:trPr>
          <w:cantSplit/>
        </w:trPr>
        <w:tc>
          <w:tcPr>
            <w:tcW w:type="dxa" w:w="1656"/>
          </w:tcPr>
          <w:p>
            <w:pPr>
              <w:spacing w:after="20"/>
            </w:pPr>
            <w:r>
              <w:rPr>
                <w:color w:val="1C3A36"/>
                <w:sz w:val="14"/>
              </w:rPr>
              <w:t>eqp fy23</w:t>
            </w:r>
          </w:p>
        </w:tc>
        <w:tc>
          <w:tcPr>
            <w:tcW w:type="dxa" w:w="1440"/>
          </w:tcPr>
          <w:p>
            <w:pPr>
              <w:spacing w:after="20"/>
            </w:pPr>
            <w:r>
              <w:rPr>
                <w:color w:val="1C3A36"/>
                <w:sz w:val="14"/>
              </w:rPr>
              <w:t>3,472.066</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equity attributable to owners of the Company</w:t>
            </w:r>
          </w:p>
        </w:tc>
      </w:tr>
      <w:tr>
        <w:trPr>
          <w:cantSplit/>
        </w:trPr>
        <w:tc>
          <w:tcPr>
            <w:tcW w:type="dxa" w:w="1656"/>
          </w:tcPr>
          <w:p>
            <w:pPr>
              <w:spacing w:after="20"/>
            </w:pPr>
            <w:r>
              <w:rPr>
                <w:color w:val="1C3A36"/>
                <w:sz w:val="14"/>
              </w:rPr>
              <w:t>eqp fy24</w:t>
            </w:r>
          </w:p>
        </w:tc>
        <w:tc>
          <w:tcPr>
            <w:tcW w:type="dxa" w:w="1440"/>
          </w:tcPr>
          <w:p>
            <w:pPr>
              <w:spacing w:after="20"/>
            </w:pPr>
            <w:r>
              <w:rPr>
                <w:color w:val="1C3A36"/>
                <w:sz w:val="14"/>
              </w:rPr>
              <w:t>2,991.839</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equity attributable to owners of the Company</w:t>
            </w:r>
          </w:p>
        </w:tc>
      </w:tr>
      <w:tr>
        <w:trPr>
          <w:cantSplit/>
        </w:trPr>
        <w:tc>
          <w:tcPr>
            <w:tcW w:type="dxa" w:w="1656"/>
          </w:tcPr>
          <w:p>
            <w:pPr>
              <w:spacing w:after="20"/>
            </w:pPr>
            <w:r>
              <w:rPr>
                <w:color w:val="1C3A36"/>
                <w:sz w:val="14"/>
              </w:rPr>
              <w:t>eqp fy25</w:t>
            </w:r>
          </w:p>
        </w:tc>
        <w:tc>
          <w:tcPr>
            <w:tcW w:type="dxa" w:w="1440"/>
          </w:tcPr>
          <w:p>
            <w:pPr>
              <w:spacing w:after="20"/>
            </w:pPr>
            <w:r>
              <w:rPr>
                <w:color w:val="1C3A36"/>
                <w:sz w:val="14"/>
              </w:rPr>
              <w:t>3,230.423</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equity attributable to owners of the Company</w:t>
            </w:r>
          </w:p>
        </w:tc>
      </w:tr>
      <w:tr>
        <w:trPr>
          <w:cantSplit/>
        </w:trPr>
        <w:tc>
          <w:tcPr>
            <w:tcW w:type="dxa" w:w="1656"/>
          </w:tcPr>
          <w:p>
            <w:pPr>
              <w:spacing w:after="20"/>
            </w:pPr>
            <w:r>
              <w:rPr>
                <w:color w:val="1C3A36"/>
                <w:sz w:val="14"/>
              </w:rPr>
              <w:t>evpoints h126</w:t>
            </w:r>
          </w:p>
        </w:tc>
        <w:tc>
          <w:tcPr>
            <w:tcW w:type="dxa" w:w="1440"/>
          </w:tcPr>
          <w:p>
            <w:pPr>
              <w:spacing w:after="20"/>
            </w:pPr>
            <w:r>
              <w:rPr>
                <w:color w:val="1C3A36"/>
                <w:sz w:val="14"/>
              </w:rPr>
              <w:t>406</w:t>
            </w:r>
          </w:p>
        </w:tc>
        <w:tc>
          <w:tcPr>
            <w:tcW w:type="dxa" w:w="936"/>
          </w:tcPr>
          <w:p>
            <w:pPr>
              <w:spacing w:after="20"/>
            </w:pPr>
            <w:r>
              <w:rPr>
                <w:color w:val="1C3A36"/>
                <w:sz w:val="14"/>
              </w:rPr>
              <w:t>30 Jun 2026</w:t>
            </w:r>
          </w:p>
        </w:tc>
        <w:tc>
          <w:tcPr>
            <w:tcW w:type="dxa" w:w="6048"/>
          </w:tcPr>
          <w:p>
            <w:pPr>
              <w:spacing w:after="20"/>
            </w:pPr>
            <w:r>
              <w:rPr>
                <w:color w:val="1C3A36"/>
                <w:sz w:val="14"/>
              </w:rPr>
              <w:t>ADNOC Distribution, Management Discussion &amp; Analysis Report, second quarter and first half 2026, 5 August 2026, electric-vehicle fast and super-fast charging points in the UAE</w:t>
            </w:r>
          </w:p>
        </w:tc>
      </w:tr>
      <w:tr>
        <w:trPr>
          <w:cantSplit/>
        </w:trPr>
        <w:tc>
          <w:tcPr>
            <w:tcW w:type="dxa" w:w="1656"/>
          </w:tcPr>
          <w:p>
            <w:pPr>
              <w:spacing w:after="20"/>
            </w:pPr>
            <w:r>
              <w:rPr>
                <w:color w:val="1C3A36"/>
                <w:sz w:val="14"/>
              </w:rPr>
              <w:t>fin fy23</w:t>
            </w:r>
          </w:p>
        </w:tc>
        <w:tc>
          <w:tcPr>
            <w:tcW w:type="dxa" w:w="1440"/>
          </w:tcPr>
          <w:p>
            <w:pPr>
              <w:spacing w:after="20"/>
            </w:pPr>
            <w:r>
              <w:rPr>
                <w:color w:val="1C3A36"/>
                <w:sz w:val="14"/>
              </w:rPr>
              <w:t>432.757</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finance costs</w:t>
            </w:r>
          </w:p>
        </w:tc>
      </w:tr>
      <w:tr>
        <w:trPr>
          <w:cantSplit/>
        </w:trPr>
        <w:tc>
          <w:tcPr>
            <w:tcW w:type="dxa" w:w="1656"/>
          </w:tcPr>
          <w:p>
            <w:pPr>
              <w:spacing w:after="20"/>
            </w:pPr>
            <w:r>
              <w:rPr>
                <w:color w:val="1C3A36"/>
                <w:sz w:val="14"/>
              </w:rPr>
              <w:t>fin fy24</w:t>
            </w:r>
          </w:p>
        </w:tc>
        <w:tc>
          <w:tcPr>
            <w:tcW w:type="dxa" w:w="1440"/>
          </w:tcPr>
          <w:p>
            <w:pPr>
              <w:spacing w:after="20"/>
            </w:pPr>
            <w:r>
              <w:rPr>
                <w:color w:val="1C3A36"/>
                <w:sz w:val="14"/>
              </w:rPr>
              <w:t>457.111</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finance costs</w:t>
            </w:r>
          </w:p>
        </w:tc>
      </w:tr>
      <w:tr>
        <w:trPr>
          <w:cantSplit/>
        </w:trPr>
        <w:tc>
          <w:tcPr>
            <w:tcW w:type="dxa" w:w="1656"/>
          </w:tcPr>
          <w:p>
            <w:pPr>
              <w:spacing w:after="20"/>
            </w:pPr>
            <w:r>
              <w:rPr>
                <w:color w:val="1C3A36"/>
                <w:sz w:val="14"/>
              </w:rPr>
              <w:t>fin fy25</w:t>
            </w:r>
          </w:p>
        </w:tc>
        <w:tc>
          <w:tcPr>
            <w:tcW w:type="dxa" w:w="1440"/>
          </w:tcPr>
          <w:p>
            <w:pPr>
              <w:spacing w:after="20"/>
            </w:pPr>
            <w:r>
              <w:rPr>
                <w:color w:val="1C3A36"/>
                <w:sz w:val="14"/>
              </w:rPr>
              <w:t>402.945</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finance costs</w:t>
            </w:r>
          </w:p>
        </w:tc>
      </w:tr>
      <w:tr>
        <w:trPr>
          <w:cantSplit/>
        </w:trPr>
        <w:tc>
          <w:tcPr>
            <w:tcW w:type="dxa" w:w="1656"/>
          </w:tcPr>
          <w:p>
            <w:pPr>
              <w:spacing w:after="20"/>
            </w:pPr>
            <w:r>
              <w:rPr>
                <w:color w:val="1C3A36"/>
                <w:sz w:val="14"/>
              </w:rPr>
              <w:t>fueltxn g</w:t>
            </w:r>
          </w:p>
        </w:tc>
        <w:tc>
          <w:tcPr>
            <w:tcW w:type="dxa" w:w="1440"/>
          </w:tcPr>
          <w:p>
            <w:pPr>
              <w:spacing w:after="20"/>
            </w:pPr>
            <w:r>
              <w:rPr>
                <w:color w:val="1C3A36"/>
                <w:sz w:val="14"/>
              </w:rPr>
              <w:t>0.010, 0.025, 0.022, 0.020, 0.018</w:t>
            </w:r>
          </w:p>
        </w:tc>
        <w:tc>
          <w:tcPr>
            <w:tcW w:type="dxa" w:w="936"/>
          </w:tcPr>
          <w:p>
            <w:pPr>
              <w:spacing w:after="20"/>
            </w:pPr>
            <w:r>
              <w:rPr>
                <w:color w:val="1C3A36"/>
                <w:sz w:val="14"/>
              </w:rPr>
              <w:t>30 Jun 2026</w:t>
            </w:r>
          </w:p>
        </w:tc>
        <w:tc>
          <w:tcPr>
            <w:tcW w:type="dxa" w:w="6048"/>
          </w:tcPr>
          <w:p>
            <w:pPr>
              <w:spacing w:after="20"/>
            </w:pPr>
            <w:r>
              <w:rPr>
                <w:color w:val="1C3A36"/>
                <w:sz w:val="14"/>
              </w:rPr>
              <w:t>Growth in fuel transactions. Realised 4.9% in the first half of 2026 (96.2 to 100.9 million) on the larger network</w:t>
            </w:r>
          </w:p>
        </w:tc>
      </w:tr>
      <w:tr>
        <w:trPr>
          <w:cantSplit/>
        </w:trPr>
        <w:tc>
          <w:tcPr>
            <w:tcW w:type="dxa" w:w="1656"/>
          </w:tcPr>
          <w:p>
            <w:pPr>
              <w:spacing w:after="20"/>
            </w:pPr>
            <w:r>
              <w:rPr>
                <w:color w:val="1C3A36"/>
                <w:sz w:val="14"/>
              </w:rPr>
              <w:t>fueltxn h125</w:t>
            </w:r>
          </w:p>
        </w:tc>
        <w:tc>
          <w:tcPr>
            <w:tcW w:type="dxa" w:w="1440"/>
          </w:tcPr>
          <w:p>
            <w:pPr>
              <w:spacing w:after="20"/>
            </w:pPr>
            <w:r>
              <w:rPr>
                <w:color w:val="1C3A36"/>
                <w:sz w:val="14"/>
              </w:rPr>
              <w:t>96.200</w:t>
            </w:r>
          </w:p>
        </w:tc>
        <w:tc>
          <w:tcPr>
            <w:tcW w:type="dxa" w:w="936"/>
          </w:tcPr>
          <w:p>
            <w:pPr>
              <w:spacing w:after="20"/>
            </w:pPr>
            <w:r>
              <w:rPr>
                <w:color w:val="1C3A36"/>
                <w:sz w:val="14"/>
              </w:rPr>
              <w:t>30 Jun 2025</w:t>
            </w:r>
          </w:p>
        </w:tc>
        <w:tc>
          <w:tcPr>
            <w:tcW w:type="dxa" w:w="6048"/>
          </w:tcPr>
          <w:p>
            <w:pPr>
              <w:spacing w:after="20"/>
            </w:pPr>
            <w:r>
              <w:rPr>
                <w:color w:val="1C3A36"/>
                <w:sz w:val="14"/>
              </w:rPr>
              <w:t>ADNOC Distribution, results presentation, second quarter and first half 2026, 5 August 2026, operating-performance appendix, fuel transactions, UAE, prior-period comparative</w:t>
            </w:r>
          </w:p>
        </w:tc>
      </w:tr>
      <w:tr>
        <w:trPr>
          <w:cantSplit/>
        </w:trPr>
        <w:tc>
          <w:tcPr>
            <w:tcW w:type="dxa" w:w="1656"/>
          </w:tcPr>
          <w:p>
            <w:pPr>
              <w:spacing w:after="20"/>
            </w:pPr>
            <w:r>
              <w:rPr>
                <w:color w:val="1C3A36"/>
                <w:sz w:val="14"/>
              </w:rPr>
              <w:t>fueltxn h126</w:t>
            </w:r>
          </w:p>
        </w:tc>
        <w:tc>
          <w:tcPr>
            <w:tcW w:type="dxa" w:w="1440"/>
          </w:tcPr>
          <w:p>
            <w:pPr>
              <w:spacing w:after="20"/>
            </w:pPr>
            <w:r>
              <w:rPr>
                <w:color w:val="1C3A36"/>
                <w:sz w:val="14"/>
              </w:rPr>
              <w:t>100.900</w:t>
            </w:r>
          </w:p>
        </w:tc>
        <w:tc>
          <w:tcPr>
            <w:tcW w:type="dxa" w:w="936"/>
          </w:tcPr>
          <w:p>
            <w:pPr>
              <w:spacing w:after="20"/>
            </w:pPr>
            <w:r>
              <w:rPr>
                <w:color w:val="1C3A36"/>
                <w:sz w:val="14"/>
              </w:rPr>
              <w:t>30 Jun 2026</w:t>
            </w:r>
          </w:p>
        </w:tc>
        <w:tc>
          <w:tcPr>
            <w:tcW w:type="dxa" w:w="6048"/>
          </w:tcPr>
          <w:p>
            <w:pPr>
              <w:spacing w:after="20"/>
            </w:pPr>
            <w:r>
              <w:rPr>
                <w:color w:val="1C3A36"/>
                <w:sz w:val="14"/>
              </w:rPr>
              <w:t>ADNOC Distribution, results presentation, second quarter and first half 2026, 5 August 2026, operating-performance appendix, fuel transactions, UAE, millions, six months</w:t>
            </w:r>
          </w:p>
        </w:tc>
      </w:tr>
      <w:tr>
        <w:trPr>
          <w:cantSplit/>
        </w:trPr>
        <w:tc>
          <w:tcPr>
            <w:tcW w:type="dxa" w:w="1656"/>
          </w:tcPr>
          <w:p>
            <w:pPr>
              <w:spacing w:after="20"/>
            </w:pPr>
            <w:r>
              <w:rPr>
                <w:color w:val="1C3A36"/>
                <w:sz w:val="14"/>
              </w:rPr>
              <w:t>gm nonfuel</w:t>
            </w:r>
          </w:p>
        </w:tc>
        <w:tc>
          <w:tcPr>
            <w:tcW w:type="dxa" w:w="1440"/>
          </w:tcPr>
          <w:p>
            <w:pPr>
              <w:spacing w:after="20"/>
            </w:pPr>
            <w:r>
              <w:rPr>
                <w:color w:val="1C3A36"/>
                <w:sz w:val="14"/>
              </w:rPr>
              <w:t>56.00%, 56.00%, 56.00%, 56.00%, 56.00%</w:t>
            </w:r>
          </w:p>
        </w:tc>
        <w:tc>
          <w:tcPr>
            <w:tcW w:type="dxa" w:w="936"/>
          </w:tcPr>
          <w:p>
            <w:pPr>
              <w:spacing w:after="20"/>
            </w:pPr>
            <w:r>
              <w:rPr>
                <w:color w:val="1C3A36"/>
                <w:sz w:val="14"/>
              </w:rPr>
              <w:t>30 Jun 2026</w:t>
            </w:r>
          </w:p>
        </w:tc>
        <w:tc>
          <w:tcPr>
            <w:tcW w:type="dxa" w:w="6048"/>
          </w:tcPr>
          <w:p>
            <w:pPr>
              <w:spacing w:after="20"/>
            </w:pPr>
            <w:r>
              <w:rPr>
                <w:color w:val="1C3A36"/>
                <w:sz w:val="14"/>
              </w:rPr>
              <w:t>Non-fuel retail gross margin, held at the level realised in the first half of 2026 (AED 522 million of gross profit on AED 927 million of revenue, 56.3%) and the 55.2% of FY2025</w:t>
            </w:r>
          </w:p>
        </w:tc>
      </w:tr>
      <w:tr>
        <w:trPr>
          <w:cantSplit/>
        </w:trPr>
        <w:tc>
          <w:tcPr>
            <w:tcW w:type="dxa" w:w="1656"/>
          </w:tcPr>
          <w:p>
            <w:pPr>
              <w:spacing w:after="20"/>
            </w:pPr>
            <w:r>
              <w:rPr>
                <w:color w:val="1C3A36"/>
                <w:sz w:val="14"/>
              </w:rPr>
              <w:t>gp comm fy25</w:t>
            </w:r>
          </w:p>
        </w:tc>
        <w:tc>
          <w:tcPr>
            <w:tcW w:type="dxa" w:w="1440"/>
          </w:tcPr>
          <w:p>
            <w:pPr>
              <w:spacing w:after="20"/>
            </w:pPr>
            <w:r>
              <w:rPr>
                <w:color w:val="1C3A36"/>
                <w:sz w:val="14"/>
              </w:rPr>
              <w:t>1,729</w:t>
            </w:r>
          </w:p>
        </w:tc>
        <w:tc>
          <w:tcPr>
            <w:tcW w:type="dxa" w:w="936"/>
          </w:tcPr>
          <w:p>
            <w:pPr>
              <w:spacing w:after="20"/>
            </w:pPr>
            <w:r>
              <w:rPr>
                <w:color w:val="1C3A36"/>
                <w:sz w:val="14"/>
              </w:rPr>
              <w:t>31 Dec 2025</w:t>
            </w:r>
          </w:p>
        </w:tc>
        <w:tc>
          <w:tcPr>
            <w:tcW w:type="dxa" w:w="6048"/>
          </w:tcPr>
          <w:p>
            <w:pPr>
              <w:spacing w:after="20"/>
            </w:pPr>
            <w:r>
              <w:rPr>
                <w:color w:val="1C3A36"/>
                <w:sz w:val="14"/>
              </w:rPr>
              <w:t>ADNOC Distribution, Management Discussion &amp; Analysis Report, full year 2025, 3 February 2026, commercial gross profit</w:t>
            </w:r>
          </w:p>
        </w:tc>
      </w:tr>
      <w:tr>
        <w:trPr>
          <w:cantSplit/>
        </w:trPr>
        <w:tc>
          <w:tcPr>
            <w:tcW w:type="dxa" w:w="1656"/>
          </w:tcPr>
          <w:p>
            <w:pPr>
              <w:spacing w:after="20"/>
            </w:pPr>
            <w:r>
              <w:rPr>
                <w:color w:val="1C3A36"/>
                <w:sz w:val="14"/>
              </w:rPr>
              <w:t>gp comm h125</w:t>
            </w:r>
          </w:p>
        </w:tc>
        <w:tc>
          <w:tcPr>
            <w:tcW w:type="dxa" w:w="1440"/>
          </w:tcPr>
          <w:p>
            <w:pPr>
              <w:spacing w:after="20"/>
            </w:pPr>
            <w:r>
              <w:rPr>
                <w:color w:val="1C3A36"/>
                <w:sz w:val="14"/>
              </w:rPr>
              <w:t>841</w:t>
            </w:r>
          </w:p>
        </w:tc>
        <w:tc>
          <w:tcPr>
            <w:tcW w:type="dxa" w:w="936"/>
          </w:tcPr>
          <w:p>
            <w:pPr>
              <w:spacing w:after="20"/>
            </w:pPr>
            <w:r>
              <w:rPr>
                <w:color w:val="1C3A36"/>
                <w:sz w:val="14"/>
              </w:rPr>
              <w:t>30 Jun 2025</w:t>
            </w:r>
          </w:p>
        </w:tc>
        <w:tc>
          <w:tcPr>
            <w:tcW w:type="dxa" w:w="6048"/>
          </w:tcPr>
          <w:p>
            <w:pPr>
              <w:spacing w:after="20"/>
            </w:pPr>
            <w:r>
              <w:rPr>
                <w:color w:val="1C3A36"/>
                <w:sz w:val="14"/>
              </w:rPr>
              <w:t>Derived from ADNOC Distribution, Management Discussion &amp; Analysis Report, second quarter and first half 2026, 5 August 2026: commercial gross profit of AED 1,268 million was stated to be 50.8% above the prior period, which places the prior period at AED 841 million</w:t>
            </w:r>
          </w:p>
        </w:tc>
      </w:tr>
      <w:tr>
        <w:trPr>
          <w:cantSplit/>
        </w:trPr>
        <w:tc>
          <w:tcPr>
            <w:tcW w:type="dxa" w:w="1656"/>
          </w:tcPr>
          <w:p>
            <w:pPr>
              <w:spacing w:after="20"/>
            </w:pPr>
            <w:r>
              <w:rPr>
                <w:color w:val="1C3A36"/>
                <w:sz w:val="14"/>
              </w:rPr>
              <w:t>gp comm h126</w:t>
            </w:r>
          </w:p>
        </w:tc>
        <w:tc>
          <w:tcPr>
            <w:tcW w:type="dxa" w:w="1440"/>
          </w:tcPr>
          <w:p>
            <w:pPr>
              <w:spacing w:after="20"/>
            </w:pPr>
            <w:r>
              <w:rPr>
                <w:color w:val="1C3A36"/>
                <w:sz w:val="14"/>
              </w:rPr>
              <w:t>1,268</w:t>
            </w:r>
          </w:p>
        </w:tc>
        <w:tc>
          <w:tcPr>
            <w:tcW w:type="dxa" w:w="936"/>
          </w:tcPr>
          <w:p>
            <w:pPr>
              <w:spacing w:after="20"/>
            </w:pPr>
            <w:r>
              <w:rPr>
                <w:color w:val="1C3A36"/>
                <w:sz w:val="14"/>
              </w:rPr>
              <w:t>30 Jun 2026</w:t>
            </w:r>
          </w:p>
        </w:tc>
        <w:tc>
          <w:tcPr>
            <w:tcW w:type="dxa" w:w="6048"/>
          </w:tcPr>
          <w:p>
            <w:pPr>
              <w:spacing w:after="20"/>
            </w:pPr>
            <w:r>
              <w:rPr>
                <w:color w:val="1C3A36"/>
                <w:sz w:val="14"/>
              </w:rPr>
              <w:t>ADNOC Distribution, Management Discussion &amp; Analysis Report, second quarter and first half 2026, 5 August 2026, commercial gross profit, six months</w:t>
            </w:r>
          </w:p>
        </w:tc>
      </w:tr>
      <w:tr>
        <w:trPr>
          <w:cantSplit/>
        </w:trPr>
        <w:tc>
          <w:tcPr>
            <w:tcW w:type="dxa" w:w="1656"/>
          </w:tcPr>
          <w:p>
            <w:pPr>
              <w:spacing w:after="20"/>
            </w:pPr>
            <w:r>
              <w:rPr>
                <w:color w:val="1C3A36"/>
                <w:sz w:val="14"/>
              </w:rPr>
              <w:t>gp comm per l g</w:t>
            </w:r>
          </w:p>
        </w:tc>
        <w:tc>
          <w:tcPr>
            <w:tcW w:type="dxa" w:w="1440"/>
          </w:tcPr>
          <w:p>
            <w:pPr>
              <w:spacing w:after="20"/>
            </w:pPr>
            <w:r>
              <w:rPr>
                <w:color w:val="1C3A36"/>
                <w:sz w:val="14"/>
              </w:rPr>
              <w:t>17.00%, 2.00%, 2.00%, 2.00%, 2.00%</w:t>
            </w:r>
          </w:p>
        </w:tc>
        <w:tc>
          <w:tcPr>
            <w:tcW w:type="dxa" w:w="936"/>
          </w:tcPr>
          <w:p>
            <w:pPr>
              <w:spacing w:after="20"/>
            </w:pPr>
            <w:r>
              <w:rPr>
                <w:color w:val="1C3A36"/>
                <w:sz w:val="14"/>
              </w:rPr>
              <w:t>5 Aug 2026</w:t>
            </w:r>
          </w:p>
        </w:tc>
        <w:tc>
          <w:tcPr>
            <w:tcW w:type="dxa" w:w="6048"/>
          </w:tcPr>
          <w:p>
            <w:pPr>
              <w:spacing w:after="20"/>
            </w:pPr>
            <w:r>
              <w:rPr>
                <w:color w:val="1C3A36"/>
                <w:sz w:val="14"/>
              </w:rPr>
              <w:t>Escalation of the structural commercial margin per litre. The 17% step in FY2026 is the realised first-half outcome, where corporate gross profit per litre excluding inventory movements was 28% higher year on year on the company's own disclosure; it then reverts to the domestic inflation escalator</w:t>
            </w:r>
          </w:p>
        </w:tc>
      </w:tr>
      <w:tr>
        <w:trPr>
          <w:cantSplit/>
        </w:trPr>
        <w:tc>
          <w:tcPr>
            <w:tcW w:type="dxa" w:w="1656"/>
          </w:tcPr>
          <w:p>
            <w:pPr>
              <w:spacing w:after="20"/>
            </w:pPr>
            <w:r>
              <w:rPr>
                <w:color w:val="1C3A36"/>
                <w:sz w:val="14"/>
              </w:rPr>
              <w:t>gp fy23</w:t>
            </w:r>
          </w:p>
        </w:tc>
        <w:tc>
          <w:tcPr>
            <w:tcW w:type="dxa" w:w="1440"/>
          </w:tcPr>
          <w:p>
            <w:pPr>
              <w:spacing w:after="20"/>
            </w:pPr>
            <w:r>
              <w:rPr>
                <w:color w:val="1C3A36"/>
                <w:sz w:val="14"/>
              </w:rPr>
              <w:t>5,836.285</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gross profit</w:t>
            </w:r>
          </w:p>
        </w:tc>
      </w:tr>
      <w:tr>
        <w:trPr>
          <w:cantSplit/>
        </w:trPr>
        <w:tc>
          <w:tcPr>
            <w:tcW w:type="dxa" w:w="1656"/>
          </w:tcPr>
          <w:p>
            <w:pPr>
              <w:spacing w:after="20"/>
            </w:pPr>
            <w:r>
              <w:rPr>
                <w:color w:val="1C3A36"/>
                <w:sz w:val="14"/>
              </w:rPr>
              <w:t>gp fy24</w:t>
            </w:r>
          </w:p>
        </w:tc>
        <w:tc>
          <w:tcPr>
            <w:tcW w:type="dxa" w:w="1440"/>
          </w:tcPr>
          <w:p>
            <w:pPr>
              <w:spacing w:after="20"/>
            </w:pPr>
            <w:r>
              <w:rPr>
                <w:color w:val="1C3A36"/>
                <w:sz w:val="14"/>
              </w:rPr>
              <w:t>6,216.032</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gross profit</w:t>
            </w:r>
          </w:p>
        </w:tc>
      </w:tr>
      <w:tr>
        <w:trPr>
          <w:cantSplit/>
        </w:trPr>
        <w:tc>
          <w:tcPr>
            <w:tcW w:type="dxa" w:w="1656"/>
          </w:tcPr>
          <w:p>
            <w:pPr>
              <w:spacing w:after="20"/>
            </w:pPr>
            <w:r>
              <w:rPr>
                <w:color w:val="1C3A36"/>
                <w:sz w:val="14"/>
              </w:rPr>
              <w:t>gp fy25</w:t>
            </w:r>
          </w:p>
        </w:tc>
        <w:tc>
          <w:tcPr>
            <w:tcW w:type="dxa" w:w="1440"/>
          </w:tcPr>
          <w:p>
            <w:pPr>
              <w:spacing w:after="20"/>
            </w:pPr>
            <w:r>
              <w:rPr>
                <w:color w:val="1C3A36"/>
                <w:sz w:val="14"/>
              </w:rPr>
              <w:t>6,945.790</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gross profit</w:t>
            </w:r>
          </w:p>
        </w:tc>
      </w:tr>
      <w:tr>
        <w:trPr>
          <w:cantSplit/>
        </w:trPr>
        <w:tc>
          <w:tcPr>
            <w:tcW w:type="dxa" w:w="1656"/>
          </w:tcPr>
          <w:p>
            <w:pPr>
              <w:spacing w:after="20"/>
            </w:pPr>
            <w:r>
              <w:rPr>
                <w:color w:val="1C3A36"/>
                <w:sz w:val="14"/>
              </w:rPr>
              <w:t>gp h126</w:t>
            </w:r>
          </w:p>
        </w:tc>
        <w:tc>
          <w:tcPr>
            <w:tcW w:type="dxa" w:w="1440"/>
          </w:tcPr>
          <w:p>
            <w:pPr>
              <w:spacing w:after="20"/>
            </w:pPr>
            <w:r>
              <w:rPr>
                <w:color w:val="1C3A36"/>
                <w:sz w:val="14"/>
              </w:rPr>
              <w:t>4,252.102</w:t>
            </w:r>
          </w:p>
        </w:tc>
        <w:tc>
          <w:tcPr>
            <w:tcW w:type="dxa" w:w="936"/>
          </w:tcPr>
          <w:p>
            <w:pPr>
              <w:spacing w:after="20"/>
            </w:pPr>
            <w:r>
              <w:rPr>
                <w:color w:val="1C3A36"/>
                <w:sz w:val="14"/>
              </w:rPr>
              <w:t>30 Jun 2026</w:t>
            </w:r>
          </w:p>
        </w:tc>
        <w:tc>
          <w:tcPr>
            <w:tcW w:type="dxa" w:w="6048"/>
          </w:tcPr>
          <w:p>
            <w:pPr>
              <w:spacing w:after="20"/>
            </w:pPr>
            <w:r>
              <w:rPr>
                <w:color w:val="1C3A36"/>
                <w:sz w:val="14"/>
              </w:rPr>
              <w:t>Abu Dhabi National Oil Company for Distribution PJSC, reviewed interim condensed consolidated financial statements for the six months ended 30 June 2026, published on the company's investor-relations site, gross profit, six months ended 30 June 2026</w:t>
            </w:r>
          </w:p>
        </w:tc>
      </w:tr>
      <w:tr>
        <w:trPr>
          <w:cantSplit/>
        </w:trPr>
        <w:tc>
          <w:tcPr>
            <w:tcW w:type="dxa" w:w="1656"/>
          </w:tcPr>
          <w:p>
            <w:pPr>
              <w:spacing w:after="20"/>
            </w:pPr>
            <w:r>
              <w:rPr>
                <w:color w:val="1C3A36"/>
                <w:sz w:val="14"/>
              </w:rPr>
              <w:t>gp nonfuel fy25</w:t>
            </w:r>
          </w:p>
        </w:tc>
        <w:tc>
          <w:tcPr>
            <w:tcW w:type="dxa" w:w="1440"/>
          </w:tcPr>
          <w:p>
            <w:pPr>
              <w:spacing w:after="20"/>
            </w:pPr>
            <w:r>
              <w:rPr>
                <w:color w:val="1C3A36"/>
                <w:sz w:val="14"/>
              </w:rPr>
              <w:t>984</w:t>
            </w:r>
          </w:p>
        </w:tc>
        <w:tc>
          <w:tcPr>
            <w:tcW w:type="dxa" w:w="936"/>
          </w:tcPr>
          <w:p>
            <w:pPr>
              <w:spacing w:after="20"/>
            </w:pPr>
            <w:r>
              <w:rPr>
                <w:color w:val="1C3A36"/>
                <w:sz w:val="14"/>
              </w:rPr>
              <w:t>31 Dec 2025</w:t>
            </w:r>
          </w:p>
        </w:tc>
        <w:tc>
          <w:tcPr>
            <w:tcW w:type="dxa" w:w="6048"/>
          </w:tcPr>
          <w:p>
            <w:pPr>
              <w:spacing w:after="20"/>
            </w:pPr>
            <w:r>
              <w:rPr>
                <w:color w:val="1C3A36"/>
                <w:sz w:val="14"/>
              </w:rPr>
              <w:t>ADNOC Distribution, Management Discussion &amp; Analysis Report, full year 2025, 3 February 2026, non-fuel retail gross profit</w:t>
            </w:r>
          </w:p>
        </w:tc>
      </w:tr>
      <w:tr>
        <w:trPr>
          <w:cantSplit/>
        </w:trPr>
        <w:tc>
          <w:tcPr>
            <w:tcW w:type="dxa" w:w="1656"/>
          </w:tcPr>
          <w:p>
            <w:pPr>
              <w:spacing w:after="20"/>
            </w:pPr>
            <w:r>
              <w:rPr>
                <w:color w:val="1C3A36"/>
                <w:sz w:val="14"/>
              </w:rPr>
              <w:t>gp nonfuel h125</w:t>
            </w:r>
          </w:p>
        </w:tc>
        <w:tc>
          <w:tcPr>
            <w:tcW w:type="dxa" w:w="1440"/>
          </w:tcPr>
          <w:p>
            <w:pPr>
              <w:spacing w:after="20"/>
            </w:pPr>
            <w:r>
              <w:rPr>
                <w:color w:val="1C3A36"/>
                <w:sz w:val="14"/>
              </w:rPr>
              <w:t>465</w:t>
            </w:r>
          </w:p>
        </w:tc>
        <w:tc>
          <w:tcPr>
            <w:tcW w:type="dxa" w:w="936"/>
          </w:tcPr>
          <w:p>
            <w:pPr>
              <w:spacing w:after="20"/>
            </w:pPr>
            <w:r>
              <w:rPr>
                <w:color w:val="1C3A36"/>
                <w:sz w:val="14"/>
              </w:rPr>
              <w:t>30 Jun 2025</w:t>
            </w:r>
          </w:p>
        </w:tc>
        <w:tc>
          <w:tcPr>
            <w:tcW w:type="dxa" w:w="6048"/>
          </w:tcPr>
          <w:p>
            <w:pPr>
              <w:spacing w:after="20"/>
            </w:pPr>
            <w:r>
              <w:rPr>
                <w:color w:val="1C3A36"/>
                <w:sz w:val="14"/>
              </w:rPr>
              <w:t>Derived from ADNOC Distribution, Management Discussion &amp; Analysis Report, second quarter and first half 2026, 5 August 2026: non-fuel retail gross profit of AED 522 million was stated to be 12.3% above the prior period, which places the prior period at AED 465 million</w:t>
            </w:r>
          </w:p>
        </w:tc>
      </w:tr>
      <w:tr>
        <w:trPr>
          <w:cantSplit/>
        </w:trPr>
        <w:tc>
          <w:tcPr>
            <w:tcW w:type="dxa" w:w="1656"/>
          </w:tcPr>
          <w:p>
            <w:pPr>
              <w:spacing w:after="20"/>
            </w:pPr>
            <w:r>
              <w:rPr>
                <w:color w:val="1C3A36"/>
                <w:sz w:val="14"/>
              </w:rPr>
              <w:t>gp nonfuel h126</w:t>
            </w:r>
          </w:p>
        </w:tc>
        <w:tc>
          <w:tcPr>
            <w:tcW w:type="dxa" w:w="1440"/>
          </w:tcPr>
          <w:p>
            <w:pPr>
              <w:spacing w:after="20"/>
            </w:pPr>
            <w:r>
              <w:rPr>
                <w:color w:val="1C3A36"/>
                <w:sz w:val="14"/>
              </w:rPr>
              <w:t>522</w:t>
            </w:r>
          </w:p>
        </w:tc>
        <w:tc>
          <w:tcPr>
            <w:tcW w:type="dxa" w:w="936"/>
          </w:tcPr>
          <w:p>
            <w:pPr>
              <w:spacing w:after="20"/>
            </w:pPr>
            <w:r>
              <w:rPr>
                <w:color w:val="1C3A36"/>
                <w:sz w:val="14"/>
              </w:rPr>
              <w:t>30 Jun 2026</w:t>
            </w:r>
          </w:p>
        </w:tc>
        <w:tc>
          <w:tcPr>
            <w:tcW w:type="dxa" w:w="6048"/>
          </w:tcPr>
          <w:p>
            <w:pPr>
              <w:spacing w:after="20"/>
            </w:pPr>
            <w:r>
              <w:rPr>
                <w:color w:val="1C3A36"/>
                <w:sz w:val="14"/>
              </w:rPr>
              <w:t>ADNOC Distribution, Management Discussion &amp; Analysis Report, second quarter and first half 2026, 5 August 2026, non-fuel retail gross profit, six months</w:t>
            </w:r>
          </w:p>
        </w:tc>
      </w:tr>
      <w:tr>
        <w:trPr>
          <w:cantSplit/>
        </w:trPr>
        <w:tc>
          <w:tcPr>
            <w:tcW w:type="dxa" w:w="1656"/>
          </w:tcPr>
          <w:p>
            <w:pPr>
              <w:spacing w:after="20"/>
            </w:pPr>
            <w:r>
              <w:rPr>
                <w:color w:val="1C3A36"/>
                <w:sz w:val="14"/>
              </w:rPr>
              <w:t>gp retfuel fy25</w:t>
            </w:r>
          </w:p>
        </w:tc>
        <w:tc>
          <w:tcPr>
            <w:tcW w:type="dxa" w:w="1440"/>
          </w:tcPr>
          <w:p>
            <w:pPr>
              <w:spacing w:after="20"/>
            </w:pPr>
            <w:r>
              <w:rPr>
                <w:color w:val="1C3A36"/>
                <w:sz w:val="14"/>
              </w:rPr>
              <w:t>4,233</w:t>
            </w:r>
          </w:p>
        </w:tc>
        <w:tc>
          <w:tcPr>
            <w:tcW w:type="dxa" w:w="936"/>
          </w:tcPr>
          <w:p>
            <w:pPr>
              <w:spacing w:after="20"/>
            </w:pPr>
            <w:r>
              <w:rPr>
                <w:color w:val="1C3A36"/>
                <w:sz w:val="14"/>
              </w:rPr>
              <w:t>31 Dec 2025</w:t>
            </w:r>
          </w:p>
        </w:tc>
        <w:tc>
          <w:tcPr>
            <w:tcW w:type="dxa" w:w="6048"/>
          </w:tcPr>
          <w:p>
            <w:pPr>
              <w:spacing w:after="20"/>
            </w:pPr>
            <w:r>
              <w:rPr>
                <w:color w:val="1C3A36"/>
                <w:sz w:val="14"/>
              </w:rPr>
              <w:t>ADNOC Distribution, Management Discussion &amp; Analysis Report, full year 2025, 3 February 2026, fuel retail gross profit</w:t>
            </w:r>
          </w:p>
        </w:tc>
      </w:tr>
      <w:tr>
        <w:trPr>
          <w:cantSplit/>
        </w:trPr>
        <w:tc>
          <w:tcPr>
            <w:tcW w:type="dxa" w:w="1656"/>
          </w:tcPr>
          <w:p>
            <w:pPr>
              <w:spacing w:after="20"/>
            </w:pPr>
            <w:r>
              <w:rPr>
                <w:color w:val="1C3A36"/>
                <w:sz w:val="14"/>
              </w:rPr>
              <w:t>gp retfuel h125</w:t>
            </w:r>
          </w:p>
        </w:tc>
        <w:tc>
          <w:tcPr>
            <w:tcW w:type="dxa" w:w="1440"/>
          </w:tcPr>
          <w:p>
            <w:pPr>
              <w:spacing w:after="20"/>
            </w:pPr>
            <w:r>
              <w:rPr>
                <w:color w:val="1C3A36"/>
                <w:sz w:val="14"/>
              </w:rPr>
              <w:t>1,993</w:t>
            </w:r>
          </w:p>
        </w:tc>
        <w:tc>
          <w:tcPr>
            <w:tcW w:type="dxa" w:w="936"/>
          </w:tcPr>
          <w:p>
            <w:pPr>
              <w:spacing w:after="20"/>
            </w:pPr>
            <w:r>
              <w:rPr>
                <w:color w:val="1C3A36"/>
                <w:sz w:val="14"/>
              </w:rPr>
              <w:t>30 Jun 2025</w:t>
            </w:r>
          </w:p>
        </w:tc>
        <w:tc>
          <w:tcPr>
            <w:tcW w:type="dxa" w:w="6048"/>
          </w:tcPr>
          <w:p>
            <w:pPr>
              <w:spacing w:after="20"/>
            </w:pPr>
            <w:r>
              <w:rPr>
                <w:color w:val="1C3A36"/>
                <w:sz w:val="14"/>
              </w:rPr>
              <w:t>Derived from ADNOC Distribution, Management Discussion &amp; Analysis Report, second quarter and first half 2026, 5 August 2026: fuel retail gross profit of AED 2,462 million in the first half of 2026 was stated to be 23.5% above the prior period, which places the prior period at AED 1,993 million. The company does not print the prior-period segment figure itself</w:t>
            </w:r>
          </w:p>
        </w:tc>
      </w:tr>
      <w:tr>
        <w:trPr>
          <w:cantSplit/>
        </w:trPr>
        <w:tc>
          <w:tcPr>
            <w:tcW w:type="dxa" w:w="1656"/>
          </w:tcPr>
          <w:p>
            <w:pPr>
              <w:spacing w:after="20"/>
            </w:pPr>
            <w:r>
              <w:rPr>
                <w:color w:val="1C3A36"/>
                <w:sz w:val="14"/>
              </w:rPr>
              <w:t>gp retfuel h126</w:t>
            </w:r>
          </w:p>
        </w:tc>
        <w:tc>
          <w:tcPr>
            <w:tcW w:type="dxa" w:w="1440"/>
          </w:tcPr>
          <w:p>
            <w:pPr>
              <w:spacing w:after="20"/>
            </w:pPr>
            <w:r>
              <w:rPr>
                <w:color w:val="1C3A36"/>
                <w:sz w:val="14"/>
              </w:rPr>
              <w:t>2,462</w:t>
            </w:r>
          </w:p>
        </w:tc>
        <w:tc>
          <w:tcPr>
            <w:tcW w:type="dxa" w:w="936"/>
          </w:tcPr>
          <w:p>
            <w:pPr>
              <w:spacing w:after="20"/>
            </w:pPr>
            <w:r>
              <w:rPr>
                <w:color w:val="1C3A36"/>
                <w:sz w:val="14"/>
              </w:rPr>
              <w:t>30 Jun 2026</w:t>
            </w:r>
          </w:p>
        </w:tc>
        <w:tc>
          <w:tcPr>
            <w:tcW w:type="dxa" w:w="6048"/>
          </w:tcPr>
          <w:p>
            <w:pPr>
              <w:spacing w:after="20"/>
            </w:pPr>
            <w:r>
              <w:rPr>
                <w:color w:val="1C3A36"/>
                <w:sz w:val="14"/>
              </w:rPr>
              <w:t>ADNOC Distribution, Management Discussion &amp; Analysis Report, second quarter and first half 2026, 5 August 2026, fuel retail gross profit, six months</w:t>
            </w:r>
          </w:p>
        </w:tc>
      </w:tr>
      <w:tr>
        <w:trPr>
          <w:cantSplit/>
        </w:trPr>
        <w:tc>
          <w:tcPr>
            <w:tcW w:type="dxa" w:w="1656"/>
          </w:tcPr>
          <w:p>
            <w:pPr>
              <w:spacing w:after="20"/>
            </w:pPr>
            <w:r>
              <w:rPr>
                <w:color w:val="1C3A36"/>
                <w:sz w:val="14"/>
              </w:rPr>
              <w:t>gwi fy23</w:t>
            </w:r>
          </w:p>
        </w:tc>
        <w:tc>
          <w:tcPr>
            <w:tcW w:type="dxa" w:w="1440"/>
          </w:tcPr>
          <w:p>
            <w:pPr>
              <w:spacing w:after="20"/>
            </w:pPr>
            <w:r>
              <w:rPr>
                <w:color w:val="1C3A36"/>
                <w:sz w:val="14"/>
              </w:rPr>
              <w:t>1,053.811</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goodwill and intangible assets</w:t>
            </w:r>
          </w:p>
        </w:tc>
      </w:tr>
      <w:tr>
        <w:trPr>
          <w:cantSplit/>
        </w:trPr>
        <w:tc>
          <w:tcPr>
            <w:tcW w:type="dxa" w:w="1656"/>
          </w:tcPr>
          <w:p>
            <w:pPr>
              <w:spacing w:after="20"/>
            </w:pPr>
            <w:r>
              <w:rPr>
                <w:color w:val="1C3A36"/>
                <w:sz w:val="14"/>
              </w:rPr>
              <w:t>gwi fy24</w:t>
            </w:r>
          </w:p>
        </w:tc>
        <w:tc>
          <w:tcPr>
            <w:tcW w:type="dxa" w:w="1440"/>
          </w:tcPr>
          <w:p>
            <w:pPr>
              <w:spacing w:after="20"/>
            </w:pPr>
            <w:r>
              <w:rPr>
                <w:color w:val="1C3A36"/>
                <w:sz w:val="14"/>
              </w:rPr>
              <w:t>599.307</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goodwill and intangible assets</w:t>
            </w:r>
          </w:p>
        </w:tc>
      </w:tr>
      <w:tr>
        <w:trPr>
          <w:cantSplit/>
        </w:trPr>
        <w:tc>
          <w:tcPr>
            <w:tcW w:type="dxa" w:w="1656"/>
          </w:tcPr>
          <w:p>
            <w:pPr>
              <w:spacing w:after="20"/>
            </w:pPr>
            <w:r>
              <w:rPr>
                <w:color w:val="1C3A36"/>
                <w:sz w:val="14"/>
              </w:rPr>
              <w:t>gwi fy25</w:t>
            </w:r>
          </w:p>
        </w:tc>
        <w:tc>
          <w:tcPr>
            <w:tcW w:type="dxa" w:w="1440"/>
          </w:tcPr>
          <w:p>
            <w:pPr>
              <w:spacing w:after="20"/>
            </w:pPr>
            <w:r>
              <w:rPr>
                <w:color w:val="1C3A36"/>
                <w:sz w:val="14"/>
              </w:rPr>
              <w:t>621.853</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goodwill and intangible assets</w:t>
            </w:r>
          </w:p>
        </w:tc>
      </w:tr>
      <w:tr>
        <w:trPr>
          <w:cantSplit/>
        </w:trPr>
        <w:tc>
          <w:tcPr>
            <w:tcW w:type="dxa" w:w="1656"/>
          </w:tcPr>
          <w:p>
            <w:pPr>
              <w:spacing w:after="20"/>
            </w:pPr>
            <w:r>
              <w:rPr>
                <w:color w:val="1C3A36"/>
                <w:sz w:val="14"/>
              </w:rPr>
              <w:t>imp fy23</w:t>
            </w:r>
          </w:p>
        </w:tc>
        <w:tc>
          <w:tcPr>
            <w:tcW w:type="dxa" w:w="1440"/>
          </w:tcPr>
          <w:p>
            <w:pPr>
              <w:spacing w:after="20"/>
            </w:pPr>
            <w:r>
              <w:rPr>
                <w:color w:val="1C3A36"/>
                <w:sz w:val="14"/>
              </w:rPr>
              <w:t>82.143</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impairment losses and other operating expenses</w:t>
            </w:r>
          </w:p>
        </w:tc>
      </w:tr>
      <w:tr>
        <w:trPr>
          <w:cantSplit/>
        </w:trPr>
        <w:tc>
          <w:tcPr>
            <w:tcW w:type="dxa" w:w="1656"/>
          </w:tcPr>
          <w:p>
            <w:pPr>
              <w:spacing w:after="20"/>
            </w:pPr>
            <w:r>
              <w:rPr>
                <w:color w:val="1C3A36"/>
                <w:sz w:val="14"/>
              </w:rPr>
              <w:t>imp fy24</w:t>
            </w:r>
          </w:p>
        </w:tc>
        <w:tc>
          <w:tcPr>
            <w:tcW w:type="dxa" w:w="1440"/>
          </w:tcPr>
          <w:p>
            <w:pPr>
              <w:spacing w:after="20"/>
            </w:pPr>
            <w:r>
              <w:rPr>
                <w:color w:val="1C3A36"/>
                <w:sz w:val="14"/>
              </w:rPr>
              <w:t>90.254</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impairment losses and other operating expenses</w:t>
            </w:r>
          </w:p>
        </w:tc>
      </w:tr>
      <w:tr>
        <w:trPr>
          <w:cantSplit/>
        </w:trPr>
        <w:tc>
          <w:tcPr>
            <w:tcW w:type="dxa" w:w="1656"/>
          </w:tcPr>
          <w:p>
            <w:pPr>
              <w:spacing w:after="20"/>
            </w:pPr>
            <w:r>
              <w:rPr>
                <w:color w:val="1C3A36"/>
                <w:sz w:val="14"/>
              </w:rPr>
              <w:t>imp fy25</w:t>
            </w:r>
          </w:p>
        </w:tc>
        <w:tc>
          <w:tcPr>
            <w:tcW w:type="dxa" w:w="1440"/>
          </w:tcPr>
          <w:p>
            <w:pPr>
              <w:spacing w:after="20"/>
            </w:pPr>
            <w:r>
              <w:rPr>
                <w:color w:val="1C3A36"/>
                <w:sz w:val="14"/>
              </w:rPr>
              <w:t>284.305</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impairment losses and other operating expenses</w:t>
            </w:r>
          </w:p>
        </w:tc>
      </w:tr>
      <w:tr>
        <w:trPr>
          <w:cantSplit/>
        </w:trPr>
        <w:tc>
          <w:tcPr>
            <w:tcW w:type="dxa" w:w="1656"/>
          </w:tcPr>
          <w:p>
            <w:pPr>
              <w:spacing w:after="20"/>
            </w:pPr>
            <w:r>
              <w:rPr>
                <w:color w:val="1C3A36"/>
                <w:sz w:val="14"/>
              </w:rPr>
              <w:t>imp h126</w:t>
            </w:r>
          </w:p>
        </w:tc>
        <w:tc>
          <w:tcPr>
            <w:tcW w:type="dxa" w:w="1440"/>
          </w:tcPr>
          <w:p>
            <w:pPr>
              <w:spacing w:after="20"/>
            </w:pPr>
            <w:r>
              <w:rPr>
                <w:color w:val="1C3A36"/>
                <w:sz w:val="14"/>
              </w:rPr>
              <w:t>179.885</w:t>
            </w:r>
          </w:p>
        </w:tc>
        <w:tc>
          <w:tcPr>
            <w:tcW w:type="dxa" w:w="936"/>
          </w:tcPr>
          <w:p>
            <w:pPr>
              <w:spacing w:after="20"/>
            </w:pPr>
            <w:r>
              <w:rPr>
                <w:color w:val="1C3A36"/>
                <w:sz w:val="14"/>
              </w:rPr>
              <w:t>30 Jun 2026</w:t>
            </w:r>
          </w:p>
        </w:tc>
        <w:tc>
          <w:tcPr>
            <w:tcW w:type="dxa" w:w="6048"/>
          </w:tcPr>
          <w:p>
            <w:pPr>
              <w:spacing w:after="20"/>
            </w:pPr>
            <w:r>
              <w:rPr>
                <w:color w:val="1C3A36"/>
                <w:sz w:val="14"/>
              </w:rPr>
              <w:t>Abu Dhabi National Oil Company for Distribution PJSC, reviewed interim condensed consolidated financial statements for the six months ended 30 June 2026, published on the company's investor-relations site, impairment losses and other operating expenses, six months</w:t>
            </w:r>
          </w:p>
        </w:tc>
      </w:tr>
      <w:tr>
        <w:trPr>
          <w:cantSplit/>
        </w:trPr>
        <w:tc>
          <w:tcPr>
            <w:tcW w:type="dxa" w:w="1656"/>
          </w:tcPr>
          <w:p>
            <w:pPr>
              <w:spacing w:after="20"/>
            </w:pPr>
            <w:r>
              <w:rPr>
                <w:color w:val="1C3A36"/>
                <w:sz w:val="14"/>
              </w:rPr>
              <w:t>impair norm</w:t>
            </w:r>
          </w:p>
        </w:tc>
        <w:tc>
          <w:tcPr>
            <w:tcW w:type="dxa" w:w="1440"/>
          </w:tcPr>
          <w:p>
            <w:pPr>
              <w:spacing w:after="20"/>
            </w:pPr>
            <w:r>
              <w:rPr>
                <w:color w:val="1C3A36"/>
                <w:sz w:val="14"/>
              </w:rPr>
              <w:t>360, 220, 225, 230, 235</w:t>
            </w:r>
          </w:p>
        </w:tc>
        <w:tc>
          <w:tcPr>
            <w:tcW w:type="dxa" w:w="936"/>
          </w:tcPr>
          <w:p>
            <w:pPr>
              <w:spacing w:after="20"/>
            </w:pPr>
            <w:r>
              <w:rPr>
                <w:color w:val="1C3A36"/>
                <w:sz w:val="14"/>
              </w:rPr>
              <w:t>5 Aug 2026</w:t>
            </w:r>
          </w:p>
        </w:tc>
        <w:tc>
          <w:tcPr>
            <w:tcW w:type="dxa" w:w="6048"/>
          </w:tcPr>
          <w:p>
            <w:pPr>
              <w:spacing w:after="20"/>
            </w:pPr>
            <w:r>
              <w:rPr>
                <w:color w:val="1C3A36"/>
                <w:sz w:val="14"/>
              </w:rPr>
              <w:t>Impairment losses and other operating expenses. FY2025 carried AED 284.3 million and the first half of 2026 AED 179.9 million, both elevated by what the company describes as prudence-based provisioning; FY2026 carries the realised first half annualised, then a normalised level escalating with inflation</w:t>
            </w:r>
          </w:p>
        </w:tc>
      </w:tr>
      <w:tr>
        <w:trPr>
          <w:cantSplit/>
        </w:trPr>
        <w:tc>
          <w:tcPr>
            <w:tcW w:type="dxa" w:w="1656"/>
          </w:tcPr>
          <w:p>
            <w:pPr>
              <w:spacing w:after="20"/>
            </w:pPr>
            <w:r>
              <w:rPr>
                <w:color w:val="1C3A36"/>
                <w:sz w:val="14"/>
              </w:rPr>
              <w:t>intinc fy23</w:t>
            </w:r>
          </w:p>
        </w:tc>
        <w:tc>
          <w:tcPr>
            <w:tcW w:type="dxa" w:w="1440"/>
          </w:tcPr>
          <w:p>
            <w:pPr>
              <w:spacing w:after="20"/>
            </w:pPr>
            <w:r>
              <w:rPr>
                <w:color w:val="1C3A36"/>
                <w:sz w:val="14"/>
              </w:rPr>
              <w:t>98.834</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interest income</w:t>
            </w:r>
          </w:p>
        </w:tc>
      </w:tr>
      <w:tr>
        <w:trPr>
          <w:cantSplit/>
        </w:trPr>
        <w:tc>
          <w:tcPr>
            <w:tcW w:type="dxa" w:w="1656"/>
          </w:tcPr>
          <w:p>
            <w:pPr>
              <w:spacing w:after="20"/>
            </w:pPr>
            <w:r>
              <w:rPr>
                <w:color w:val="1C3A36"/>
                <w:sz w:val="14"/>
              </w:rPr>
              <w:t>intinc fy24</w:t>
            </w:r>
          </w:p>
        </w:tc>
        <w:tc>
          <w:tcPr>
            <w:tcW w:type="dxa" w:w="1440"/>
          </w:tcPr>
          <w:p>
            <w:pPr>
              <w:spacing w:after="20"/>
            </w:pPr>
            <w:r>
              <w:rPr>
                <w:color w:val="1C3A36"/>
                <w:sz w:val="14"/>
              </w:rPr>
              <w:t>143.893</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interest income</w:t>
            </w:r>
          </w:p>
        </w:tc>
      </w:tr>
      <w:tr>
        <w:trPr>
          <w:cantSplit/>
        </w:trPr>
        <w:tc>
          <w:tcPr>
            <w:tcW w:type="dxa" w:w="1656"/>
          </w:tcPr>
          <w:p>
            <w:pPr>
              <w:spacing w:after="20"/>
            </w:pPr>
            <w:r>
              <w:rPr>
                <w:color w:val="1C3A36"/>
                <w:sz w:val="14"/>
              </w:rPr>
              <w:t>intinc fy25</w:t>
            </w:r>
          </w:p>
        </w:tc>
        <w:tc>
          <w:tcPr>
            <w:tcW w:type="dxa" w:w="1440"/>
          </w:tcPr>
          <w:p>
            <w:pPr>
              <w:spacing w:after="20"/>
            </w:pPr>
            <w:r>
              <w:rPr>
                <w:color w:val="1C3A36"/>
                <w:sz w:val="14"/>
              </w:rPr>
              <w:t>71.274</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interest income</w:t>
            </w:r>
          </w:p>
        </w:tc>
      </w:tr>
      <w:tr>
        <w:trPr>
          <w:cantSplit/>
        </w:trPr>
        <w:tc>
          <w:tcPr>
            <w:tcW w:type="dxa" w:w="1656"/>
          </w:tcPr>
          <w:p>
            <w:pPr>
              <w:spacing w:after="20"/>
            </w:pPr>
            <w:r>
              <w:rPr>
                <w:color w:val="1C3A36"/>
                <w:sz w:val="14"/>
              </w:rPr>
              <w:t>inv fy23</w:t>
            </w:r>
          </w:p>
        </w:tc>
        <w:tc>
          <w:tcPr>
            <w:tcW w:type="dxa" w:w="1440"/>
          </w:tcPr>
          <w:p>
            <w:pPr>
              <w:spacing w:after="20"/>
            </w:pPr>
            <w:r>
              <w:rPr>
                <w:color w:val="1C3A36"/>
                <w:sz w:val="14"/>
              </w:rPr>
              <w:t>1,294.423</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inventories</w:t>
            </w:r>
          </w:p>
        </w:tc>
      </w:tr>
      <w:tr>
        <w:trPr>
          <w:cantSplit/>
        </w:trPr>
        <w:tc>
          <w:tcPr>
            <w:tcW w:type="dxa" w:w="1656"/>
          </w:tcPr>
          <w:p>
            <w:pPr>
              <w:spacing w:after="20"/>
            </w:pPr>
            <w:r>
              <w:rPr>
                <w:color w:val="1C3A36"/>
                <w:sz w:val="14"/>
              </w:rPr>
              <w:t>inv fy24</w:t>
            </w:r>
          </w:p>
        </w:tc>
        <w:tc>
          <w:tcPr>
            <w:tcW w:type="dxa" w:w="1440"/>
          </w:tcPr>
          <w:p>
            <w:pPr>
              <w:spacing w:after="20"/>
            </w:pPr>
            <w:r>
              <w:rPr>
                <w:color w:val="1C3A36"/>
                <w:sz w:val="14"/>
              </w:rPr>
              <w:t>1,619.887</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inventories</w:t>
            </w:r>
          </w:p>
        </w:tc>
      </w:tr>
      <w:tr>
        <w:trPr>
          <w:cantSplit/>
        </w:trPr>
        <w:tc>
          <w:tcPr>
            <w:tcW w:type="dxa" w:w="1656"/>
          </w:tcPr>
          <w:p>
            <w:pPr>
              <w:spacing w:after="20"/>
            </w:pPr>
            <w:r>
              <w:rPr>
                <w:color w:val="1C3A36"/>
                <w:sz w:val="14"/>
              </w:rPr>
              <w:t>inv fy25</w:t>
            </w:r>
          </w:p>
        </w:tc>
        <w:tc>
          <w:tcPr>
            <w:tcW w:type="dxa" w:w="1440"/>
          </w:tcPr>
          <w:p>
            <w:pPr>
              <w:spacing w:after="20"/>
            </w:pPr>
            <w:r>
              <w:rPr>
                <w:color w:val="1C3A36"/>
                <w:sz w:val="14"/>
              </w:rPr>
              <w:t>1,574.254</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inventories</w:t>
            </w:r>
          </w:p>
        </w:tc>
      </w:tr>
      <w:tr>
        <w:trPr>
          <w:cantSplit/>
        </w:trPr>
        <w:tc>
          <w:tcPr>
            <w:tcW w:type="dxa" w:w="1656"/>
          </w:tcPr>
          <w:p>
            <w:pPr>
              <w:spacing w:after="20"/>
            </w:pPr>
            <w:r>
              <w:rPr>
                <w:color w:val="1C3A36"/>
                <w:sz w:val="14"/>
              </w:rPr>
              <w:t>invgain comm fy25</w:t>
            </w:r>
          </w:p>
        </w:tc>
        <w:tc>
          <w:tcPr>
            <w:tcW w:type="dxa" w:w="1440"/>
          </w:tcPr>
          <w:p>
            <w:pPr>
              <w:spacing w:after="20"/>
            </w:pPr>
            <w:r>
              <w:rPr>
                <w:color w:val="1C3A36"/>
                <w:sz w:val="14"/>
              </w:rPr>
              <w:t>14</w:t>
            </w:r>
          </w:p>
        </w:tc>
        <w:tc>
          <w:tcPr>
            <w:tcW w:type="dxa" w:w="936"/>
          </w:tcPr>
          <w:p>
            <w:pPr>
              <w:spacing w:after="20"/>
            </w:pPr>
            <w:r>
              <w:rPr>
                <w:color w:val="1C3A36"/>
                <w:sz w:val="14"/>
              </w:rPr>
              <w:t>31 Dec 2025</w:t>
            </w:r>
          </w:p>
        </w:tc>
        <w:tc>
          <w:tcPr>
            <w:tcW w:type="dxa" w:w="6048"/>
          </w:tcPr>
          <w:p>
            <w:pPr>
              <w:spacing w:after="20"/>
            </w:pPr>
            <w:r>
              <w:rPr>
                <w:color w:val="1C3A36"/>
                <w:sz w:val="14"/>
              </w:rPr>
              <w:t>ADNOC Distribution, Management Discussion &amp; Analysis Report, full year 2025, 3 February 2026, commercial segment inventory gains</w:t>
            </w:r>
          </w:p>
        </w:tc>
      </w:tr>
      <w:tr>
        <w:trPr>
          <w:cantSplit/>
        </w:trPr>
        <w:tc>
          <w:tcPr>
            <w:tcW w:type="dxa" w:w="1656"/>
          </w:tcPr>
          <w:p>
            <w:pPr>
              <w:spacing w:after="20"/>
            </w:pPr>
            <w:r>
              <w:rPr>
                <w:color w:val="1C3A36"/>
                <w:sz w:val="14"/>
              </w:rPr>
              <w:t>invgain comm h125</w:t>
            </w:r>
          </w:p>
        </w:tc>
        <w:tc>
          <w:tcPr>
            <w:tcW w:type="dxa" w:w="1440"/>
          </w:tcPr>
          <w:p>
            <w:pPr>
              <w:spacing w:after="20"/>
            </w:pPr>
            <w:r>
              <w:rPr>
                <w:color w:val="1C3A36"/>
                <w:sz w:val="14"/>
              </w:rPr>
              <w:t>-1</w:t>
            </w:r>
          </w:p>
        </w:tc>
        <w:tc>
          <w:tcPr>
            <w:tcW w:type="dxa" w:w="936"/>
          </w:tcPr>
          <w:p>
            <w:pPr>
              <w:spacing w:after="20"/>
            </w:pPr>
            <w:r>
              <w:rPr>
                <w:color w:val="1C3A36"/>
                <w:sz w:val="14"/>
              </w:rPr>
              <w:t>30 Jun 2025</w:t>
            </w:r>
          </w:p>
        </w:tc>
        <w:tc>
          <w:tcPr>
            <w:tcW w:type="dxa" w:w="6048"/>
          </w:tcPr>
          <w:p>
            <w:pPr>
              <w:spacing w:after="20"/>
            </w:pPr>
            <w:r>
              <w:rPr>
                <w:color w:val="1C3A36"/>
                <w:sz w:val="14"/>
              </w:rPr>
              <w:t>ADNOC Distribution, Management Discussion &amp; Analysis Report, second quarter and first half 2026, 5 August 2026, commercial segment inventory losses of AED 1 million, prior-period comparative</w:t>
            </w:r>
          </w:p>
        </w:tc>
      </w:tr>
      <w:tr>
        <w:trPr>
          <w:cantSplit/>
        </w:trPr>
        <w:tc>
          <w:tcPr>
            <w:tcW w:type="dxa" w:w="1656"/>
          </w:tcPr>
          <w:p>
            <w:pPr>
              <w:spacing w:after="20"/>
            </w:pPr>
            <w:r>
              <w:rPr>
                <w:color w:val="1C3A36"/>
                <w:sz w:val="14"/>
              </w:rPr>
              <w:t>invgain comm h126</w:t>
            </w:r>
          </w:p>
        </w:tc>
        <w:tc>
          <w:tcPr>
            <w:tcW w:type="dxa" w:w="1440"/>
          </w:tcPr>
          <w:p>
            <w:pPr>
              <w:spacing w:after="20"/>
            </w:pPr>
            <w:r>
              <w:rPr>
                <w:color w:val="1C3A36"/>
                <w:sz w:val="14"/>
              </w:rPr>
              <w:t>233</w:t>
            </w:r>
          </w:p>
        </w:tc>
        <w:tc>
          <w:tcPr>
            <w:tcW w:type="dxa" w:w="936"/>
          </w:tcPr>
          <w:p>
            <w:pPr>
              <w:spacing w:after="20"/>
            </w:pPr>
            <w:r>
              <w:rPr>
                <w:color w:val="1C3A36"/>
                <w:sz w:val="14"/>
              </w:rPr>
              <w:t>30 Jun 2026</w:t>
            </w:r>
          </w:p>
        </w:tc>
        <w:tc>
          <w:tcPr>
            <w:tcW w:type="dxa" w:w="6048"/>
          </w:tcPr>
          <w:p>
            <w:pPr>
              <w:spacing w:after="20"/>
            </w:pPr>
            <w:r>
              <w:rPr>
                <w:color w:val="1C3A36"/>
                <w:sz w:val="14"/>
              </w:rPr>
              <w:t>ADNOC Distribution, Management Discussion &amp; Analysis Report, second quarter and first half 2026, 5 August 2026, commercial segment inventory gains, six months</w:t>
            </w:r>
          </w:p>
        </w:tc>
      </w:tr>
      <w:tr>
        <w:trPr>
          <w:cantSplit/>
        </w:trPr>
        <w:tc>
          <w:tcPr>
            <w:tcW w:type="dxa" w:w="1656"/>
          </w:tcPr>
          <w:p>
            <w:pPr>
              <w:spacing w:after="20"/>
            </w:pPr>
            <w:r>
              <w:rPr>
                <w:color w:val="1C3A36"/>
                <w:sz w:val="14"/>
              </w:rPr>
              <w:t>invgain fy24</w:t>
            </w:r>
          </w:p>
        </w:tc>
        <w:tc>
          <w:tcPr>
            <w:tcW w:type="dxa" w:w="1440"/>
          </w:tcPr>
          <w:p>
            <w:pPr>
              <w:spacing w:after="20"/>
            </w:pPr>
            <w:r>
              <w:rPr>
                <w:color w:val="1C3A36"/>
                <w:sz w:val="14"/>
              </w:rPr>
              <w:t>254</w:t>
            </w:r>
          </w:p>
        </w:tc>
        <w:tc>
          <w:tcPr>
            <w:tcW w:type="dxa" w:w="936"/>
          </w:tcPr>
          <w:p>
            <w:pPr>
              <w:spacing w:after="20"/>
            </w:pPr>
            <w:r>
              <w:rPr>
                <w:color w:val="1C3A36"/>
                <w:sz w:val="14"/>
              </w:rPr>
              <w:t>31 Dec 2024</w:t>
            </w:r>
          </w:p>
        </w:tc>
        <w:tc>
          <w:tcPr>
            <w:tcW w:type="dxa" w:w="6048"/>
          </w:tcPr>
          <w:p>
            <w:pPr>
              <w:spacing w:after="20"/>
            </w:pPr>
            <w:r>
              <w:rPr>
                <w:color w:val="1C3A36"/>
                <w:sz w:val="14"/>
              </w:rPr>
              <w:t>ADNOC Distribution, Management Discussion &amp; Analysis Report, full year 2025, 3 February 2026, inventory gains of AED 254 million in 2024</w:t>
            </w:r>
          </w:p>
        </w:tc>
      </w:tr>
      <w:tr>
        <w:trPr>
          <w:cantSplit/>
        </w:trPr>
        <w:tc>
          <w:tcPr>
            <w:tcW w:type="dxa" w:w="1656"/>
          </w:tcPr>
          <w:p>
            <w:pPr>
              <w:spacing w:after="20"/>
            </w:pPr>
            <w:r>
              <w:rPr>
                <w:color w:val="1C3A36"/>
                <w:sz w:val="14"/>
              </w:rPr>
              <w:t>invgain fy25</w:t>
            </w:r>
          </w:p>
        </w:tc>
        <w:tc>
          <w:tcPr>
            <w:tcW w:type="dxa" w:w="1440"/>
          </w:tcPr>
          <w:p>
            <w:pPr>
              <w:spacing w:after="20"/>
            </w:pPr>
            <w:r>
              <w:rPr>
                <w:color w:val="1C3A36"/>
                <w:sz w:val="14"/>
              </w:rPr>
              <w:t>335</w:t>
            </w:r>
          </w:p>
        </w:tc>
        <w:tc>
          <w:tcPr>
            <w:tcW w:type="dxa" w:w="936"/>
          </w:tcPr>
          <w:p>
            <w:pPr>
              <w:spacing w:after="20"/>
            </w:pPr>
            <w:r>
              <w:rPr>
                <w:color w:val="1C3A36"/>
                <w:sz w:val="14"/>
              </w:rPr>
              <w:t>31 Dec 2025</w:t>
            </w:r>
          </w:p>
        </w:tc>
        <w:tc>
          <w:tcPr>
            <w:tcW w:type="dxa" w:w="6048"/>
          </w:tcPr>
          <w:p>
            <w:pPr>
              <w:spacing w:after="20"/>
            </w:pPr>
            <w:r>
              <w:rPr>
                <w:color w:val="1C3A36"/>
                <w:sz w:val="14"/>
              </w:rPr>
              <w:t>ADNOC Distribution, Management Discussion &amp; Analysis Report, full year 2025, 3 February 2026, inventory gains of AED 335 million in 2025</w:t>
            </w:r>
          </w:p>
        </w:tc>
      </w:tr>
      <w:tr>
        <w:trPr>
          <w:cantSplit/>
        </w:trPr>
        <w:tc>
          <w:tcPr>
            <w:tcW w:type="dxa" w:w="1656"/>
          </w:tcPr>
          <w:p>
            <w:pPr>
              <w:spacing w:after="20"/>
            </w:pPr>
            <w:r>
              <w:rPr>
                <w:color w:val="1C3A36"/>
                <w:sz w:val="14"/>
              </w:rPr>
              <w:t>invgain h125</w:t>
            </w:r>
          </w:p>
        </w:tc>
        <w:tc>
          <w:tcPr>
            <w:tcW w:type="dxa" w:w="1440"/>
          </w:tcPr>
          <w:p>
            <w:pPr>
              <w:spacing w:after="20"/>
            </w:pPr>
            <w:r>
              <w:rPr>
                <w:color w:val="1C3A36"/>
                <w:sz w:val="14"/>
              </w:rPr>
              <w:t>147</w:t>
            </w:r>
          </w:p>
        </w:tc>
        <w:tc>
          <w:tcPr>
            <w:tcW w:type="dxa" w:w="936"/>
          </w:tcPr>
          <w:p>
            <w:pPr>
              <w:spacing w:after="20"/>
            </w:pPr>
            <w:r>
              <w:rPr>
                <w:color w:val="1C3A36"/>
                <w:sz w:val="14"/>
              </w:rPr>
              <w:t>30 Jun 2025</w:t>
            </w:r>
          </w:p>
        </w:tc>
        <w:tc>
          <w:tcPr>
            <w:tcW w:type="dxa" w:w="6048"/>
          </w:tcPr>
          <w:p>
            <w:pPr>
              <w:spacing w:after="20"/>
            </w:pPr>
            <w:r>
              <w:rPr>
                <w:color w:val="1C3A36"/>
                <w:sz w:val="14"/>
              </w:rPr>
              <w:t>ADNOC Distribution, Management Discussion &amp; Analysis Report, second quarter and first half 2026, 5 August 2026, inventory gains of AED 147 million in H1 2025</w:t>
            </w:r>
          </w:p>
        </w:tc>
      </w:tr>
      <w:tr>
        <w:trPr>
          <w:cantSplit/>
        </w:trPr>
        <w:tc>
          <w:tcPr>
            <w:tcW w:type="dxa" w:w="1656"/>
          </w:tcPr>
          <w:p>
            <w:pPr>
              <w:spacing w:after="20"/>
            </w:pPr>
            <w:r>
              <w:rPr>
                <w:color w:val="1C3A36"/>
                <w:sz w:val="14"/>
              </w:rPr>
              <w:t>invgain h126</w:t>
            </w:r>
          </w:p>
        </w:tc>
        <w:tc>
          <w:tcPr>
            <w:tcW w:type="dxa" w:w="1440"/>
          </w:tcPr>
          <w:p>
            <w:pPr>
              <w:spacing w:after="20"/>
            </w:pPr>
            <w:r>
              <w:rPr>
                <w:color w:val="1C3A36"/>
                <w:sz w:val="14"/>
              </w:rPr>
              <w:t>762</w:t>
            </w:r>
          </w:p>
        </w:tc>
        <w:tc>
          <w:tcPr>
            <w:tcW w:type="dxa" w:w="936"/>
          </w:tcPr>
          <w:p>
            <w:pPr>
              <w:spacing w:after="20"/>
            </w:pPr>
            <w:r>
              <w:rPr>
                <w:color w:val="1C3A36"/>
                <w:sz w:val="14"/>
              </w:rPr>
              <w:t>30 Jun 2026</w:t>
            </w:r>
          </w:p>
        </w:tc>
        <w:tc>
          <w:tcPr>
            <w:tcW w:type="dxa" w:w="6048"/>
          </w:tcPr>
          <w:p>
            <w:pPr>
              <w:spacing w:after="20"/>
            </w:pPr>
            <w:r>
              <w:rPr>
                <w:color w:val="1C3A36"/>
                <w:sz w:val="14"/>
              </w:rPr>
              <w:t>ADNOC Distribution, Management Discussion &amp; Analysis Report, second quarter and first half 2026, 5 August 2026, inventory gains of AED 762 million in H1 2026</w:t>
            </w:r>
          </w:p>
        </w:tc>
      </w:tr>
      <w:tr>
        <w:trPr>
          <w:cantSplit/>
        </w:trPr>
        <w:tc>
          <w:tcPr>
            <w:tcW w:type="dxa" w:w="1656"/>
          </w:tcPr>
          <w:p>
            <w:pPr>
              <w:spacing w:after="20"/>
            </w:pPr>
            <w:r>
              <w:rPr>
                <w:color w:val="1C3A36"/>
                <w:sz w:val="14"/>
              </w:rPr>
              <w:t>invgain retfuel fy25</w:t>
            </w:r>
          </w:p>
        </w:tc>
        <w:tc>
          <w:tcPr>
            <w:tcW w:type="dxa" w:w="1440"/>
          </w:tcPr>
          <w:p>
            <w:pPr>
              <w:spacing w:after="20"/>
            </w:pPr>
            <w:r>
              <w:rPr>
                <w:color w:val="1C3A36"/>
                <w:sz w:val="14"/>
              </w:rPr>
              <w:t>321</w:t>
            </w:r>
          </w:p>
        </w:tc>
        <w:tc>
          <w:tcPr>
            <w:tcW w:type="dxa" w:w="936"/>
          </w:tcPr>
          <w:p>
            <w:pPr>
              <w:spacing w:after="20"/>
            </w:pPr>
            <w:r>
              <w:rPr>
                <w:color w:val="1C3A36"/>
                <w:sz w:val="14"/>
              </w:rPr>
              <w:t>31 Dec 2025</w:t>
            </w:r>
          </w:p>
        </w:tc>
        <w:tc>
          <w:tcPr>
            <w:tcW w:type="dxa" w:w="6048"/>
          </w:tcPr>
          <w:p>
            <w:pPr>
              <w:spacing w:after="20"/>
            </w:pPr>
            <w:r>
              <w:rPr>
                <w:color w:val="1C3A36"/>
                <w:sz w:val="14"/>
              </w:rPr>
              <w:t>ADNOC Distribution, Management Discussion &amp; Analysis Report, full year 2025, 3 February 2026, fuel retail inventory gains</w:t>
            </w:r>
          </w:p>
        </w:tc>
      </w:tr>
      <w:tr>
        <w:trPr>
          <w:cantSplit/>
        </w:trPr>
        <w:tc>
          <w:tcPr>
            <w:tcW w:type="dxa" w:w="1656"/>
          </w:tcPr>
          <w:p>
            <w:pPr>
              <w:spacing w:after="20"/>
            </w:pPr>
            <w:r>
              <w:rPr>
                <w:color w:val="1C3A36"/>
                <w:sz w:val="14"/>
              </w:rPr>
              <w:t>invgain retfuel h125</w:t>
            </w:r>
          </w:p>
        </w:tc>
        <w:tc>
          <w:tcPr>
            <w:tcW w:type="dxa" w:w="1440"/>
          </w:tcPr>
          <w:p>
            <w:pPr>
              <w:spacing w:after="20"/>
            </w:pPr>
            <w:r>
              <w:rPr>
                <w:color w:val="1C3A36"/>
                <w:sz w:val="14"/>
              </w:rPr>
              <w:t>148</w:t>
            </w:r>
          </w:p>
        </w:tc>
        <w:tc>
          <w:tcPr>
            <w:tcW w:type="dxa" w:w="936"/>
          </w:tcPr>
          <w:p>
            <w:pPr>
              <w:spacing w:after="20"/>
            </w:pPr>
            <w:r>
              <w:rPr>
                <w:color w:val="1C3A36"/>
                <w:sz w:val="14"/>
              </w:rPr>
              <w:t>30 Jun 2025</w:t>
            </w:r>
          </w:p>
        </w:tc>
        <w:tc>
          <w:tcPr>
            <w:tcW w:type="dxa" w:w="6048"/>
          </w:tcPr>
          <w:p>
            <w:pPr>
              <w:spacing w:after="20"/>
            </w:pPr>
            <w:r>
              <w:rPr>
                <w:color w:val="1C3A36"/>
                <w:sz w:val="14"/>
              </w:rPr>
              <w:t>ADNOC Distribution, Management Discussion &amp; Analysis Report, second quarter and first half 2026, 5 August 2026, fuel retail inventory gains, prior-period comparative</w:t>
            </w:r>
          </w:p>
        </w:tc>
      </w:tr>
      <w:tr>
        <w:trPr>
          <w:cantSplit/>
        </w:trPr>
        <w:tc>
          <w:tcPr>
            <w:tcW w:type="dxa" w:w="1656"/>
          </w:tcPr>
          <w:p>
            <w:pPr>
              <w:spacing w:after="20"/>
            </w:pPr>
            <w:r>
              <w:rPr>
                <w:color w:val="1C3A36"/>
                <w:sz w:val="14"/>
              </w:rPr>
              <w:t>invgain retfuel h126</w:t>
            </w:r>
          </w:p>
        </w:tc>
        <w:tc>
          <w:tcPr>
            <w:tcW w:type="dxa" w:w="1440"/>
          </w:tcPr>
          <w:p>
            <w:pPr>
              <w:spacing w:after="20"/>
            </w:pPr>
            <w:r>
              <w:rPr>
                <w:color w:val="1C3A36"/>
                <w:sz w:val="14"/>
              </w:rPr>
              <w:t>528</w:t>
            </w:r>
          </w:p>
        </w:tc>
        <w:tc>
          <w:tcPr>
            <w:tcW w:type="dxa" w:w="936"/>
          </w:tcPr>
          <w:p>
            <w:pPr>
              <w:spacing w:after="20"/>
            </w:pPr>
            <w:r>
              <w:rPr>
                <w:color w:val="1C3A36"/>
                <w:sz w:val="14"/>
              </w:rPr>
              <w:t>30 Jun 2026</w:t>
            </w:r>
          </w:p>
        </w:tc>
        <w:tc>
          <w:tcPr>
            <w:tcW w:type="dxa" w:w="6048"/>
          </w:tcPr>
          <w:p>
            <w:pPr>
              <w:spacing w:after="20"/>
            </w:pPr>
            <w:r>
              <w:rPr>
                <w:color w:val="1C3A36"/>
                <w:sz w:val="14"/>
              </w:rPr>
              <w:t>ADNOC Distribution, Management Discussion &amp; Analysis Report, second quarter and first half 2026, 5 August 2026, fuel retail inventory gains, six months</w:t>
            </w:r>
          </w:p>
        </w:tc>
      </w:tr>
      <w:tr>
        <w:trPr>
          <w:cantSplit/>
        </w:trPr>
        <w:tc>
          <w:tcPr>
            <w:tcW w:type="dxa" w:w="1656"/>
          </w:tcPr>
          <w:p>
            <w:pPr>
              <w:spacing w:after="20"/>
            </w:pPr>
            <w:r>
              <w:rPr>
                <w:color w:val="1C3A36"/>
                <w:sz w:val="14"/>
              </w:rPr>
              <w:t>invmove A</w:t>
            </w:r>
          </w:p>
        </w:tc>
        <w:tc>
          <w:tcPr>
            <w:tcW w:type="dxa" w:w="1440"/>
          </w:tcPr>
          <w:p>
            <w:pPr>
              <w:spacing w:after="20"/>
            </w:pPr>
            <w:r>
              <w:rPr>
                <w:color w:val="1C3A36"/>
                <w:sz w:val="14"/>
              </w:rPr>
              <w:t>762, 0, 0, 0, 0</w:t>
            </w:r>
          </w:p>
        </w:tc>
        <w:tc>
          <w:tcPr>
            <w:tcW w:type="dxa" w:w="936"/>
          </w:tcPr>
          <w:p>
            <w:pPr>
              <w:spacing w:after="20"/>
            </w:pPr>
            <w:r>
              <w:rPr>
                <w:color w:val="1C3A36"/>
                <w:sz w:val="14"/>
              </w:rPr>
              <w:t>5 Aug 2026</w:t>
            </w:r>
          </w:p>
        </w:tc>
        <w:tc>
          <w:tcPr>
            <w:tcW w:type="dxa" w:w="6048"/>
          </w:tcPr>
          <w:p>
            <w:pPr>
              <w:spacing w:after="20"/>
            </w:pPr>
            <w:r>
              <w:rPr>
                <w:color w:val="1C3A36"/>
                <w:sz w:val="14"/>
              </w:rPr>
              <w:t>Inventory movements, NORMALISED frame. FY2026 carries only the AED 762 million already realised in the first half; nothing is assumed for the second half and nothing thereafter, on the view that a timing difference on a pass-through cost nets to zero through a full price cycle</w:t>
            </w:r>
          </w:p>
        </w:tc>
      </w:tr>
      <w:tr>
        <w:trPr>
          <w:cantSplit/>
        </w:trPr>
        <w:tc>
          <w:tcPr>
            <w:tcW w:type="dxa" w:w="1656"/>
          </w:tcPr>
          <w:p>
            <w:pPr>
              <w:spacing w:after="20"/>
            </w:pPr>
            <w:r>
              <w:rPr>
                <w:color w:val="1C3A36"/>
                <w:sz w:val="14"/>
              </w:rPr>
              <w:t>invmove B</w:t>
            </w:r>
          </w:p>
        </w:tc>
        <w:tc>
          <w:tcPr>
            <w:tcW w:type="dxa" w:w="1440"/>
          </w:tcPr>
          <w:p>
            <w:pPr>
              <w:spacing w:after="20"/>
            </w:pPr>
            <w:r>
              <w:rPr>
                <w:color w:val="1C3A36"/>
                <w:sz w:val="14"/>
              </w:rPr>
              <w:t>950, 295, 295, 295, 295</w:t>
            </w:r>
          </w:p>
        </w:tc>
        <w:tc>
          <w:tcPr>
            <w:tcW w:type="dxa" w:w="936"/>
          </w:tcPr>
          <w:p>
            <w:pPr>
              <w:spacing w:after="20"/>
            </w:pPr>
            <w:r>
              <w:rPr>
                <w:color w:val="1C3A36"/>
                <w:sz w:val="14"/>
              </w:rPr>
              <w:t>5 Aug 2026</w:t>
            </w:r>
          </w:p>
        </w:tc>
        <w:tc>
          <w:tcPr>
            <w:tcW w:type="dxa" w:w="6048"/>
          </w:tcPr>
          <w:p>
            <w:pPr>
              <w:spacing w:after="20"/>
            </w:pPr>
            <w:r>
              <w:rPr>
                <w:color w:val="1C3A36"/>
                <w:sz w:val="14"/>
              </w:rPr>
              <w:t>Inventory movements, THROUGH-CYCLE frame. FY2026 carries the realised first half plus a second half at the FY2025 second-half rate of AED 188 million; later years carry the FY2024-FY2025 average of AED 295 million, on the view that a company holding physical stock in a market with a persistent upward price drift earns a small positive contribution on average</w:t>
            </w:r>
          </w:p>
        </w:tc>
      </w:tr>
      <w:tr>
        <w:trPr>
          <w:cantSplit/>
        </w:trPr>
        <w:tc>
          <w:tcPr>
            <w:tcW w:type="dxa" w:w="1656"/>
          </w:tcPr>
          <w:p>
            <w:pPr>
              <w:spacing w:after="20"/>
            </w:pPr>
            <w:r>
              <w:rPr>
                <w:color w:val="1C3A36"/>
                <w:sz w:val="14"/>
              </w:rPr>
              <w:t>lease fy23</w:t>
            </w:r>
          </w:p>
        </w:tc>
        <w:tc>
          <w:tcPr>
            <w:tcW w:type="dxa" w:w="1440"/>
          </w:tcPr>
          <w:p>
            <w:pPr>
              <w:spacing w:after="20"/>
            </w:pPr>
            <w:r>
              <w:rPr>
                <w:color w:val="1C3A36"/>
                <w:sz w:val="14"/>
              </w:rPr>
              <w:t>1,747.264</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lease liabilities: non-current 1,564.251 plus current 183.013</w:t>
            </w:r>
          </w:p>
        </w:tc>
      </w:tr>
      <w:tr>
        <w:trPr>
          <w:cantSplit/>
        </w:trPr>
        <w:tc>
          <w:tcPr>
            <w:tcW w:type="dxa" w:w="1656"/>
          </w:tcPr>
          <w:p>
            <w:pPr>
              <w:spacing w:after="20"/>
            </w:pPr>
            <w:r>
              <w:rPr>
                <w:color w:val="1C3A36"/>
                <w:sz w:val="14"/>
              </w:rPr>
              <w:t>lease fy24</w:t>
            </w:r>
          </w:p>
        </w:tc>
        <w:tc>
          <w:tcPr>
            <w:tcW w:type="dxa" w:w="1440"/>
          </w:tcPr>
          <w:p>
            <w:pPr>
              <w:spacing w:after="20"/>
            </w:pPr>
            <w:r>
              <w:rPr>
                <w:color w:val="1C3A36"/>
                <w:sz w:val="14"/>
              </w:rPr>
              <w:t>1,722.622</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lease liabilities: non-current 1,540.894 plus current 181.728</w:t>
            </w:r>
          </w:p>
        </w:tc>
      </w:tr>
      <w:tr>
        <w:trPr>
          <w:cantSplit/>
        </w:trPr>
        <w:tc>
          <w:tcPr>
            <w:tcW w:type="dxa" w:w="1656"/>
          </w:tcPr>
          <w:p>
            <w:pPr>
              <w:spacing w:after="20"/>
            </w:pPr>
            <w:r>
              <w:rPr>
                <w:color w:val="1C3A36"/>
                <w:sz w:val="14"/>
              </w:rPr>
              <w:t>lease fy25</w:t>
            </w:r>
          </w:p>
        </w:tc>
        <w:tc>
          <w:tcPr>
            <w:tcW w:type="dxa" w:w="1440"/>
          </w:tcPr>
          <w:p>
            <w:pPr>
              <w:spacing w:after="20"/>
            </w:pPr>
            <w:r>
              <w:rPr>
                <w:color w:val="1C3A36"/>
                <w:sz w:val="14"/>
              </w:rPr>
              <w:t>1,446.327</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lease liabilities note: non-current 1,289.459 plus current 156.868</w:t>
            </w:r>
          </w:p>
        </w:tc>
      </w:tr>
      <w:tr>
        <w:trPr>
          <w:cantSplit/>
        </w:trPr>
        <w:tc>
          <w:tcPr>
            <w:tcW w:type="dxa" w:w="1656"/>
          </w:tcPr>
          <w:p>
            <w:pPr>
              <w:spacing w:after="20"/>
            </w:pPr>
            <w:r>
              <w:rPr>
                <w:color w:val="1C3A36"/>
                <w:sz w:val="14"/>
              </w:rPr>
              <w:t>leasepay fy25</w:t>
            </w:r>
          </w:p>
        </w:tc>
        <w:tc>
          <w:tcPr>
            <w:tcW w:type="dxa" w:w="1440"/>
          </w:tcPr>
          <w:p>
            <w:pPr>
              <w:spacing w:after="20"/>
            </w:pPr>
            <w:r>
              <w:rPr>
                <w:color w:val="1C3A36"/>
                <w:sz w:val="14"/>
              </w:rPr>
              <w:t>201.454</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payment of lease liabilities</w:t>
            </w:r>
          </w:p>
        </w:tc>
      </w:tr>
      <w:tr>
        <w:trPr>
          <w:cantSplit/>
        </w:trPr>
        <w:tc>
          <w:tcPr>
            <w:tcW w:type="dxa" w:w="1656"/>
          </w:tcPr>
          <w:p>
            <w:pPr>
              <w:spacing w:after="20"/>
            </w:pPr>
            <w:r>
              <w:rPr>
                <w:color w:val="1C3A36"/>
                <w:sz w:val="14"/>
              </w:rPr>
              <w:t>litres per station g</w:t>
            </w:r>
          </w:p>
        </w:tc>
        <w:tc>
          <w:tcPr>
            <w:tcW w:type="dxa" w:w="1440"/>
          </w:tcPr>
          <w:p>
            <w:pPr>
              <w:spacing w:after="20"/>
            </w:pPr>
            <w:r>
              <w:rPr>
                <w:color w:val="1C3A36"/>
                <w:sz w:val="14"/>
              </w:rPr>
              <w:t>-0.010, -0.025, -0.020, -0.010, -0.005</w:t>
            </w:r>
          </w:p>
        </w:tc>
        <w:tc>
          <w:tcPr>
            <w:tcW w:type="dxa" w:w="936"/>
          </w:tcPr>
          <w:p>
            <w:pPr>
              <w:spacing w:after="20"/>
            </w:pPr>
            <w:r>
              <w:rPr>
                <w:color w:val="1C3A36"/>
                <w:sz w:val="14"/>
              </w:rPr>
              <w:t>30 Jun 2026</w:t>
            </w:r>
          </w:p>
        </w:tc>
        <w:tc>
          <w:tcPr>
            <w:tcW w:type="dxa" w:w="6048"/>
          </w:tcPr>
          <w:p>
            <w:pPr>
              <w:spacing w:after="20"/>
            </w:pPr>
            <w:r>
              <w:rPr>
                <w:color w:val="1C3A36"/>
                <w:sz w:val="14"/>
              </w:rPr>
              <w:t>Growth in litres sold per station. Realised at MINUS 9.3% in the year to June 2026: retail volume rose 1.0% while the network rose 11.3%, so throughput per site fell. The decline fades as the expansion rate itself slows and the newest sites mature toward the network average. This is the single most important observable on the terminal-growth question and it is now a model driver rather than a narrative aside</w:t>
            </w:r>
          </w:p>
        </w:tc>
      </w:tr>
      <w:tr>
        <w:trPr>
          <w:cantSplit/>
        </w:trPr>
        <w:tc>
          <w:tcPr>
            <w:tcW w:type="dxa" w:w="1656"/>
          </w:tcPr>
          <w:p>
            <w:pPr>
              <w:spacing w:after="20"/>
            </w:pPr>
            <w:r>
              <w:rPr>
                <w:color w:val="1C3A36"/>
                <w:sz w:val="14"/>
              </w:rPr>
              <w:t>maint capex rate</w:t>
            </w:r>
          </w:p>
        </w:tc>
        <w:tc>
          <w:tcPr>
            <w:tcW w:type="dxa" w:w="1440"/>
          </w:tcPr>
          <w:p>
            <w:pPr>
              <w:spacing w:after="20"/>
            </w:pPr>
            <w:r>
              <w:rPr>
                <w:color w:val="1C3A36"/>
                <w:sz w:val="14"/>
              </w:rPr>
              <w:t>0.084</w:t>
            </w:r>
          </w:p>
        </w:tc>
        <w:tc>
          <w:tcPr>
            <w:tcW w:type="dxa" w:w="936"/>
          </w:tcPr>
          <w:p>
            <w:pPr>
              <w:spacing w:after="20"/>
            </w:pPr>
            <w:r>
              <w:rPr>
                <w:color w:val="1C3A36"/>
                <w:sz w:val="14"/>
              </w:rPr>
              <w:t>31 Dec 2025</w:t>
            </w:r>
          </w:p>
        </w:tc>
        <w:tc>
          <w:tcPr>
            <w:tcW w:type="dxa" w:w="6048"/>
          </w:tcPr>
          <w:p>
            <w:pPr>
              <w:spacing w:after="20"/>
            </w:pPr>
            <w:r>
              <w:rPr>
                <w:color w:val="1C3A36"/>
                <w:sz w:val="14"/>
              </w:rPr>
              <w:t>Maintenance capital spending as a share of the opening fixed and right-of-use base, set equal to the depreciation rate — the standard steady-state condition that a network replaces what it consumes. Growth spending is modelled separately, per station added</w:t>
            </w:r>
          </w:p>
        </w:tc>
      </w:tr>
      <w:tr>
        <w:trPr>
          <w:cantSplit/>
        </w:trPr>
        <w:tc>
          <w:tcPr>
            <w:tcW w:type="dxa" w:w="1656"/>
          </w:tcPr>
          <w:p>
            <w:pPr>
              <w:spacing w:after="20"/>
            </w:pPr>
            <w:r>
              <w:rPr>
                <w:color w:val="1C3A36"/>
                <w:sz w:val="14"/>
              </w:rPr>
              <w:t>nci fy23</w:t>
            </w:r>
          </w:p>
        </w:tc>
        <w:tc>
          <w:tcPr>
            <w:tcW w:type="dxa" w:w="1440"/>
          </w:tcPr>
          <w:p>
            <w:pPr>
              <w:spacing w:after="20"/>
            </w:pPr>
            <w:r>
              <w:rPr>
                <w:color w:val="1C3A36"/>
                <w:sz w:val="14"/>
              </w:rPr>
              <w:t>29.068</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profit attributable to non-controlling interests</w:t>
            </w:r>
          </w:p>
        </w:tc>
      </w:tr>
      <w:tr>
        <w:trPr>
          <w:cantSplit/>
        </w:trPr>
        <w:tc>
          <w:tcPr>
            <w:tcW w:type="dxa" w:w="1656"/>
          </w:tcPr>
          <w:p>
            <w:pPr>
              <w:spacing w:after="20"/>
            </w:pPr>
            <w:r>
              <w:rPr>
                <w:color w:val="1C3A36"/>
                <w:sz w:val="14"/>
              </w:rPr>
              <w:t>nci fy24</w:t>
            </w:r>
          </w:p>
        </w:tc>
        <w:tc>
          <w:tcPr>
            <w:tcW w:type="dxa" w:w="1440"/>
          </w:tcPr>
          <w:p>
            <w:pPr>
              <w:spacing w:after="20"/>
            </w:pPr>
            <w:r>
              <w:rPr>
                <w:color w:val="1C3A36"/>
                <w:sz w:val="14"/>
              </w:rPr>
              <w:t>52.008</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profit attributable to non-controlling interests</w:t>
            </w:r>
          </w:p>
        </w:tc>
      </w:tr>
      <w:tr>
        <w:trPr>
          <w:cantSplit/>
        </w:trPr>
        <w:tc>
          <w:tcPr>
            <w:tcW w:type="dxa" w:w="1656"/>
          </w:tcPr>
          <w:p>
            <w:pPr>
              <w:spacing w:after="20"/>
            </w:pPr>
            <w:r>
              <w:rPr>
                <w:color w:val="1C3A36"/>
                <w:sz w:val="14"/>
              </w:rPr>
              <w:t>nci fy25</w:t>
            </w:r>
          </w:p>
        </w:tc>
        <w:tc>
          <w:tcPr>
            <w:tcW w:type="dxa" w:w="1440"/>
          </w:tcPr>
          <w:p>
            <w:pPr>
              <w:spacing w:after="20"/>
            </w:pPr>
            <w:r>
              <w:rPr>
                <w:color w:val="1C3A36"/>
                <w:sz w:val="14"/>
              </w:rPr>
              <w:t>57.042</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profit attributable to non-controlling interests</w:t>
            </w:r>
          </w:p>
        </w:tc>
      </w:tr>
      <w:tr>
        <w:trPr>
          <w:cantSplit/>
        </w:trPr>
        <w:tc>
          <w:tcPr>
            <w:tcW w:type="dxa" w:w="1656"/>
          </w:tcPr>
          <w:p>
            <w:pPr>
              <w:spacing w:after="20"/>
            </w:pPr>
            <w:r>
              <w:rPr>
                <w:color w:val="1C3A36"/>
                <w:sz w:val="14"/>
              </w:rPr>
              <w:t>nciq fy23</w:t>
            </w:r>
          </w:p>
        </w:tc>
        <w:tc>
          <w:tcPr>
            <w:tcW w:type="dxa" w:w="1440"/>
          </w:tcPr>
          <w:p>
            <w:pPr>
              <w:spacing w:after="20"/>
            </w:pPr>
            <w:r>
              <w:rPr>
                <w:color w:val="1C3A36"/>
                <w:sz w:val="14"/>
              </w:rPr>
              <w:t>323.767</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non-controlling interests</w:t>
            </w:r>
          </w:p>
        </w:tc>
      </w:tr>
      <w:tr>
        <w:trPr>
          <w:cantSplit/>
        </w:trPr>
        <w:tc>
          <w:tcPr>
            <w:tcW w:type="dxa" w:w="1656"/>
          </w:tcPr>
          <w:p>
            <w:pPr>
              <w:spacing w:after="20"/>
            </w:pPr>
            <w:r>
              <w:rPr>
                <w:color w:val="1C3A36"/>
                <w:sz w:val="14"/>
              </w:rPr>
              <w:t>nciq fy24</w:t>
            </w:r>
          </w:p>
        </w:tc>
        <w:tc>
          <w:tcPr>
            <w:tcW w:type="dxa" w:w="1440"/>
          </w:tcPr>
          <w:p>
            <w:pPr>
              <w:spacing w:after="20"/>
            </w:pPr>
            <w:r>
              <w:rPr>
                <w:color w:val="1C3A36"/>
                <w:sz w:val="14"/>
              </w:rPr>
              <w:t>189.437</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non-controlling interests</w:t>
            </w:r>
          </w:p>
        </w:tc>
      </w:tr>
      <w:tr>
        <w:trPr>
          <w:cantSplit/>
        </w:trPr>
        <w:tc>
          <w:tcPr>
            <w:tcW w:type="dxa" w:w="1656"/>
          </w:tcPr>
          <w:p>
            <w:pPr>
              <w:spacing w:after="20"/>
            </w:pPr>
            <w:r>
              <w:rPr>
                <w:color w:val="1C3A36"/>
                <w:sz w:val="14"/>
              </w:rPr>
              <w:t>nciq fy25</w:t>
            </w:r>
          </w:p>
        </w:tc>
        <w:tc>
          <w:tcPr>
            <w:tcW w:type="dxa" w:w="1440"/>
          </w:tcPr>
          <w:p>
            <w:pPr>
              <w:spacing w:after="20"/>
            </w:pPr>
            <w:r>
              <w:rPr>
                <w:color w:val="1C3A36"/>
                <w:sz w:val="14"/>
              </w:rPr>
              <w:t>230.374</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non-controlling interests</w:t>
            </w:r>
          </w:p>
        </w:tc>
      </w:tr>
      <w:tr>
        <w:trPr>
          <w:cantSplit/>
        </w:trPr>
        <w:tc>
          <w:tcPr>
            <w:tcW w:type="dxa" w:w="1656"/>
          </w:tcPr>
          <w:p>
            <w:pPr>
              <w:spacing w:after="20"/>
            </w:pPr>
            <w:r>
              <w:rPr>
                <w:color w:val="1C3A36"/>
                <w:sz w:val="14"/>
              </w:rPr>
              <w:t>nonfueltxn h125</w:t>
            </w:r>
          </w:p>
        </w:tc>
        <w:tc>
          <w:tcPr>
            <w:tcW w:type="dxa" w:w="1440"/>
          </w:tcPr>
          <w:p>
            <w:pPr>
              <w:spacing w:after="20"/>
            </w:pPr>
            <w:r>
              <w:rPr>
                <w:color w:val="1C3A36"/>
                <w:sz w:val="14"/>
              </w:rPr>
              <w:t>26</w:t>
            </w:r>
          </w:p>
        </w:tc>
        <w:tc>
          <w:tcPr>
            <w:tcW w:type="dxa" w:w="936"/>
          </w:tcPr>
          <w:p>
            <w:pPr>
              <w:spacing w:after="20"/>
            </w:pPr>
            <w:r>
              <w:rPr>
                <w:color w:val="1C3A36"/>
                <w:sz w:val="14"/>
              </w:rPr>
              <w:t>30 Jun 2025</w:t>
            </w:r>
          </w:p>
        </w:tc>
        <w:tc>
          <w:tcPr>
            <w:tcW w:type="dxa" w:w="6048"/>
          </w:tcPr>
          <w:p>
            <w:pPr>
              <w:spacing w:after="20"/>
            </w:pPr>
            <w:r>
              <w:rPr>
                <w:color w:val="1C3A36"/>
                <w:sz w:val="14"/>
              </w:rPr>
              <w:t>ADNOC Distribution, results presentation, second quarter and first half 2026, 5 August 2026, operating-performance appendix, non-fuel transactions, UAE, prior-period comparative</w:t>
            </w:r>
          </w:p>
        </w:tc>
      </w:tr>
      <w:tr>
        <w:trPr>
          <w:cantSplit/>
        </w:trPr>
        <w:tc>
          <w:tcPr>
            <w:tcW w:type="dxa" w:w="1656"/>
          </w:tcPr>
          <w:p>
            <w:pPr>
              <w:spacing w:after="20"/>
            </w:pPr>
            <w:r>
              <w:rPr>
                <w:color w:val="1C3A36"/>
                <w:sz w:val="14"/>
              </w:rPr>
              <w:t>nonfueltxn h126</w:t>
            </w:r>
          </w:p>
        </w:tc>
        <w:tc>
          <w:tcPr>
            <w:tcW w:type="dxa" w:w="1440"/>
          </w:tcPr>
          <w:p>
            <w:pPr>
              <w:spacing w:after="20"/>
            </w:pPr>
            <w:r>
              <w:rPr>
                <w:color w:val="1C3A36"/>
                <w:sz w:val="14"/>
              </w:rPr>
              <w:t>26.400</w:t>
            </w:r>
          </w:p>
        </w:tc>
        <w:tc>
          <w:tcPr>
            <w:tcW w:type="dxa" w:w="936"/>
          </w:tcPr>
          <w:p>
            <w:pPr>
              <w:spacing w:after="20"/>
            </w:pPr>
            <w:r>
              <w:rPr>
                <w:color w:val="1C3A36"/>
                <w:sz w:val="14"/>
              </w:rPr>
              <w:t>30 Jun 2026</w:t>
            </w:r>
          </w:p>
        </w:tc>
        <w:tc>
          <w:tcPr>
            <w:tcW w:type="dxa" w:w="6048"/>
          </w:tcPr>
          <w:p>
            <w:pPr>
              <w:spacing w:after="20"/>
            </w:pPr>
            <w:r>
              <w:rPr>
                <w:color w:val="1C3A36"/>
                <w:sz w:val="14"/>
              </w:rPr>
              <w:t>ADNOC Distribution, results presentation, second quarter and first half 2026, 5 August 2026, operating-performance appendix, non-fuel transactions, UAE, millions, six months</w:t>
            </w:r>
          </w:p>
        </w:tc>
      </w:tr>
      <w:tr>
        <w:trPr>
          <w:cantSplit/>
        </w:trPr>
        <w:tc>
          <w:tcPr>
            <w:tcW w:type="dxa" w:w="1656"/>
          </w:tcPr>
          <w:p>
            <w:pPr>
              <w:spacing w:after="20"/>
            </w:pPr>
            <w:r>
              <w:rPr>
                <w:color w:val="1C3A36"/>
                <w:sz w:val="14"/>
              </w:rPr>
              <w:t>np fy22</w:t>
            </w:r>
          </w:p>
        </w:tc>
        <w:tc>
          <w:tcPr>
            <w:tcW w:type="dxa" w:w="1440"/>
          </w:tcPr>
          <w:p>
            <w:pPr>
              <w:spacing w:after="20"/>
            </w:pPr>
            <w:r>
              <w:rPr>
                <w:color w:val="1C3A36"/>
                <w:sz w:val="14"/>
              </w:rPr>
              <w:t>2,748.508</w:t>
            </w:r>
          </w:p>
        </w:tc>
        <w:tc>
          <w:tcPr>
            <w:tcW w:type="dxa" w:w="936"/>
          </w:tcPr>
          <w:p>
            <w:pPr>
              <w:spacing w:after="20"/>
            </w:pPr>
            <w:r>
              <w:rPr>
                <w:color w:val="1C3A36"/>
                <w:sz w:val="14"/>
              </w:rPr>
              <w:t>31 Dec 2022</w:t>
            </w:r>
          </w:p>
        </w:tc>
        <w:tc>
          <w:tcPr>
            <w:tcW w:type="dxa" w:w="6048"/>
          </w:tcPr>
          <w:p>
            <w:pPr>
              <w:spacing w:after="20"/>
            </w:pPr>
            <w:r>
              <w:rPr>
                <w:color w:val="1C3A36"/>
                <w:sz w:val="14"/>
              </w:rPr>
              <w:t>FY2023 audited filing, FY2022 comparative column: profit for the year</w:t>
            </w:r>
          </w:p>
        </w:tc>
      </w:tr>
      <w:tr>
        <w:trPr>
          <w:cantSplit/>
        </w:trPr>
        <w:tc>
          <w:tcPr>
            <w:tcW w:type="dxa" w:w="1656"/>
          </w:tcPr>
          <w:p>
            <w:pPr>
              <w:spacing w:after="20"/>
            </w:pPr>
            <w:r>
              <w:rPr>
                <w:color w:val="1C3A36"/>
                <w:sz w:val="14"/>
              </w:rPr>
              <w:t>np fy23</w:t>
            </w:r>
          </w:p>
        </w:tc>
        <w:tc>
          <w:tcPr>
            <w:tcW w:type="dxa" w:w="1440"/>
          </w:tcPr>
          <w:p>
            <w:pPr>
              <w:spacing w:after="20"/>
            </w:pPr>
            <w:r>
              <w:rPr>
                <w:color w:val="1C3A36"/>
                <w:sz w:val="14"/>
              </w:rPr>
              <w:t>2,630.489</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profit for the year</w:t>
            </w:r>
          </w:p>
        </w:tc>
      </w:tr>
      <w:tr>
        <w:trPr>
          <w:cantSplit/>
        </w:trPr>
        <w:tc>
          <w:tcPr>
            <w:tcW w:type="dxa" w:w="1656"/>
          </w:tcPr>
          <w:p>
            <w:pPr>
              <w:spacing w:after="20"/>
            </w:pPr>
            <w:r>
              <w:rPr>
                <w:color w:val="1C3A36"/>
                <w:sz w:val="14"/>
              </w:rPr>
              <w:t>np fy24</w:t>
            </w:r>
          </w:p>
        </w:tc>
        <w:tc>
          <w:tcPr>
            <w:tcW w:type="dxa" w:w="1440"/>
          </w:tcPr>
          <w:p>
            <w:pPr>
              <w:spacing w:after="20"/>
            </w:pPr>
            <w:r>
              <w:rPr>
                <w:color w:val="1C3A36"/>
                <w:sz w:val="14"/>
              </w:rPr>
              <w:t>2,472.283</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profit for the year</w:t>
            </w:r>
          </w:p>
        </w:tc>
      </w:tr>
      <w:tr>
        <w:trPr>
          <w:cantSplit/>
        </w:trPr>
        <w:tc>
          <w:tcPr>
            <w:tcW w:type="dxa" w:w="1656"/>
          </w:tcPr>
          <w:p>
            <w:pPr>
              <w:spacing w:after="20"/>
            </w:pPr>
            <w:r>
              <w:rPr>
                <w:color w:val="1C3A36"/>
                <w:sz w:val="14"/>
              </w:rPr>
              <w:t>np fy25</w:t>
            </w:r>
          </w:p>
        </w:tc>
        <w:tc>
          <w:tcPr>
            <w:tcW w:type="dxa" w:w="1440"/>
          </w:tcPr>
          <w:p>
            <w:pPr>
              <w:spacing w:after="20"/>
            </w:pPr>
            <w:r>
              <w:rPr>
                <w:color w:val="1C3A36"/>
                <w:sz w:val="14"/>
              </w:rPr>
              <w:t>2,851.042</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profit for the year</w:t>
            </w:r>
          </w:p>
        </w:tc>
      </w:tr>
      <w:tr>
        <w:trPr>
          <w:cantSplit/>
        </w:trPr>
        <w:tc>
          <w:tcPr>
            <w:tcW w:type="dxa" w:w="1656"/>
          </w:tcPr>
          <w:p>
            <w:pPr>
              <w:spacing w:after="20"/>
            </w:pPr>
            <w:r>
              <w:rPr>
                <w:color w:val="1C3A36"/>
                <w:sz w:val="14"/>
              </w:rPr>
              <w:t>np h126</w:t>
            </w:r>
          </w:p>
        </w:tc>
        <w:tc>
          <w:tcPr>
            <w:tcW w:type="dxa" w:w="1440"/>
          </w:tcPr>
          <w:p>
            <w:pPr>
              <w:spacing w:after="20"/>
            </w:pPr>
            <w:r>
              <w:rPr>
                <w:color w:val="1C3A36"/>
                <w:sz w:val="14"/>
              </w:rPr>
              <w:t>2,127.694</w:t>
            </w:r>
          </w:p>
        </w:tc>
        <w:tc>
          <w:tcPr>
            <w:tcW w:type="dxa" w:w="936"/>
          </w:tcPr>
          <w:p>
            <w:pPr>
              <w:spacing w:after="20"/>
            </w:pPr>
            <w:r>
              <w:rPr>
                <w:color w:val="1C3A36"/>
                <w:sz w:val="14"/>
              </w:rPr>
              <w:t>30 Jun 2026</w:t>
            </w:r>
          </w:p>
        </w:tc>
        <w:tc>
          <w:tcPr>
            <w:tcW w:type="dxa" w:w="6048"/>
          </w:tcPr>
          <w:p>
            <w:pPr>
              <w:spacing w:after="20"/>
            </w:pPr>
            <w:r>
              <w:rPr>
                <w:color w:val="1C3A36"/>
                <w:sz w:val="14"/>
              </w:rPr>
              <w:t>Abu Dhabi National Oil Company for Distribution PJSC, reviewed interim condensed consolidated financial statements for the six months ended 30 June 2026, published on the company's investor-relations site, profit for the period, six months ended 30 June 2026</w:t>
            </w:r>
          </w:p>
        </w:tc>
      </w:tr>
      <w:tr>
        <w:trPr>
          <w:cantSplit/>
        </w:trPr>
        <w:tc>
          <w:tcPr>
            <w:tcW w:type="dxa" w:w="1656"/>
          </w:tcPr>
          <w:p>
            <w:pPr>
              <w:spacing w:after="20"/>
            </w:pPr>
            <w:r>
              <w:rPr>
                <w:color w:val="1C3A36"/>
                <w:sz w:val="14"/>
              </w:rPr>
              <w:t>ocf fy23</w:t>
            </w:r>
          </w:p>
        </w:tc>
        <w:tc>
          <w:tcPr>
            <w:tcW w:type="dxa" w:w="1440"/>
          </w:tcPr>
          <w:p>
            <w:pPr>
              <w:spacing w:after="20"/>
            </w:pPr>
            <w:r>
              <w:rPr>
                <w:color w:val="1C3A36"/>
                <w:sz w:val="14"/>
              </w:rPr>
              <w:t>5,051.268</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FY2023 comparative</w:t>
            </w:r>
          </w:p>
        </w:tc>
      </w:tr>
      <w:tr>
        <w:trPr>
          <w:cantSplit/>
        </w:trPr>
        <w:tc>
          <w:tcPr>
            <w:tcW w:type="dxa" w:w="1656"/>
          </w:tcPr>
          <w:p>
            <w:pPr>
              <w:spacing w:after="20"/>
            </w:pPr>
            <w:r>
              <w:rPr>
                <w:color w:val="1C3A36"/>
                <w:sz w:val="14"/>
              </w:rPr>
              <w:t>ocf fy24</w:t>
            </w:r>
          </w:p>
        </w:tc>
        <w:tc>
          <w:tcPr>
            <w:tcW w:type="dxa" w:w="1440"/>
          </w:tcPr>
          <w:p>
            <w:pPr>
              <w:spacing w:after="20"/>
            </w:pPr>
            <w:r>
              <w:rPr>
                <w:color w:val="1C3A36"/>
                <w:sz w:val="14"/>
              </w:rPr>
              <w:t>3,931.453</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w:t>
            </w:r>
          </w:p>
        </w:tc>
      </w:tr>
      <w:tr>
        <w:trPr>
          <w:cantSplit/>
        </w:trPr>
        <w:tc>
          <w:tcPr>
            <w:tcW w:type="dxa" w:w="1656"/>
          </w:tcPr>
          <w:p>
            <w:pPr>
              <w:spacing w:after="20"/>
            </w:pPr>
            <w:r>
              <w:rPr>
                <w:color w:val="1C3A36"/>
                <w:sz w:val="14"/>
              </w:rPr>
              <w:t>ocf fy25</w:t>
            </w:r>
          </w:p>
        </w:tc>
        <w:tc>
          <w:tcPr>
            <w:tcW w:type="dxa" w:w="1440"/>
          </w:tcPr>
          <w:p>
            <w:pPr>
              <w:spacing w:after="20"/>
            </w:pPr>
            <w:r>
              <w:rPr>
                <w:color w:val="1C3A36"/>
                <w:sz w:val="14"/>
              </w:rPr>
              <w:t>3,922.041</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w:t>
            </w:r>
          </w:p>
        </w:tc>
      </w:tr>
      <w:tr>
        <w:trPr>
          <w:cantSplit/>
        </w:trPr>
        <w:tc>
          <w:tcPr>
            <w:tcW w:type="dxa" w:w="1656"/>
          </w:tcPr>
          <w:p>
            <w:pPr>
              <w:spacing w:after="20"/>
            </w:pPr>
            <w:r>
              <w:rPr>
                <w:color w:val="1C3A36"/>
                <w:sz w:val="14"/>
              </w:rPr>
              <w:t>oi fy23</w:t>
            </w:r>
          </w:p>
        </w:tc>
        <w:tc>
          <w:tcPr>
            <w:tcW w:type="dxa" w:w="1440"/>
          </w:tcPr>
          <w:p>
            <w:pPr>
              <w:spacing w:after="20"/>
            </w:pPr>
            <w:r>
              <w:rPr>
                <w:color w:val="1C3A36"/>
                <w:sz w:val="14"/>
              </w:rPr>
              <w:t>145.645</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other income</w:t>
            </w:r>
          </w:p>
        </w:tc>
      </w:tr>
      <w:tr>
        <w:trPr>
          <w:cantSplit/>
        </w:trPr>
        <w:tc>
          <w:tcPr>
            <w:tcW w:type="dxa" w:w="1656"/>
          </w:tcPr>
          <w:p>
            <w:pPr>
              <w:spacing w:after="20"/>
            </w:pPr>
            <w:r>
              <w:rPr>
                <w:color w:val="1C3A36"/>
                <w:sz w:val="14"/>
              </w:rPr>
              <w:t>oi fy24</w:t>
            </w:r>
          </w:p>
        </w:tc>
        <w:tc>
          <w:tcPr>
            <w:tcW w:type="dxa" w:w="1440"/>
          </w:tcPr>
          <w:p>
            <w:pPr>
              <w:spacing w:after="20"/>
            </w:pPr>
            <w:r>
              <w:rPr>
                <w:color w:val="1C3A36"/>
                <w:sz w:val="14"/>
              </w:rPr>
              <w:t>138.059</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other income</w:t>
            </w:r>
          </w:p>
        </w:tc>
      </w:tr>
      <w:tr>
        <w:trPr>
          <w:cantSplit/>
        </w:trPr>
        <w:tc>
          <w:tcPr>
            <w:tcW w:type="dxa" w:w="1656"/>
          </w:tcPr>
          <w:p>
            <w:pPr>
              <w:spacing w:after="20"/>
            </w:pPr>
            <w:r>
              <w:rPr>
                <w:color w:val="1C3A36"/>
                <w:sz w:val="14"/>
              </w:rPr>
              <w:t>oi fy25</w:t>
            </w:r>
          </w:p>
        </w:tc>
        <w:tc>
          <w:tcPr>
            <w:tcW w:type="dxa" w:w="1440"/>
          </w:tcPr>
          <w:p>
            <w:pPr>
              <w:spacing w:after="20"/>
            </w:pPr>
            <w:r>
              <w:rPr>
                <w:color w:val="1C3A36"/>
                <w:sz w:val="14"/>
              </w:rPr>
              <w:t>167.665</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other income</w:t>
            </w:r>
          </w:p>
        </w:tc>
      </w:tr>
      <w:tr>
        <w:trPr>
          <w:cantSplit/>
        </w:trPr>
        <w:tc>
          <w:tcPr>
            <w:tcW w:type="dxa" w:w="1656"/>
          </w:tcPr>
          <w:p>
            <w:pPr>
              <w:spacing w:after="20"/>
            </w:pPr>
            <w:r>
              <w:rPr>
                <w:color w:val="1C3A36"/>
                <w:sz w:val="14"/>
              </w:rPr>
              <w:t>oi h126</w:t>
            </w:r>
          </w:p>
        </w:tc>
        <w:tc>
          <w:tcPr>
            <w:tcW w:type="dxa" w:w="1440"/>
          </w:tcPr>
          <w:p>
            <w:pPr>
              <w:spacing w:after="20"/>
            </w:pPr>
            <w:r>
              <w:rPr>
                <w:color w:val="1C3A36"/>
                <w:sz w:val="14"/>
              </w:rPr>
              <w:t>90.705</w:t>
            </w:r>
          </w:p>
        </w:tc>
        <w:tc>
          <w:tcPr>
            <w:tcW w:type="dxa" w:w="936"/>
          </w:tcPr>
          <w:p>
            <w:pPr>
              <w:spacing w:after="20"/>
            </w:pPr>
            <w:r>
              <w:rPr>
                <w:color w:val="1C3A36"/>
                <w:sz w:val="14"/>
              </w:rPr>
              <w:t>30 Jun 2026</w:t>
            </w:r>
          </w:p>
        </w:tc>
        <w:tc>
          <w:tcPr>
            <w:tcW w:type="dxa" w:w="6048"/>
          </w:tcPr>
          <w:p>
            <w:pPr>
              <w:spacing w:after="20"/>
            </w:pPr>
            <w:r>
              <w:rPr>
                <w:color w:val="1C3A36"/>
                <w:sz w:val="14"/>
              </w:rPr>
              <w:t>Abu Dhabi National Oil Company for Distribution PJSC, reviewed interim condensed consolidated financial statements for the six months ended 30 June 2026, published on the company's investor-relations site, other income, six months</w:t>
            </w:r>
          </w:p>
        </w:tc>
      </w:tr>
      <w:tr>
        <w:trPr>
          <w:cantSplit/>
        </w:trPr>
        <w:tc>
          <w:tcPr>
            <w:tcW w:type="dxa" w:w="1656"/>
          </w:tcPr>
          <w:p>
            <w:pPr>
              <w:spacing w:after="20"/>
            </w:pPr>
            <w:r>
              <w:rPr>
                <w:color w:val="1C3A36"/>
                <w:sz w:val="14"/>
              </w:rPr>
              <w:t>onca fy23</w:t>
            </w:r>
          </w:p>
        </w:tc>
        <w:tc>
          <w:tcPr>
            <w:tcW w:type="dxa" w:w="1440"/>
          </w:tcPr>
          <w:p>
            <w:pPr>
              <w:spacing w:after="20"/>
            </w:pPr>
            <w:r>
              <w:rPr>
                <w:color w:val="1C3A36"/>
                <w:sz w:val="14"/>
              </w:rPr>
              <w:t>56.183</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advances to contractors 38.466 plus deferred tax asset 2.166 plus other non-current assets 15.551</w:t>
            </w:r>
          </w:p>
        </w:tc>
      </w:tr>
      <w:tr>
        <w:trPr>
          <w:cantSplit/>
        </w:trPr>
        <w:tc>
          <w:tcPr>
            <w:tcW w:type="dxa" w:w="1656"/>
          </w:tcPr>
          <w:p>
            <w:pPr>
              <w:spacing w:after="20"/>
            </w:pPr>
            <w:r>
              <w:rPr>
                <w:color w:val="1C3A36"/>
                <w:sz w:val="14"/>
              </w:rPr>
              <w:t>onca fy24</w:t>
            </w:r>
          </w:p>
        </w:tc>
        <w:tc>
          <w:tcPr>
            <w:tcW w:type="dxa" w:w="1440"/>
          </w:tcPr>
          <w:p>
            <w:pPr>
              <w:spacing w:after="20"/>
            </w:pPr>
            <w:r>
              <w:rPr>
                <w:color w:val="1C3A36"/>
                <w:sz w:val="14"/>
              </w:rPr>
              <w:t>62.103</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advances to contractors 47.656 plus other non-current assets 14.447</w:t>
            </w:r>
          </w:p>
        </w:tc>
      </w:tr>
      <w:tr>
        <w:trPr>
          <w:cantSplit/>
        </w:trPr>
        <w:tc>
          <w:tcPr>
            <w:tcW w:type="dxa" w:w="1656"/>
          </w:tcPr>
          <w:p>
            <w:pPr>
              <w:spacing w:after="20"/>
            </w:pPr>
            <w:r>
              <w:rPr>
                <w:color w:val="1C3A36"/>
                <w:sz w:val="14"/>
              </w:rPr>
              <w:t>onca fy25</w:t>
            </w:r>
          </w:p>
        </w:tc>
        <w:tc>
          <w:tcPr>
            <w:tcW w:type="dxa" w:w="1440"/>
          </w:tcPr>
          <w:p>
            <w:pPr>
              <w:spacing w:after="20"/>
            </w:pPr>
            <w:r>
              <w:rPr>
                <w:color w:val="1C3A36"/>
                <w:sz w:val="14"/>
              </w:rPr>
              <w:t>49.420</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advances to contractors 36.596 plus other non-current assets 12.824</w:t>
            </w:r>
          </w:p>
        </w:tc>
      </w:tr>
      <w:tr>
        <w:trPr>
          <w:cantSplit/>
        </w:trPr>
        <w:tc>
          <w:tcPr>
            <w:tcW w:type="dxa" w:w="1656"/>
          </w:tcPr>
          <w:p>
            <w:pPr>
              <w:spacing w:after="20"/>
            </w:pPr>
            <w:r>
              <w:rPr>
                <w:color w:val="1C3A36"/>
                <w:sz w:val="14"/>
              </w:rPr>
              <w:t>oncl fy25</w:t>
            </w:r>
          </w:p>
        </w:tc>
        <w:tc>
          <w:tcPr>
            <w:tcW w:type="dxa" w:w="1440"/>
          </w:tcPr>
          <w:p>
            <w:pPr>
              <w:spacing w:after="20"/>
            </w:pPr>
            <w:r>
              <w:rPr>
                <w:color w:val="1C3A36"/>
                <w:sz w:val="14"/>
              </w:rPr>
              <w:t>6.528</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other non-current liabilities</w:t>
            </w:r>
          </w:p>
        </w:tc>
      </w:tr>
      <w:tr>
        <w:trPr>
          <w:cantSplit/>
        </w:trPr>
        <w:tc>
          <w:tcPr>
            <w:tcW w:type="dxa" w:w="1656"/>
          </w:tcPr>
          <w:p>
            <w:pPr>
              <w:spacing w:after="20"/>
            </w:pPr>
            <w:r>
              <w:rPr>
                <w:color w:val="1C3A36"/>
                <w:sz w:val="14"/>
              </w:rPr>
              <w:t>op fy23</w:t>
            </w:r>
          </w:p>
        </w:tc>
        <w:tc>
          <w:tcPr>
            <w:tcW w:type="dxa" w:w="1440"/>
          </w:tcPr>
          <w:p>
            <w:pPr>
              <w:spacing w:after="20"/>
            </w:pPr>
            <w:r>
              <w:rPr>
                <w:color w:val="1C3A36"/>
                <w:sz w:val="14"/>
              </w:rPr>
              <w:t>2,983.249</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operating profit</w:t>
            </w:r>
          </w:p>
        </w:tc>
      </w:tr>
      <w:tr>
        <w:trPr>
          <w:cantSplit/>
        </w:trPr>
        <w:tc>
          <w:tcPr>
            <w:tcW w:type="dxa" w:w="1656"/>
          </w:tcPr>
          <w:p>
            <w:pPr>
              <w:spacing w:after="20"/>
            </w:pPr>
            <w:r>
              <w:rPr>
                <w:color w:val="1C3A36"/>
                <w:sz w:val="14"/>
              </w:rPr>
              <w:t>op fy24</w:t>
            </w:r>
          </w:p>
        </w:tc>
        <w:tc>
          <w:tcPr>
            <w:tcW w:type="dxa" w:w="1440"/>
          </w:tcPr>
          <w:p>
            <w:pPr>
              <w:spacing w:after="20"/>
            </w:pPr>
            <w:r>
              <w:rPr>
                <w:color w:val="1C3A36"/>
                <w:sz w:val="14"/>
              </w:rPr>
              <w:t>3,068.895</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operating profit</w:t>
            </w:r>
          </w:p>
        </w:tc>
      </w:tr>
      <w:tr>
        <w:trPr>
          <w:cantSplit/>
        </w:trPr>
        <w:tc>
          <w:tcPr>
            <w:tcW w:type="dxa" w:w="1656"/>
          </w:tcPr>
          <w:p>
            <w:pPr>
              <w:spacing w:after="20"/>
            </w:pPr>
            <w:r>
              <w:rPr>
                <w:color w:val="1C3A36"/>
                <w:sz w:val="14"/>
              </w:rPr>
              <w:t>op fy25</w:t>
            </w:r>
          </w:p>
        </w:tc>
        <w:tc>
          <w:tcPr>
            <w:tcW w:type="dxa" w:w="1440"/>
          </w:tcPr>
          <w:p>
            <w:pPr>
              <w:spacing w:after="20"/>
            </w:pPr>
            <w:r>
              <w:rPr>
                <w:color w:val="1C3A36"/>
                <w:sz w:val="14"/>
              </w:rPr>
              <w:t>3,505.604</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operating profit</w:t>
            </w:r>
          </w:p>
        </w:tc>
      </w:tr>
      <w:tr>
        <w:trPr>
          <w:cantSplit/>
        </w:trPr>
        <w:tc>
          <w:tcPr>
            <w:tcW w:type="dxa" w:w="1656"/>
          </w:tcPr>
          <w:p>
            <w:pPr>
              <w:spacing w:after="20"/>
            </w:pPr>
            <w:r>
              <w:rPr>
                <w:color w:val="1C3A36"/>
                <w:sz w:val="14"/>
              </w:rPr>
              <w:t>op h126</w:t>
            </w:r>
          </w:p>
        </w:tc>
        <w:tc>
          <w:tcPr>
            <w:tcW w:type="dxa" w:w="1440"/>
          </w:tcPr>
          <w:p>
            <w:pPr>
              <w:spacing w:after="20"/>
            </w:pPr>
            <w:r>
              <w:rPr>
                <w:color w:val="1C3A36"/>
                <w:sz w:val="14"/>
              </w:rPr>
              <w:t>2,516.642</w:t>
            </w:r>
          </w:p>
        </w:tc>
        <w:tc>
          <w:tcPr>
            <w:tcW w:type="dxa" w:w="936"/>
          </w:tcPr>
          <w:p>
            <w:pPr>
              <w:spacing w:after="20"/>
            </w:pPr>
            <w:r>
              <w:rPr>
                <w:color w:val="1C3A36"/>
                <w:sz w:val="14"/>
              </w:rPr>
              <w:t>30 Jun 2026</w:t>
            </w:r>
          </w:p>
        </w:tc>
        <w:tc>
          <w:tcPr>
            <w:tcW w:type="dxa" w:w="6048"/>
          </w:tcPr>
          <w:p>
            <w:pPr>
              <w:spacing w:after="20"/>
            </w:pPr>
            <w:r>
              <w:rPr>
                <w:color w:val="1C3A36"/>
                <w:sz w:val="14"/>
              </w:rPr>
              <w:t>Abu Dhabi National Oil Company for Distribution PJSC, reviewed interim condensed consolidated financial statements for the six months ended 30 June 2026, published on the company's investor-relations site, operating profit, six months ended 30 June 2026</w:t>
            </w:r>
          </w:p>
        </w:tc>
      </w:tr>
      <w:tr>
        <w:trPr>
          <w:cantSplit/>
        </w:trPr>
        <w:tc>
          <w:tcPr>
            <w:tcW w:type="dxa" w:w="1656"/>
          </w:tcPr>
          <w:p>
            <w:pPr>
              <w:spacing w:after="20"/>
            </w:pPr>
            <w:r>
              <w:rPr>
                <w:color w:val="1C3A36"/>
                <w:sz w:val="14"/>
              </w:rPr>
              <w:t>payout</w:t>
            </w:r>
          </w:p>
        </w:tc>
        <w:tc>
          <w:tcPr>
            <w:tcW w:type="dxa" w:w="1440"/>
          </w:tcPr>
          <w:p>
            <w:pPr>
              <w:spacing w:after="20"/>
            </w:pPr>
            <w:r>
              <w:rPr>
                <w:color w:val="1C3A36"/>
                <w:sz w:val="14"/>
              </w:rPr>
              <w:t>92.00%</w:t>
            </w:r>
          </w:p>
        </w:tc>
        <w:tc>
          <w:tcPr>
            <w:tcW w:type="dxa" w:w="936"/>
          </w:tcPr>
          <w:p>
            <w:pPr>
              <w:spacing w:after="20"/>
            </w:pPr>
            <w:r>
              <w:rPr>
                <w:color w:val="1C3A36"/>
                <w:sz w:val="14"/>
              </w:rPr>
              <w:t>31 Dec 2025</w:t>
            </w:r>
          </w:p>
        </w:tc>
        <w:tc>
          <w:tcPr>
            <w:tcW w:type="dxa" w:w="6048"/>
          </w:tcPr>
          <w:p>
            <w:pPr>
              <w:spacing w:after="20"/>
            </w:pPr>
            <w:r>
              <w:rPr>
                <w:color w:val="1C3A36"/>
                <w:sz w:val="14"/>
              </w:rPr>
              <w:t>Dividend payout used in the equity roll-forward. Dividends paid were AED 2,622.9 million, AED 2,613.7 million and AED 2,599.1 million in FY2023, FY2024 and FY2025 against profit attributable to owners of AED 2,601.4 million, AED 2,420.3 million and AED 2,794.0 million — a payout that has run at or above 100% of earnings and is set slightly below that as profits step up</w:t>
            </w:r>
          </w:p>
        </w:tc>
      </w:tr>
      <w:tr>
        <w:trPr>
          <w:cantSplit/>
        </w:trPr>
        <w:tc>
          <w:tcPr>
            <w:tcW w:type="dxa" w:w="1656"/>
          </w:tcPr>
          <w:p>
            <w:pPr>
              <w:spacing w:after="20"/>
            </w:pPr>
            <w:r>
              <w:rPr>
                <w:color w:val="1C3A36"/>
                <w:sz w:val="14"/>
              </w:rPr>
              <w:t>payout floor</w:t>
            </w:r>
          </w:p>
        </w:tc>
        <w:tc>
          <w:tcPr>
            <w:tcW w:type="dxa" w:w="1440"/>
          </w:tcPr>
          <w:p>
            <w:pPr>
              <w:spacing w:after="20"/>
            </w:pPr>
            <w:r>
              <w:rPr>
                <w:color w:val="1C3A36"/>
                <w:sz w:val="14"/>
              </w:rPr>
              <w:t>0.750</w:t>
            </w:r>
          </w:p>
        </w:tc>
        <w:tc>
          <w:tcPr>
            <w:tcW w:type="dxa" w:w="936"/>
          </w:tcPr>
          <w:p>
            <w:pPr>
              <w:spacing w:after="20"/>
            </w:pPr>
            <w:r>
              <w:rPr>
                <w:color w:val="1C3A36"/>
                <w:sz w:val="14"/>
              </w:rPr>
              <w:t>1 Apr 2026</w:t>
            </w:r>
          </w:p>
        </w:tc>
        <w:tc>
          <w:tcPr>
            <w:tcW w:type="dxa" w:w="6048"/>
          </w:tcPr>
          <w:p>
            <w:pPr>
              <w:spacing w:after="20"/>
            </w:pPr>
            <w:r>
              <w:rPr>
                <w:color w:val="1C3A36"/>
                <w:sz w:val="14"/>
              </w:rPr>
              <w:t>Dividend policy FLOOR as the company actually states it: USD 700 million a year, or a minimum of 75% of net profit, whichever is higher, for the years 2024 to 2030. ADDED 09-Aug-2026: the study previously used the realised 92% payout as though it were the policy term, in two places, contradicting both the primary disclosure and the study's own catalyst table</w:t>
            </w:r>
          </w:p>
        </w:tc>
      </w:tr>
      <w:tr>
        <w:trPr>
          <w:cantSplit/>
        </w:trPr>
        <w:tc>
          <w:tcPr>
            <w:tcW w:type="dxa" w:w="1656"/>
          </w:tcPr>
          <w:p>
            <w:pPr>
              <w:spacing w:after="20"/>
            </w:pPr>
            <w:r>
              <w:rPr>
                <w:color w:val="1C3A36"/>
                <w:sz w:val="14"/>
              </w:rPr>
              <w:t>pbt fy23</w:t>
            </w:r>
          </w:p>
        </w:tc>
        <w:tc>
          <w:tcPr>
            <w:tcW w:type="dxa" w:w="1440"/>
          </w:tcPr>
          <w:p>
            <w:pPr>
              <w:spacing w:after="20"/>
            </w:pPr>
            <w:r>
              <w:rPr>
                <w:color w:val="1C3A36"/>
                <w:sz w:val="14"/>
              </w:rPr>
              <w:t>2,649.326</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profit before tax</w:t>
            </w:r>
          </w:p>
        </w:tc>
      </w:tr>
      <w:tr>
        <w:trPr>
          <w:cantSplit/>
        </w:trPr>
        <w:tc>
          <w:tcPr>
            <w:tcW w:type="dxa" w:w="1656"/>
          </w:tcPr>
          <w:p>
            <w:pPr>
              <w:spacing w:after="20"/>
            </w:pPr>
            <w:r>
              <w:rPr>
                <w:color w:val="1C3A36"/>
                <w:sz w:val="14"/>
              </w:rPr>
              <w:t>pbt fy24</w:t>
            </w:r>
          </w:p>
        </w:tc>
        <w:tc>
          <w:tcPr>
            <w:tcW w:type="dxa" w:w="1440"/>
          </w:tcPr>
          <w:p>
            <w:pPr>
              <w:spacing w:after="20"/>
            </w:pPr>
            <w:r>
              <w:rPr>
                <w:color w:val="1C3A36"/>
                <w:sz w:val="14"/>
              </w:rPr>
              <w:t>2,755.677</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profit before tax</w:t>
            </w:r>
          </w:p>
        </w:tc>
      </w:tr>
      <w:tr>
        <w:trPr>
          <w:cantSplit/>
        </w:trPr>
        <w:tc>
          <w:tcPr>
            <w:tcW w:type="dxa" w:w="1656"/>
          </w:tcPr>
          <w:p>
            <w:pPr>
              <w:spacing w:after="20"/>
            </w:pPr>
            <w:r>
              <w:rPr>
                <w:color w:val="1C3A36"/>
                <w:sz w:val="14"/>
              </w:rPr>
              <w:t>pbt fy25</w:t>
            </w:r>
          </w:p>
        </w:tc>
        <w:tc>
          <w:tcPr>
            <w:tcW w:type="dxa" w:w="1440"/>
          </w:tcPr>
          <w:p>
            <w:pPr>
              <w:spacing w:after="20"/>
            </w:pPr>
            <w:r>
              <w:rPr>
                <w:color w:val="1C3A36"/>
                <w:sz w:val="14"/>
              </w:rPr>
              <w:t>3,173.933</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profit before tax</w:t>
            </w:r>
          </w:p>
        </w:tc>
      </w:tr>
      <w:tr>
        <w:trPr>
          <w:cantSplit/>
        </w:trPr>
        <w:tc>
          <w:tcPr>
            <w:tcW w:type="dxa" w:w="1656"/>
          </w:tcPr>
          <w:p>
            <w:pPr>
              <w:spacing w:after="20"/>
            </w:pPr>
            <w:r>
              <w:rPr>
                <w:color w:val="1C3A36"/>
                <w:sz w:val="14"/>
              </w:rPr>
              <w:t>ppe fy23</w:t>
            </w:r>
          </w:p>
        </w:tc>
        <w:tc>
          <w:tcPr>
            <w:tcW w:type="dxa" w:w="1440"/>
          </w:tcPr>
          <w:p>
            <w:pPr>
              <w:spacing w:after="20"/>
            </w:pPr>
            <w:r>
              <w:rPr>
                <w:color w:val="1C3A36"/>
                <w:sz w:val="14"/>
              </w:rPr>
              <w:t>7,189.661</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property, plant and equipment</w:t>
            </w:r>
          </w:p>
        </w:tc>
      </w:tr>
      <w:tr>
        <w:trPr>
          <w:cantSplit/>
        </w:trPr>
        <w:tc>
          <w:tcPr>
            <w:tcW w:type="dxa" w:w="1656"/>
          </w:tcPr>
          <w:p>
            <w:pPr>
              <w:spacing w:after="20"/>
            </w:pPr>
            <w:r>
              <w:rPr>
                <w:color w:val="1C3A36"/>
                <w:sz w:val="14"/>
              </w:rPr>
              <w:t>ppe fy24</w:t>
            </w:r>
          </w:p>
        </w:tc>
        <w:tc>
          <w:tcPr>
            <w:tcW w:type="dxa" w:w="1440"/>
          </w:tcPr>
          <w:p>
            <w:pPr>
              <w:spacing w:after="20"/>
            </w:pPr>
            <w:r>
              <w:rPr>
                <w:color w:val="1C3A36"/>
                <w:sz w:val="14"/>
              </w:rPr>
              <w:t>7,552.178</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property, plant and equipment</w:t>
            </w:r>
          </w:p>
        </w:tc>
      </w:tr>
      <w:tr>
        <w:trPr>
          <w:cantSplit/>
        </w:trPr>
        <w:tc>
          <w:tcPr>
            <w:tcW w:type="dxa" w:w="1656"/>
          </w:tcPr>
          <w:p>
            <w:pPr>
              <w:spacing w:after="20"/>
            </w:pPr>
            <w:r>
              <w:rPr>
                <w:color w:val="1C3A36"/>
                <w:sz w:val="14"/>
              </w:rPr>
              <w:t>ppe fy25</w:t>
            </w:r>
          </w:p>
        </w:tc>
        <w:tc>
          <w:tcPr>
            <w:tcW w:type="dxa" w:w="1440"/>
          </w:tcPr>
          <w:p>
            <w:pPr>
              <w:spacing w:after="20"/>
            </w:pPr>
            <w:r>
              <w:rPr>
                <w:color w:val="1C3A36"/>
                <w:sz w:val="14"/>
              </w:rPr>
              <w:t>8,032.197</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property, plant and equipment</w:t>
            </w:r>
          </w:p>
        </w:tc>
      </w:tr>
      <w:tr>
        <w:trPr>
          <w:cantSplit/>
        </w:trPr>
        <w:tc>
          <w:tcPr>
            <w:tcW w:type="dxa" w:w="1656"/>
          </w:tcPr>
          <w:p>
            <w:pPr>
              <w:spacing w:after="20"/>
            </w:pPr>
            <w:r>
              <w:rPr>
                <w:color w:val="1C3A36"/>
                <w:sz w:val="14"/>
              </w:rPr>
              <w:t>price avi</w:t>
            </w:r>
          </w:p>
        </w:tc>
        <w:tc>
          <w:tcPr>
            <w:tcW w:type="dxa" w:w="1440"/>
          </w:tcPr>
          <w:p>
            <w:pPr>
              <w:spacing w:after="20"/>
            </w:pPr>
            <w:r>
              <w:rPr>
                <w:color w:val="1C3A36"/>
                <w:sz w:val="14"/>
              </w:rPr>
              <w:t>4.550, 4.400, 4.440, 4.490, 4.530</w:t>
            </w:r>
          </w:p>
        </w:tc>
        <w:tc>
          <w:tcPr>
            <w:tcW w:type="dxa" w:w="936"/>
          </w:tcPr>
          <w:p>
            <w:pPr>
              <w:spacing w:after="20"/>
            </w:pPr>
            <w:r>
              <w:rPr>
                <w:color w:val="1C3A36"/>
                <w:sz w:val="14"/>
              </w:rPr>
              <w:t>30 Jun 2026</w:t>
            </w:r>
          </w:p>
        </w:tc>
        <w:tc>
          <w:tcPr>
            <w:tcW w:type="dxa" w:w="6048"/>
          </w:tcPr>
          <w:p>
            <w:pPr>
              <w:spacing w:after="20"/>
            </w:pPr>
            <w:r>
              <w:rPr>
                <w:color w:val="1C3A36"/>
                <w:sz w:val="14"/>
              </w:rPr>
              <w:t>Realised aviation price per litre, on the same crude path. Anchored on the 4.64 realised in the first half of 2026. Jet fuel prices roughly 50% above the corporate leg, which is why blending the two destroys information</w:t>
            </w:r>
          </w:p>
        </w:tc>
      </w:tr>
      <w:tr>
        <w:trPr>
          <w:cantSplit/>
        </w:trPr>
        <w:tc>
          <w:tcPr>
            <w:tcW w:type="dxa" w:w="1656"/>
          </w:tcPr>
          <w:p>
            <w:pPr>
              <w:spacing w:after="20"/>
            </w:pPr>
            <w:r>
              <w:rPr>
                <w:color w:val="1C3A36"/>
                <w:sz w:val="14"/>
              </w:rPr>
              <w:t>price corp</w:t>
            </w:r>
          </w:p>
        </w:tc>
        <w:tc>
          <w:tcPr>
            <w:tcW w:type="dxa" w:w="1440"/>
          </w:tcPr>
          <w:p>
            <w:pPr>
              <w:spacing w:after="20"/>
            </w:pPr>
            <w:r>
              <w:rPr>
                <w:color w:val="1C3A36"/>
                <w:sz w:val="14"/>
              </w:rPr>
              <w:t>3.050, 2.950, 2.980, 3.010, 3.040</w:t>
            </w:r>
          </w:p>
        </w:tc>
        <w:tc>
          <w:tcPr>
            <w:tcW w:type="dxa" w:w="936"/>
          </w:tcPr>
          <w:p>
            <w:pPr>
              <w:spacing w:after="20"/>
            </w:pPr>
            <w:r>
              <w:rPr>
                <w:color w:val="1C3A36"/>
                <w:sz w:val="14"/>
              </w:rPr>
              <w:t>30 Jun 2026</w:t>
            </w:r>
          </w:p>
        </w:tc>
        <w:tc>
          <w:tcPr>
            <w:tcW w:type="dxa" w:w="6048"/>
          </w:tcPr>
          <w:p>
            <w:pPr>
              <w:spacing w:after="20"/>
            </w:pPr>
            <w:r>
              <w:rPr>
                <w:color w:val="1C3A36"/>
                <w:sz w:val="14"/>
              </w:rPr>
              <w:t>Realised corporate price per litre, on the same crude path as the retail leg. Anchored on the 3.12 realised in the first half of 2026</w:t>
            </w:r>
          </w:p>
        </w:tc>
      </w:tr>
      <w:tr>
        <w:trPr>
          <w:cantSplit/>
        </w:trPr>
        <w:tc>
          <w:tcPr>
            <w:tcW w:type="dxa" w:w="1656"/>
          </w:tcPr>
          <w:p>
            <w:pPr>
              <w:spacing w:after="20"/>
            </w:pPr>
            <w:r>
              <w:rPr>
                <w:color w:val="1C3A36"/>
                <w:sz w:val="14"/>
              </w:rPr>
              <w:t>provs fy25</w:t>
            </w:r>
          </w:p>
        </w:tc>
        <w:tc>
          <w:tcPr>
            <w:tcW w:type="dxa" w:w="1440"/>
          </w:tcPr>
          <w:p>
            <w:pPr>
              <w:spacing w:after="20"/>
            </w:pPr>
            <w:r>
              <w:rPr>
                <w:color w:val="1C3A36"/>
                <w:sz w:val="14"/>
              </w:rPr>
              <w:t>453.592</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provision for decommissioning 167.399 plus provision for employees' end of service benefit 207.103 plus deferred tax liability 79.090</w:t>
            </w:r>
          </w:p>
        </w:tc>
      </w:tr>
      <w:tr>
        <w:trPr>
          <w:cantSplit/>
        </w:trPr>
        <w:tc>
          <w:tcPr>
            <w:tcW w:type="dxa" w:w="1656"/>
          </w:tcPr>
          <w:p>
            <w:pPr>
              <w:spacing w:after="20"/>
            </w:pPr>
            <w:r>
              <w:rPr>
                <w:color w:val="1C3A36"/>
                <w:sz w:val="14"/>
              </w:rPr>
              <w:t>rev avi fy24</w:t>
            </w:r>
          </w:p>
        </w:tc>
        <w:tc>
          <w:tcPr>
            <w:tcW w:type="dxa" w:w="1440"/>
          </w:tcPr>
          <w:p>
            <w:pPr>
              <w:spacing w:after="20"/>
            </w:pPr>
            <w:r>
              <w:rPr>
                <w:color w:val="1C3A36"/>
                <w:sz w:val="14"/>
              </w:rPr>
              <w:t>1,570.214</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revenue note, FY2024 comparative: Commercial (B2B) aviation</w:t>
            </w:r>
          </w:p>
        </w:tc>
      </w:tr>
      <w:tr>
        <w:trPr>
          <w:cantSplit/>
        </w:trPr>
        <w:tc>
          <w:tcPr>
            <w:tcW w:type="dxa" w:w="1656"/>
          </w:tcPr>
          <w:p>
            <w:pPr>
              <w:spacing w:after="20"/>
            </w:pPr>
            <w:r>
              <w:rPr>
                <w:color w:val="1C3A36"/>
                <w:sz w:val="14"/>
              </w:rPr>
              <w:t>rev avi fy25</w:t>
            </w:r>
          </w:p>
        </w:tc>
        <w:tc>
          <w:tcPr>
            <w:tcW w:type="dxa" w:w="1440"/>
          </w:tcPr>
          <w:p>
            <w:pPr>
              <w:spacing w:after="20"/>
            </w:pPr>
            <w:r>
              <w:rPr>
                <w:color w:val="1C3A36"/>
                <w:sz w:val="14"/>
              </w:rPr>
              <w:t>1,744.201</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revenue note: Commercial (B2B) aviation</w:t>
            </w:r>
          </w:p>
        </w:tc>
      </w:tr>
      <w:tr>
        <w:trPr>
          <w:cantSplit/>
        </w:trPr>
        <w:tc>
          <w:tcPr>
            <w:tcW w:type="dxa" w:w="1656"/>
          </w:tcPr>
          <w:p>
            <w:pPr>
              <w:spacing w:after="20"/>
            </w:pPr>
            <w:r>
              <w:rPr>
                <w:color w:val="1C3A36"/>
                <w:sz w:val="14"/>
              </w:rPr>
              <w:t>rev avi h125</w:t>
            </w:r>
          </w:p>
        </w:tc>
        <w:tc>
          <w:tcPr>
            <w:tcW w:type="dxa" w:w="1440"/>
          </w:tcPr>
          <w:p>
            <w:pPr>
              <w:spacing w:after="20"/>
            </w:pPr>
            <w:r>
              <w:rPr>
                <w:color w:val="1C3A36"/>
                <w:sz w:val="14"/>
              </w:rPr>
              <w:t>815.393</w:t>
            </w:r>
          </w:p>
        </w:tc>
        <w:tc>
          <w:tcPr>
            <w:tcW w:type="dxa" w:w="936"/>
          </w:tcPr>
          <w:p>
            <w:pPr>
              <w:spacing w:after="20"/>
            </w:pPr>
            <w:r>
              <w:rPr>
                <w:color w:val="1C3A36"/>
                <w:sz w:val="14"/>
              </w:rPr>
              <w:t>30 Jun 2025</w:t>
            </w:r>
          </w:p>
        </w:tc>
        <w:tc>
          <w:tcPr>
            <w:tcW w:type="dxa" w:w="6048"/>
          </w:tcPr>
          <w:p>
            <w:pPr>
              <w:spacing w:after="20"/>
            </w:pPr>
            <w:r>
              <w:rPr>
                <w:color w:val="1C3A36"/>
                <w:sz w:val="14"/>
              </w:rPr>
              <w:t>Abu Dhabi National Oil Company for Distribution PJSC, reviewed interim condensed consolidated financial statements for the six months ended 30 June 2026, published on the company's investor-relations site, revenue note, prior-period comparative column: Commercial (B2B) aviation</w:t>
            </w:r>
          </w:p>
        </w:tc>
      </w:tr>
      <w:tr>
        <w:trPr>
          <w:cantSplit/>
        </w:trPr>
        <w:tc>
          <w:tcPr>
            <w:tcW w:type="dxa" w:w="1656"/>
          </w:tcPr>
          <w:p>
            <w:pPr>
              <w:spacing w:after="20"/>
            </w:pPr>
            <w:r>
              <w:rPr>
                <w:color w:val="1C3A36"/>
                <w:sz w:val="14"/>
              </w:rPr>
              <w:t>rev avi h126</w:t>
            </w:r>
          </w:p>
        </w:tc>
        <w:tc>
          <w:tcPr>
            <w:tcW w:type="dxa" w:w="1440"/>
          </w:tcPr>
          <w:p>
            <w:pPr>
              <w:spacing w:after="20"/>
            </w:pPr>
            <w:r>
              <w:rPr>
                <w:color w:val="1C3A36"/>
                <w:sz w:val="14"/>
              </w:rPr>
              <w:t>1,655.242</w:t>
            </w:r>
          </w:p>
        </w:tc>
        <w:tc>
          <w:tcPr>
            <w:tcW w:type="dxa" w:w="936"/>
          </w:tcPr>
          <w:p>
            <w:pPr>
              <w:spacing w:after="20"/>
            </w:pPr>
            <w:r>
              <w:rPr>
                <w:color w:val="1C3A36"/>
                <w:sz w:val="14"/>
              </w:rPr>
              <w:t>30 Jun 2026</w:t>
            </w:r>
          </w:p>
        </w:tc>
        <w:tc>
          <w:tcPr>
            <w:tcW w:type="dxa" w:w="6048"/>
          </w:tcPr>
          <w:p>
            <w:pPr>
              <w:spacing w:after="20"/>
            </w:pPr>
            <w:r>
              <w:rPr>
                <w:color w:val="1C3A36"/>
                <w:sz w:val="14"/>
              </w:rPr>
              <w:t>Abu Dhabi National Oil Company for Distribution PJSC, reviewed interim condensed consolidated financial statements for the six months ended 30 June 2026, published on the company's investor-relations site, revenue note: Commercial (B2B) aviation, six months</w:t>
            </w:r>
          </w:p>
        </w:tc>
      </w:tr>
      <w:tr>
        <w:trPr>
          <w:cantSplit/>
        </w:trPr>
        <w:tc>
          <w:tcPr>
            <w:tcW w:type="dxa" w:w="1656"/>
          </w:tcPr>
          <w:p>
            <w:pPr>
              <w:spacing w:after="20"/>
            </w:pPr>
            <w:r>
              <w:rPr>
                <w:color w:val="1C3A36"/>
                <w:sz w:val="14"/>
              </w:rPr>
              <w:t>rev corp fy24</w:t>
            </w:r>
          </w:p>
        </w:tc>
        <w:tc>
          <w:tcPr>
            <w:tcW w:type="dxa" w:w="1440"/>
          </w:tcPr>
          <w:p>
            <w:pPr>
              <w:spacing w:after="20"/>
            </w:pPr>
            <w:r>
              <w:rPr>
                <w:color w:val="1C3A36"/>
                <w:sz w:val="14"/>
              </w:rPr>
              <w:t>10,084.840</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revenue note, FY2024 comparative: Commercial (B2B) corporate</w:t>
            </w:r>
          </w:p>
        </w:tc>
      </w:tr>
      <w:tr>
        <w:trPr>
          <w:cantSplit/>
        </w:trPr>
        <w:tc>
          <w:tcPr>
            <w:tcW w:type="dxa" w:w="1656"/>
          </w:tcPr>
          <w:p>
            <w:pPr>
              <w:spacing w:after="20"/>
            </w:pPr>
            <w:r>
              <w:rPr>
                <w:color w:val="1C3A36"/>
                <w:sz w:val="14"/>
              </w:rPr>
              <w:t>rev corp fy25</w:t>
            </w:r>
          </w:p>
        </w:tc>
        <w:tc>
          <w:tcPr>
            <w:tcW w:type="dxa" w:w="1440"/>
          </w:tcPr>
          <w:p>
            <w:pPr>
              <w:spacing w:after="20"/>
            </w:pPr>
            <w:r>
              <w:rPr>
                <w:color w:val="1C3A36"/>
                <w:sz w:val="14"/>
              </w:rPr>
              <w:t>9,571.682</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revenue note: Commercial (B2B) corporate</w:t>
            </w:r>
          </w:p>
        </w:tc>
      </w:tr>
      <w:tr>
        <w:trPr>
          <w:cantSplit/>
        </w:trPr>
        <w:tc>
          <w:tcPr>
            <w:tcW w:type="dxa" w:w="1656"/>
          </w:tcPr>
          <w:p>
            <w:pPr>
              <w:spacing w:after="20"/>
            </w:pPr>
            <w:r>
              <w:rPr>
                <w:color w:val="1C3A36"/>
                <w:sz w:val="14"/>
              </w:rPr>
              <w:t>rev corp h125</w:t>
            </w:r>
          </w:p>
        </w:tc>
        <w:tc>
          <w:tcPr>
            <w:tcW w:type="dxa" w:w="1440"/>
          </w:tcPr>
          <w:p>
            <w:pPr>
              <w:spacing w:after="20"/>
            </w:pPr>
            <w:r>
              <w:rPr>
                <w:color w:val="1C3A36"/>
                <w:sz w:val="14"/>
              </w:rPr>
              <w:t>4,685.586</w:t>
            </w:r>
          </w:p>
        </w:tc>
        <w:tc>
          <w:tcPr>
            <w:tcW w:type="dxa" w:w="936"/>
          </w:tcPr>
          <w:p>
            <w:pPr>
              <w:spacing w:after="20"/>
            </w:pPr>
            <w:r>
              <w:rPr>
                <w:color w:val="1C3A36"/>
                <w:sz w:val="14"/>
              </w:rPr>
              <w:t>30 Jun 2025</w:t>
            </w:r>
          </w:p>
        </w:tc>
        <w:tc>
          <w:tcPr>
            <w:tcW w:type="dxa" w:w="6048"/>
          </w:tcPr>
          <w:p>
            <w:pPr>
              <w:spacing w:after="20"/>
            </w:pPr>
            <w:r>
              <w:rPr>
                <w:color w:val="1C3A36"/>
                <w:sz w:val="14"/>
              </w:rPr>
              <w:t>Abu Dhabi National Oil Company for Distribution PJSC, reviewed interim condensed consolidated financial statements for the six months ended 30 June 2026, published on the company's investor-relations site, revenue note, prior-period comparative column: Commercial (B2B) corporate</w:t>
            </w:r>
          </w:p>
        </w:tc>
      </w:tr>
      <w:tr>
        <w:trPr>
          <w:cantSplit/>
        </w:trPr>
        <w:tc>
          <w:tcPr>
            <w:tcW w:type="dxa" w:w="1656"/>
          </w:tcPr>
          <w:p>
            <w:pPr>
              <w:spacing w:after="20"/>
            </w:pPr>
            <w:r>
              <w:rPr>
                <w:color w:val="1C3A36"/>
                <w:sz w:val="14"/>
              </w:rPr>
              <w:t>rev corp h126</w:t>
            </w:r>
          </w:p>
        </w:tc>
        <w:tc>
          <w:tcPr>
            <w:tcW w:type="dxa" w:w="1440"/>
          </w:tcPr>
          <w:p>
            <w:pPr>
              <w:spacing w:after="20"/>
            </w:pPr>
            <w:r>
              <w:rPr>
                <w:color w:val="1C3A36"/>
                <w:sz w:val="14"/>
              </w:rPr>
              <w:t>6,282.376</w:t>
            </w:r>
          </w:p>
        </w:tc>
        <w:tc>
          <w:tcPr>
            <w:tcW w:type="dxa" w:w="936"/>
          </w:tcPr>
          <w:p>
            <w:pPr>
              <w:spacing w:after="20"/>
            </w:pPr>
            <w:r>
              <w:rPr>
                <w:color w:val="1C3A36"/>
                <w:sz w:val="14"/>
              </w:rPr>
              <w:t>30 Jun 2026</w:t>
            </w:r>
          </w:p>
        </w:tc>
        <w:tc>
          <w:tcPr>
            <w:tcW w:type="dxa" w:w="6048"/>
          </w:tcPr>
          <w:p>
            <w:pPr>
              <w:spacing w:after="20"/>
            </w:pPr>
            <w:r>
              <w:rPr>
                <w:color w:val="1C3A36"/>
                <w:sz w:val="14"/>
              </w:rPr>
              <w:t>Abu Dhabi National Oil Company for Distribution PJSC, reviewed interim condensed consolidated financial statements for the six months ended 30 June 2026, published on the company's investor-relations site, revenue note: Commercial (B2B) corporate, six months</w:t>
            </w:r>
          </w:p>
        </w:tc>
      </w:tr>
      <w:tr>
        <w:trPr>
          <w:cantSplit/>
        </w:trPr>
        <w:tc>
          <w:tcPr>
            <w:tcW w:type="dxa" w:w="1656"/>
          </w:tcPr>
          <w:p>
            <w:pPr>
              <w:spacing w:after="20"/>
            </w:pPr>
            <w:r>
              <w:rPr>
                <w:color w:val="1C3A36"/>
                <w:sz w:val="14"/>
              </w:rPr>
              <w:t>rev fy22</w:t>
            </w:r>
          </w:p>
        </w:tc>
        <w:tc>
          <w:tcPr>
            <w:tcW w:type="dxa" w:w="1440"/>
          </w:tcPr>
          <w:p>
            <w:pPr>
              <w:spacing w:after="20"/>
            </w:pPr>
            <w:r>
              <w:rPr>
                <w:color w:val="1C3A36"/>
                <w:sz w:val="14"/>
              </w:rPr>
              <w:t>32,111.061</w:t>
            </w:r>
          </w:p>
        </w:tc>
        <w:tc>
          <w:tcPr>
            <w:tcW w:type="dxa" w:w="936"/>
          </w:tcPr>
          <w:p>
            <w:pPr>
              <w:spacing w:after="20"/>
            </w:pPr>
            <w:r>
              <w:rPr>
                <w:color w:val="1C3A36"/>
                <w:sz w:val="14"/>
              </w:rPr>
              <w:t>31 Dec 2022</w:t>
            </w:r>
          </w:p>
        </w:tc>
        <w:tc>
          <w:tcPr>
            <w:tcW w:type="dxa" w:w="6048"/>
          </w:tcPr>
          <w:p>
            <w:pPr>
              <w:spacing w:after="20"/>
            </w:pPr>
            <w:r>
              <w:rPr>
                <w:color w:val="1C3A36"/>
                <w:sz w:val="14"/>
              </w:rPr>
              <w:t>Abu Dhabi National Oil Company for Distribution PJSC, audited consolidated financial statements for the year ended 31 December 2023, FY2022 comparative column</w:t>
            </w:r>
          </w:p>
        </w:tc>
      </w:tr>
      <w:tr>
        <w:trPr>
          <w:cantSplit/>
        </w:trPr>
        <w:tc>
          <w:tcPr>
            <w:tcW w:type="dxa" w:w="1656"/>
          </w:tcPr>
          <w:p>
            <w:pPr>
              <w:spacing w:after="20"/>
            </w:pPr>
            <w:r>
              <w:rPr>
                <w:color w:val="1C3A36"/>
                <w:sz w:val="14"/>
              </w:rPr>
              <w:t>rev fy23</w:t>
            </w:r>
          </w:p>
        </w:tc>
        <w:tc>
          <w:tcPr>
            <w:tcW w:type="dxa" w:w="1440"/>
          </w:tcPr>
          <w:p>
            <w:pPr>
              <w:spacing w:after="20"/>
            </w:pPr>
            <w:r>
              <w:rPr>
                <w:color w:val="1C3A36"/>
                <w:sz w:val="14"/>
              </w:rPr>
              <w:t>34,629.178</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w:t>
            </w:r>
          </w:p>
        </w:tc>
      </w:tr>
      <w:tr>
        <w:trPr>
          <w:cantSplit/>
        </w:trPr>
        <w:tc>
          <w:tcPr>
            <w:tcW w:type="dxa" w:w="1656"/>
          </w:tcPr>
          <w:p>
            <w:pPr>
              <w:spacing w:after="20"/>
            </w:pPr>
            <w:r>
              <w:rPr>
                <w:color w:val="1C3A36"/>
                <w:sz w:val="14"/>
              </w:rPr>
              <w:t>rev fy24</w:t>
            </w:r>
          </w:p>
        </w:tc>
        <w:tc>
          <w:tcPr>
            <w:tcW w:type="dxa" w:w="1440"/>
          </w:tcPr>
          <w:p>
            <w:pPr>
              <w:spacing w:after="20"/>
            </w:pPr>
            <w:r>
              <w:rPr>
                <w:color w:val="1C3A36"/>
                <w:sz w:val="14"/>
              </w:rPr>
              <w:t>35,453.716</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w:t>
            </w:r>
          </w:p>
        </w:tc>
      </w:tr>
      <w:tr>
        <w:trPr>
          <w:cantSplit/>
        </w:trPr>
        <w:tc>
          <w:tcPr>
            <w:tcW w:type="dxa" w:w="1656"/>
          </w:tcPr>
          <w:p>
            <w:pPr>
              <w:spacing w:after="20"/>
            </w:pPr>
            <w:r>
              <w:rPr>
                <w:color w:val="1C3A36"/>
                <w:sz w:val="14"/>
              </w:rPr>
              <w:t>rev fy25</w:t>
            </w:r>
          </w:p>
        </w:tc>
        <w:tc>
          <w:tcPr>
            <w:tcW w:type="dxa" w:w="1440"/>
          </w:tcPr>
          <w:p>
            <w:pPr>
              <w:spacing w:after="20"/>
            </w:pPr>
            <w:r>
              <w:rPr>
                <w:color w:val="1C3A36"/>
                <w:sz w:val="14"/>
              </w:rPr>
              <w:t>35,896.617</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w:t>
            </w:r>
          </w:p>
        </w:tc>
      </w:tr>
      <w:tr>
        <w:trPr>
          <w:cantSplit/>
        </w:trPr>
        <w:tc>
          <w:tcPr>
            <w:tcW w:type="dxa" w:w="1656"/>
          </w:tcPr>
          <w:p>
            <w:pPr>
              <w:spacing w:after="20"/>
            </w:pPr>
            <w:r>
              <w:rPr>
                <w:color w:val="1C3A36"/>
                <w:sz w:val="14"/>
              </w:rPr>
              <w:t>rev h126</w:t>
            </w:r>
          </w:p>
        </w:tc>
        <w:tc>
          <w:tcPr>
            <w:tcW w:type="dxa" w:w="1440"/>
          </w:tcPr>
          <w:p>
            <w:pPr>
              <w:spacing w:after="20"/>
            </w:pPr>
            <w:r>
              <w:rPr>
                <w:color w:val="1C3A36"/>
                <w:sz w:val="14"/>
              </w:rPr>
              <w:t>22,035.004</w:t>
            </w:r>
          </w:p>
        </w:tc>
        <w:tc>
          <w:tcPr>
            <w:tcW w:type="dxa" w:w="936"/>
          </w:tcPr>
          <w:p>
            <w:pPr>
              <w:spacing w:after="20"/>
            </w:pPr>
            <w:r>
              <w:rPr>
                <w:color w:val="1C3A36"/>
                <w:sz w:val="14"/>
              </w:rPr>
              <w:t>30 Jun 2026</w:t>
            </w:r>
          </w:p>
        </w:tc>
        <w:tc>
          <w:tcPr>
            <w:tcW w:type="dxa" w:w="6048"/>
          </w:tcPr>
          <w:p>
            <w:pPr>
              <w:spacing w:after="20"/>
            </w:pPr>
            <w:r>
              <w:rPr>
                <w:color w:val="1C3A36"/>
                <w:sz w:val="14"/>
              </w:rPr>
              <w:t>Abu Dhabi National Oil Company for Distribution PJSC, reviewed interim condensed consolidated financial statements for the six months ended 30 June 2026, published on the company's investor-relations site, revenue, six months ended 30 June 2026</w:t>
            </w:r>
          </w:p>
        </w:tc>
      </w:tr>
      <w:tr>
        <w:trPr>
          <w:cantSplit/>
        </w:trPr>
        <w:tc>
          <w:tcPr>
            <w:tcW w:type="dxa" w:w="1656"/>
          </w:tcPr>
          <w:p>
            <w:pPr>
              <w:spacing w:after="20"/>
            </w:pPr>
            <w:r>
              <w:rPr>
                <w:color w:val="1C3A36"/>
                <w:sz w:val="14"/>
              </w:rPr>
              <w:t>rev nonfuel fy24</w:t>
            </w:r>
          </w:p>
        </w:tc>
        <w:tc>
          <w:tcPr>
            <w:tcW w:type="dxa" w:w="1440"/>
          </w:tcPr>
          <w:p>
            <w:pPr>
              <w:spacing w:after="20"/>
            </w:pPr>
            <w:r>
              <w:rPr>
                <w:color w:val="1C3A36"/>
                <w:sz w:val="14"/>
              </w:rPr>
              <w:t>1,575.410</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revenue note, FY2024 comparative: Retail (B2C) non-fuel</w:t>
            </w:r>
          </w:p>
        </w:tc>
      </w:tr>
      <w:tr>
        <w:trPr>
          <w:cantSplit/>
        </w:trPr>
        <w:tc>
          <w:tcPr>
            <w:tcW w:type="dxa" w:w="1656"/>
          </w:tcPr>
          <w:p>
            <w:pPr>
              <w:spacing w:after="20"/>
            </w:pPr>
            <w:r>
              <w:rPr>
                <w:color w:val="1C3A36"/>
                <w:sz w:val="14"/>
              </w:rPr>
              <w:t>rev nonfuel fy25</w:t>
            </w:r>
          </w:p>
        </w:tc>
        <w:tc>
          <w:tcPr>
            <w:tcW w:type="dxa" w:w="1440"/>
          </w:tcPr>
          <w:p>
            <w:pPr>
              <w:spacing w:after="20"/>
            </w:pPr>
            <w:r>
              <w:rPr>
                <w:color w:val="1C3A36"/>
                <w:sz w:val="14"/>
              </w:rPr>
              <w:t>1,783.747</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revenue note: Retail (B2C) non-fuel</w:t>
            </w:r>
          </w:p>
        </w:tc>
      </w:tr>
      <w:tr>
        <w:trPr>
          <w:cantSplit/>
        </w:trPr>
        <w:tc>
          <w:tcPr>
            <w:tcW w:type="dxa" w:w="1656"/>
          </w:tcPr>
          <w:p>
            <w:pPr>
              <w:spacing w:after="20"/>
            </w:pPr>
            <w:r>
              <w:rPr>
                <w:color w:val="1C3A36"/>
                <w:sz w:val="14"/>
              </w:rPr>
              <w:t>rev nonfuel g</w:t>
            </w:r>
          </w:p>
        </w:tc>
        <w:tc>
          <w:tcPr>
            <w:tcW w:type="dxa" w:w="1440"/>
          </w:tcPr>
          <w:p>
            <w:pPr>
              <w:spacing w:after="20"/>
            </w:pPr>
            <w:r>
              <w:rPr>
                <w:color w:val="1C3A36"/>
                <w:sz w:val="14"/>
              </w:rPr>
              <w:t>10.00%, 10.00%, 9.00%, 8.00%, 8.00%</w:t>
            </w:r>
          </w:p>
        </w:tc>
        <w:tc>
          <w:tcPr>
            <w:tcW w:type="dxa" w:w="936"/>
          </w:tcPr>
          <w:p>
            <w:pPr>
              <w:spacing w:after="20"/>
            </w:pPr>
            <w:r>
              <w:rPr>
                <w:color w:val="1C3A36"/>
                <w:sz w:val="14"/>
              </w:rPr>
              <w:t>5 Aug 2026</w:t>
            </w:r>
          </w:p>
        </w:tc>
        <w:tc>
          <w:tcPr>
            <w:tcW w:type="dxa" w:w="6048"/>
          </w:tcPr>
          <w:p>
            <w:pPr>
              <w:spacing w:after="20"/>
            </w:pPr>
            <w:r>
              <w:rPr>
                <w:color w:val="1C3A36"/>
                <w:sz w:val="14"/>
              </w:rPr>
              <w:t>Non-fuel retail revenue growth, driven by transactions and store format rather than by fuel. The company's own medium-term target is to double non-fuel transactions between 2023 and 2030, which is 10.4% a year compounded; the forecast takes that rate for two years and then fades it. Supporting evidence: 16 new properties opened in the first half of 2026 against 8 a year earlier, a partnership announced with Americana Restaurants for up to 200 quick-service restaurants, and 30 large-format sites planned by 2030 of which seven are open</w:t>
            </w:r>
          </w:p>
        </w:tc>
      </w:tr>
      <w:tr>
        <w:trPr>
          <w:cantSplit/>
        </w:trPr>
        <w:tc>
          <w:tcPr>
            <w:tcW w:type="dxa" w:w="1656"/>
          </w:tcPr>
          <w:p>
            <w:pPr>
              <w:spacing w:after="20"/>
            </w:pPr>
            <w:r>
              <w:rPr>
                <w:color w:val="1C3A36"/>
                <w:sz w:val="14"/>
              </w:rPr>
              <w:t>rev nonfuel h125</w:t>
            </w:r>
          </w:p>
        </w:tc>
        <w:tc>
          <w:tcPr>
            <w:tcW w:type="dxa" w:w="1440"/>
          </w:tcPr>
          <w:p>
            <w:pPr>
              <w:spacing w:after="20"/>
            </w:pPr>
            <w:r>
              <w:rPr>
                <w:color w:val="1C3A36"/>
                <w:sz w:val="14"/>
              </w:rPr>
              <w:t>838.658</w:t>
            </w:r>
          </w:p>
        </w:tc>
        <w:tc>
          <w:tcPr>
            <w:tcW w:type="dxa" w:w="936"/>
          </w:tcPr>
          <w:p>
            <w:pPr>
              <w:spacing w:after="20"/>
            </w:pPr>
            <w:r>
              <w:rPr>
                <w:color w:val="1C3A36"/>
                <w:sz w:val="14"/>
              </w:rPr>
              <w:t>30 Jun 2025</w:t>
            </w:r>
          </w:p>
        </w:tc>
        <w:tc>
          <w:tcPr>
            <w:tcW w:type="dxa" w:w="6048"/>
          </w:tcPr>
          <w:p>
            <w:pPr>
              <w:spacing w:after="20"/>
            </w:pPr>
            <w:r>
              <w:rPr>
                <w:color w:val="1C3A36"/>
                <w:sz w:val="14"/>
              </w:rPr>
              <w:t>Abu Dhabi National Oil Company for Distribution PJSC, reviewed interim condensed consolidated financial statements for the six months ended 30 June 2026, published on the company's investor-relations site, revenue note, prior-period comparative column: Retail (B2C) non-fuel</w:t>
            </w:r>
          </w:p>
        </w:tc>
      </w:tr>
      <w:tr>
        <w:trPr>
          <w:cantSplit/>
        </w:trPr>
        <w:tc>
          <w:tcPr>
            <w:tcW w:type="dxa" w:w="1656"/>
          </w:tcPr>
          <w:p>
            <w:pPr>
              <w:spacing w:after="20"/>
            </w:pPr>
            <w:r>
              <w:rPr>
                <w:color w:val="1C3A36"/>
                <w:sz w:val="14"/>
              </w:rPr>
              <w:t>rev nonfuel h126</w:t>
            </w:r>
          </w:p>
        </w:tc>
        <w:tc>
          <w:tcPr>
            <w:tcW w:type="dxa" w:w="1440"/>
          </w:tcPr>
          <w:p>
            <w:pPr>
              <w:spacing w:after="20"/>
            </w:pPr>
            <w:r>
              <w:rPr>
                <w:color w:val="1C3A36"/>
                <w:sz w:val="14"/>
              </w:rPr>
              <w:t>927.421</w:t>
            </w:r>
          </w:p>
        </w:tc>
        <w:tc>
          <w:tcPr>
            <w:tcW w:type="dxa" w:w="936"/>
          </w:tcPr>
          <w:p>
            <w:pPr>
              <w:spacing w:after="20"/>
            </w:pPr>
            <w:r>
              <w:rPr>
                <w:color w:val="1C3A36"/>
                <w:sz w:val="14"/>
              </w:rPr>
              <w:t>30 Jun 2026</w:t>
            </w:r>
          </w:p>
        </w:tc>
        <w:tc>
          <w:tcPr>
            <w:tcW w:type="dxa" w:w="6048"/>
          </w:tcPr>
          <w:p>
            <w:pPr>
              <w:spacing w:after="20"/>
            </w:pPr>
            <w:r>
              <w:rPr>
                <w:color w:val="1C3A36"/>
                <w:sz w:val="14"/>
              </w:rPr>
              <w:t>Abu Dhabi National Oil Company for Distribution PJSC, reviewed interim condensed consolidated financial statements for the six months ended 30 June 2026, published on the company's investor-relations site, revenue note: Retail (B2C) non-fuel, six months</w:t>
            </w:r>
          </w:p>
        </w:tc>
      </w:tr>
      <w:tr>
        <w:trPr>
          <w:cantSplit/>
        </w:trPr>
        <w:tc>
          <w:tcPr>
            <w:tcW w:type="dxa" w:w="1656"/>
          </w:tcPr>
          <w:p>
            <w:pPr>
              <w:spacing w:after="20"/>
            </w:pPr>
            <w:r>
              <w:rPr>
                <w:color w:val="1C3A36"/>
                <w:sz w:val="14"/>
              </w:rPr>
              <w:t>rev q126</w:t>
            </w:r>
          </w:p>
        </w:tc>
        <w:tc>
          <w:tcPr>
            <w:tcW w:type="dxa" w:w="1440"/>
          </w:tcPr>
          <w:p>
            <w:pPr>
              <w:spacing w:after="20"/>
            </w:pPr>
            <w:r>
              <w:rPr>
                <w:color w:val="1C3A36"/>
                <w:sz w:val="14"/>
              </w:rPr>
              <w:t>8,833.596</w:t>
            </w:r>
          </w:p>
        </w:tc>
        <w:tc>
          <w:tcPr>
            <w:tcW w:type="dxa" w:w="936"/>
          </w:tcPr>
          <w:p>
            <w:pPr>
              <w:spacing w:after="20"/>
            </w:pPr>
            <w:r>
              <w:rPr>
                <w:color w:val="1C3A36"/>
                <w:sz w:val="14"/>
              </w:rPr>
              <w:t>31 Mar 2026</w:t>
            </w:r>
          </w:p>
        </w:tc>
        <w:tc>
          <w:tcPr>
            <w:tcW w:type="dxa" w:w="6048"/>
          </w:tcPr>
          <w:p>
            <w:pPr>
              <w:spacing w:after="20"/>
            </w:pPr>
            <w:r>
              <w:rPr>
                <w:color w:val="1C3A36"/>
                <w:sz w:val="14"/>
              </w:rPr>
              <w:t>Abu Dhabi National Oil Company for Distribution PJSC, reviewed interim condensed consolidated financial statements for the six months ended 30 June 2026, published on the company's investor-relations site, revenue for the six months 22,035.004 less the three months ended 30 June 13,201.408</w:t>
            </w:r>
          </w:p>
        </w:tc>
      </w:tr>
      <w:tr>
        <w:trPr>
          <w:cantSplit/>
        </w:trPr>
        <w:tc>
          <w:tcPr>
            <w:tcW w:type="dxa" w:w="1656"/>
          </w:tcPr>
          <w:p>
            <w:pPr>
              <w:spacing w:after="20"/>
            </w:pPr>
            <w:r>
              <w:rPr>
                <w:color w:val="1C3A36"/>
                <w:sz w:val="14"/>
              </w:rPr>
              <w:t>rev retfuel fy24</w:t>
            </w:r>
          </w:p>
        </w:tc>
        <w:tc>
          <w:tcPr>
            <w:tcW w:type="dxa" w:w="1440"/>
          </w:tcPr>
          <w:p>
            <w:pPr>
              <w:spacing w:after="20"/>
            </w:pPr>
            <w:r>
              <w:rPr>
                <w:color w:val="1C3A36"/>
                <w:sz w:val="14"/>
              </w:rPr>
              <w:t>22,223.252</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revenue note, FY2024 comparative: Retail (B2C) fuel</w:t>
            </w:r>
          </w:p>
        </w:tc>
      </w:tr>
      <w:tr>
        <w:trPr>
          <w:cantSplit/>
        </w:trPr>
        <w:tc>
          <w:tcPr>
            <w:tcW w:type="dxa" w:w="1656"/>
          </w:tcPr>
          <w:p>
            <w:pPr>
              <w:spacing w:after="20"/>
            </w:pPr>
            <w:r>
              <w:rPr>
                <w:color w:val="1C3A36"/>
                <w:sz w:val="14"/>
              </w:rPr>
              <w:t>rev retfuel fy25</w:t>
            </w:r>
          </w:p>
        </w:tc>
        <w:tc>
          <w:tcPr>
            <w:tcW w:type="dxa" w:w="1440"/>
          </w:tcPr>
          <w:p>
            <w:pPr>
              <w:spacing w:after="20"/>
            </w:pPr>
            <w:r>
              <w:rPr>
                <w:color w:val="1C3A36"/>
                <w:sz w:val="14"/>
              </w:rPr>
              <w:t>22,796.987</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revenue note: Retail (B2C) fuel</w:t>
            </w:r>
          </w:p>
        </w:tc>
      </w:tr>
      <w:tr>
        <w:trPr>
          <w:cantSplit/>
        </w:trPr>
        <w:tc>
          <w:tcPr>
            <w:tcW w:type="dxa" w:w="1656"/>
          </w:tcPr>
          <w:p>
            <w:pPr>
              <w:spacing w:after="20"/>
            </w:pPr>
            <w:r>
              <w:rPr>
                <w:color w:val="1C3A36"/>
                <w:sz w:val="14"/>
              </w:rPr>
              <w:t>rev retfuel h125</w:t>
            </w:r>
          </w:p>
        </w:tc>
        <w:tc>
          <w:tcPr>
            <w:tcW w:type="dxa" w:w="1440"/>
          </w:tcPr>
          <w:p>
            <w:pPr>
              <w:spacing w:after="20"/>
            </w:pPr>
            <w:r>
              <w:rPr>
                <w:color w:val="1C3A36"/>
                <w:sz w:val="14"/>
              </w:rPr>
              <w:t>10,771.947</w:t>
            </w:r>
          </w:p>
        </w:tc>
        <w:tc>
          <w:tcPr>
            <w:tcW w:type="dxa" w:w="936"/>
          </w:tcPr>
          <w:p>
            <w:pPr>
              <w:spacing w:after="20"/>
            </w:pPr>
            <w:r>
              <w:rPr>
                <w:color w:val="1C3A36"/>
                <w:sz w:val="14"/>
              </w:rPr>
              <w:t>30 Jun 2025</w:t>
            </w:r>
          </w:p>
        </w:tc>
        <w:tc>
          <w:tcPr>
            <w:tcW w:type="dxa" w:w="6048"/>
          </w:tcPr>
          <w:p>
            <w:pPr>
              <w:spacing w:after="20"/>
            </w:pPr>
            <w:r>
              <w:rPr>
                <w:color w:val="1C3A36"/>
                <w:sz w:val="14"/>
              </w:rPr>
              <w:t>Abu Dhabi National Oil Company for Distribution PJSC, reviewed interim condensed consolidated financial statements for the six months ended 30 June 2026, published on the company's investor-relations site, revenue note, prior-period comparative column: Retail (B2C) fuel</w:t>
            </w:r>
          </w:p>
        </w:tc>
      </w:tr>
      <w:tr>
        <w:trPr>
          <w:cantSplit/>
        </w:trPr>
        <w:tc>
          <w:tcPr>
            <w:tcW w:type="dxa" w:w="1656"/>
          </w:tcPr>
          <w:p>
            <w:pPr>
              <w:spacing w:after="20"/>
            </w:pPr>
            <w:r>
              <w:rPr>
                <w:color w:val="1C3A36"/>
                <w:sz w:val="14"/>
              </w:rPr>
              <w:t>rev retfuel h126</w:t>
            </w:r>
          </w:p>
        </w:tc>
        <w:tc>
          <w:tcPr>
            <w:tcW w:type="dxa" w:w="1440"/>
          </w:tcPr>
          <w:p>
            <w:pPr>
              <w:spacing w:after="20"/>
            </w:pPr>
            <w:r>
              <w:rPr>
                <w:color w:val="1C3A36"/>
                <w:sz w:val="14"/>
              </w:rPr>
              <w:t>13,169.965</w:t>
            </w:r>
          </w:p>
        </w:tc>
        <w:tc>
          <w:tcPr>
            <w:tcW w:type="dxa" w:w="936"/>
          </w:tcPr>
          <w:p>
            <w:pPr>
              <w:spacing w:after="20"/>
            </w:pPr>
            <w:r>
              <w:rPr>
                <w:color w:val="1C3A36"/>
                <w:sz w:val="14"/>
              </w:rPr>
              <w:t>30 Jun 2026</w:t>
            </w:r>
          </w:p>
        </w:tc>
        <w:tc>
          <w:tcPr>
            <w:tcW w:type="dxa" w:w="6048"/>
          </w:tcPr>
          <w:p>
            <w:pPr>
              <w:spacing w:after="20"/>
            </w:pPr>
            <w:r>
              <w:rPr>
                <w:color w:val="1C3A36"/>
                <w:sz w:val="14"/>
              </w:rPr>
              <w:t>Abu Dhabi National Oil Company for Distribution PJSC, reviewed interim condensed consolidated financial statements for the six months ended 30 June 2026, published on the company's investor-relations site, revenue note: Retail (B2C) fuel, six months</w:t>
            </w:r>
          </w:p>
        </w:tc>
      </w:tr>
      <w:tr>
        <w:trPr>
          <w:cantSplit/>
        </w:trPr>
        <w:tc>
          <w:tcPr>
            <w:tcW w:type="dxa" w:w="1656"/>
          </w:tcPr>
          <w:p>
            <w:pPr>
              <w:spacing w:after="20"/>
            </w:pPr>
            <w:r>
              <w:rPr>
                <w:color w:val="1C3A36"/>
                <w:sz w:val="14"/>
              </w:rPr>
              <w:t>roic terminal</w:t>
            </w:r>
          </w:p>
        </w:tc>
        <w:tc>
          <w:tcPr>
            <w:tcW w:type="dxa" w:w="1440"/>
          </w:tcPr>
          <w:p>
            <w:pPr>
              <w:spacing w:after="20"/>
            </w:pPr>
            <w:r>
              <w:rPr>
                <w:color w:val="1C3A36"/>
                <w:sz w:val="14"/>
              </w:rPr>
              <w:t>25.00%</w:t>
            </w:r>
          </w:p>
        </w:tc>
        <w:tc>
          <w:tcPr>
            <w:tcW w:type="dxa" w:w="936"/>
          </w:tcPr>
          <w:p>
            <w:pPr>
              <w:spacing w:after="20"/>
            </w:pPr>
            <w:r>
              <w:rPr>
                <w:color w:val="1C3A36"/>
                <w:sz w:val="14"/>
              </w:rPr>
              <w:t>5 Aug 2026</w:t>
            </w:r>
          </w:p>
        </w:tc>
        <w:tc>
          <w:tcPr>
            <w:tcW w:type="dxa" w:w="6048"/>
          </w:tcPr>
          <w:p>
            <w:pPr>
              <w:spacing w:after="20"/>
            </w:pPr>
            <w:r>
              <w:rPr>
                <w:color w:val="1C3A36"/>
                <w:sz w:val="14"/>
              </w:rPr>
              <w:t>Terminal return on invested capital. The company earned a 32.7% return on capital employed in FY2025 and 40.1% in the first half of 2026 on its own measure; the terminal figure fades that toward a level a mature, more capital-intensive network would sustain</w:t>
            </w:r>
          </w:p>
        </w:tc>
      </w:tr>
      <w:tr>
        <w:trPr>
          <w:cantSplit/>
        </w:trPr>
        <w:tc>
          <w:tcPr>
            <w:tcW w:type="dxa" w:w="1656"/>
          </w:tcPr>
          <w:p>
            <w:pPr>
              <w:spacing w:after="20"/>
            </w:pPr>
            <w:r>
              <w:rPr>
                <w:color w:val="1C3A36"/>
                <w:sz w:val="14"/>
              </w:rPr>
              <w:t>rou fy23</w:t>
            </w:r>
          </w:p>
        </w:tc>
        <w:tc>
          <w:tcPr>
            <w:tcW w:type="dxa" w:w="1440"/>
          </w:tcPr>
          <w:p>
            <w:pPr>
              <w:spacing w:after="20"/>
            </w:pPr>
            <w:r>
              <w:rPr>
                <w:color w:val="1C3A36"/>
                <w:sz w:val="14"/>
              </w:rPr>
              <w:t>1,778.418</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right-of-use assets</w:t>
            </w:r>
          </w:p>
        </w:tc>
      </w:tr>
      <w:tr>
        <w:trPr>
          <w:cantSplit/>
        </w:trPr>
        <w:tc>
          <w:tcPr>
            <w:tcW w:type="dxa" w:w="1656"/>
          </w:tcPr>
          <w:p>
            <w:pPr>
              <w:spacing w:after="20"/>
            </w:pPr>
            <w:r>
              <w:rPr>
                <w:color w:val="1C3A36"/>
                <w:sz w:val="14"/>
              </w:rPr>
              <w:t>rou fy24</w:t>
            </w:r>
          </w:p>
        </w:tc>
        <w:tc>
          <w:tcPr>
            <w:tcW w:type="dxa" w:w="1440"/>
          </w:tcPr>
          <w:p>
            <w:pPr>
              <w:spacing w:after="20"/>
            </w:pPr>
            <w:r>
              <w:rPr>
                <w:color w:val="1C3A36"/>
                <w:sz w:val="14"/>
              </w:rPr>
              <w:t>1,726.351</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right-of-use assets</w:t>
            </w:r>
          </w:p>
        </w:tc>
      </w:tr>
      <w:tr>
        <w:trPr>
          <w:cantSplit/>
        </w:trPr>
        <w:tc>
          <w:tcPr>
            <w:tcW w:type="dxa" w:w="1656"/>
          </w:tcPr>
          <w:p>
            <w:pPr>
              <w:spacing w:after="20"/>
            </w:pPr>
            <w:r>
              <w:rPr>
                <w:color w:val="1C3A36"/>
                <w:sz w:val="14"/>
              </w:rPr>
              <w:t>rou fy25</w:t>
            </w:r>
          </w:p>
        </w:tc>
        <w:tc>
          <w:tcPr>
            <w:tcW w:type="dxa" w:w="1440"/>
          </w:tcPr>
          <w:p>
            <w:pPr>
              <w:spacing w:after="20"/>
            </w:pPr>
            <w:r>
              <w:rPr>
                <w:color w:val="1C3A36"/>
                <w:sz w:val="14"/>
              </w:rPr>
              <w:t>1,445.804</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right-of-use assets</w:t>
            </w:r>
          </w:p>
        </w:tc>
      </w:tr>
      <w:tr>
        <w:trPr>
          <w:cantSplit/>
        </w:trPr>
        <w:tc>
          <w:tcPr>
            <w:tcW w:type="dxa" w:w="1656"/>
          </w:tcPr>
          <w:p>
            <w:pPr>
              <w:spacing w:after="20"/>
            </w:pPr>
            <w:r>
              <w:rPr>
                <w:color w:val="1C3A36"/>
                <w:sz w:val="14"/>
              </w:rPr>
              <w:t>shares mn</w:t>
            </w:r>
          </w:p>
        </w:tc>
        <w:tc>
          <w:tcPr>
            <w:tcW w:type="dxa" w:w="1440"/>
          </w:tcPr>
          <w:p>
            <w:pPr>
              <w:spacing w:after="20"/>
            </w:pPr>
            <w:r>
              <w:rPr>
                <w:color w:val="1C3A36"/>
                <w:sz w:val="14"/>
              </w:rPr>
              <w:t>12,500</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share capital note: AED 1,000,000 thousand of issued capital in shares of AED 0.08 each</w:t>
            </w:r>
          </w:p>
        </w:tc>
      </w:tr>
      <w:tr>
        <w:trPr>
          <w:cantSplit/>
        </w:trPr>
        <w:tc>
          <w:tcPr>
            <w:tcW w:type="dxa" w:w="1656"/>
          </w:tcPr>
          <w:p>
            <w:pPr>
              <w:spacing w:after="20"/>
            </w:pPr>
            <w:r>
              <w:rPr>
                <w:color w:val="1C3A36"/>
                <w:sz w:val="14"/>
              </w:rPr>
              <w:t>stations egy h126</w:t>
            </w:r>
          </w:p>
        </w:tc>
        <w:tc>
          <w:tcPr>
            <w:tcW w:type="dxa" w:w="1440"/>
          </w:tcPr>
          <w:p>
            <w:pPr>
              <w:spacing w:after="20"/>
            </w:pPr>
            <w:r>
              <w:rPr>
                <w:color w:val="1C3A36"/>
                <w:sz w:val="14"/>
              </w:rPr>
              <w:t>245</w:t>
            </w:r>
          </w:p>
        </w:tc>
        <w:tc>
          <w:tcPr>
            <w:tcW w:type="dxa" w:w="936"/>
          </w:tcPr>
          <w:p>
            <w:pPr>
              <w:spacing w:after="20"/>
            </w:pPr>
            <w:r>
              <w:rPr>
                <w:color w:val="1C3A36"/>
                <w:sz w:val="14"/>
              </w:rPr>
              <w:t>30 Jun 2026</w:t>
            </w:r>
          </w:p>
        </w:tc>
        <w:tc>
          <w:tcPr>
            <w:tcW w:type="dxa" w:w="6048"/>
          </w:tcPr>
          <w:p>
            <w:pPr>
              <w:spacing w:after="20"/>
            </w:pPr>
            <w:r>
              <w:rPr>
                <w:color w:val="1C3A36"/>
                <w:sz w:val="14"/>
              </w:rPr>
              <w:t>ADNOC Distribution, results presentation, second quarter and first half 2026, 5 August 2026, operating-performance appendix, service stations, Egypt</w:t>
            </w:r>
          </w:p>
        </w:tc>
      </w:tr>
      <w:tr>
        <w:trPr>
          <w:cantSplit/>
        </w:trPr>
        <w:tc>
          <w:tcPr>
            <w:tcW w:type="dxa" w:w="1656"/>
          </w:tcPr>
          <w:p>
            <w:pPr>
              <w:spacing w:after="20"/>
            </w:pPr>
            <w:r>
              <w:rPr>
                <w:color w:val="1C3A36"/>
                <w:sz w:val="14"/>
              </w:rPr>
              <w:t>stations fy25</w:t>
            </w:r>
          </w:p>
        </w:tc>
        <w:tc>
          <w:tcPr>
            <w:tcW w:type="dxa" w:w="1440"/>
          </w:tcPr>
          <w:p>
            <w:pPr>
              <w:spacing w:after="20"/>
            </w:pPr>
            <w:r>
              <w:rPr>
                <w:color w:val="1C3A36"/>
                <w:sz w:val="14"/>
              </w:rPr>
              <w:t>1,010</w:t>
            </w:r>
          </w:p>
        </w:tc>
        <w:tc>
          <w:tcPr>
            <w:tcW w:type="dxa" w:w="936"/>
          </w:tcPr>
          <w:p>
            <w:pPr>
              <w:spacing w:after="20"/>
            </w:pPr>
            <w:r>
              <w:rPr>
                <w:color w:val="1C3A36"/>
                <w:sz w:val="14"/>
              </w:rPr>
              <w:t>31 Dec 2025</w:t>
            </w:r>
          </w:p>
        </w:tc>
        <w:tc>
          <w:tcPr>
            <w:tcW w:type="dxa" w:w="6048"/>
          </w:tcPr>
          <w:p>
            <w:pPr>
              <w:spacing w:after="20"/>
            </w:pPr>
            <w:r>
              <w:rPr>
                <w:color w:val="1C3A36"/>
                <w:sz w:val="14"/>
              </w:rPr>
              <w:t>ADNOC Distribution, Management Discussion &amp; Analysis Report, full year 2025, 3 February 2026, total stations network: 567 UAE, 199 Saudi Arabia, 244 Egypt</w:t>
            </w:r>
          </w:p>
        </w:tc>
      </w:tr>
      <w:tr>
        <w:trPr>
          <w:cantSplit/>
        </w:trPr>
        <w:tc>
          <w:tcPr>
            <w:tcW w:type="dxa" w:w="1656"/>
          </w:tcPr>
          <w:p>
            <w:pPr>
              <w:spacing w:after="20"/>
            </w:pPr>
            <w:r>
              <w:rPr>
                <w:color w:val="1C3A36"/>
                <w:sz w:val="14"/>
              </w:rPr>
              <w:t>stations g</w:t>
            </w:r>
          </w:p>
        </w:tc>
        <w:tc>
          <w:tcPr>
            <w:tcW w:type="dxa" w:w="1440"/>
          </w:tcPr>
          <w:p>
            <w:pPr>
              <w:spacing w:after="20"/>
            </w:pPr>
            <w:r>
              <w:rPr>
                <w:color w:val="1C3A36"/>
                <w:sz w:val="14"/>
              </w:rPr>
              <w:t>0.025, 0.045, 0.040, 0.035, 0.030</w:t>
            </w:r>
          </w:p>
        </w:tc>
        <w:tc>
          <w:tcPr>
            <w:tcW w:type="dxa" w:w="936"/>
          </w:tcPr>
          <w:p>
            <w:pPr>
              <w:spacing w:after="20"/>
            </w:pPr>
            <w:r>
              <w:rPr>
                <w:color w:val="1C3A36"/>
                <w:sz w:val="14"/>
              </w:rPr>
              <w:t>30 Jun 2026</w:t>
            </w:r>
          </w:p>
        </w:tc>
        <w:tc>
          <w:tcPr>
            <w:tcW w:type="dxa" w:w="6048"/>
          </w:tcPr>
          <w:p>
            <w:pPr>
              <w:spacing w:after="20"/>
            </w:pPr>
            <w:r>
              <w:rPr>
                <w:color w:val="1C3A36"/>
                <w:sz w:val="14"/>
              </w:rPr>
              <w:t>Service-station network growth. The network grew 11.3% in the year to June 2026 (939 to 1,045 stations) on the company's stated expansion programme across the United Arab Emirates, Saudi Arabia and Egypt. The path decelerates from that realised rate as the domestic network saturates and the incremental site becomes marginal. This is a CAPITAL decision and is modelled separately from throughput because the two have different futures</w:t>
            </w:r>
          </w:p>
        </w:tc>
      </w:tr>
      <w:tr>
        <w:trPr>
          <w:cantSplit/>
        </w:trPr>
        <w:tc>
          <w:tcPr>
            <w:tcW w:type="dxa" w:w="1656"/>
          </w:tcPr>
          <w:p>
            <w:pPr>
              <w:spacing w:after="20"/>
            </w:pPr>
            <w:r>
              <w:rPr>
                <w:color w:val="1C3A36"/>
                <w:sz w:val="14"/>
              </w:rPr>
              <w:t>stations h125</w:t>
            </w:r>
          </w:p>
        </w:tc>
        <w:tc>
          <w:tcPr>
            <w:tcW w:type="dxa" w:w="1440"/>
          </w:tcPr>
          <w:p>
            <w:pPr>
              <w:spacing w:after="20"/>
            </w:pPr>
            <w:r>
              <w:rPr>
                <w:color w:val="1C3A36"/>
                <w:sz w:val="14"/>
              </w:rPr>
              <w:t>939</w:t>
            </w:r>
          </w:p>
        </w:tc>
        <w:tc>
          <w:tcPr>
            <w:tcW w:type="dxa" w:w="936"/>
          </w:tcPr>
          <w:p>
            <w:pPr>
              <w:spacing w:after="20"/>
            </w:pPr>
            <w:r>
              <w:rPr>
                <w:color w:val="1C3A36"/>
                <w:sz w:val="14"/>
              </w:rPr>
              <w:t>30 Jun 2025</w:t>
            </w:r>
          </w:p>
        </w:tc>
        <w:tc>
          <w:tcPr>
            <w:tcW w:type="dxa" w:w="6048"/>
          </w:tcPr>
          <w:p>
            <w:pPr>
              <w:spacing w:after="20"/>
            </w:pPr>
            <w:r>
              <w:rPr>
                <w:color w:val="1C3A36"/>
                <w:sz w:val="14"/>
              </w:rPr>
              <w:t>ADNOC Distribution, results presentation, second quarter and first half 2026, 5 August 2026, operating-performance appendix, total service stations, prior-period comparative</w:t>
            </w:r>
          </w:p>
        </w:tc>
      </w:tr>
      <w:tr>
        <w:trPr>
          <w:cantSplit/>
        </w:trPr>
        <w:tc>
          <w:tcPr>
            <w:tcW w:type="dxa" w:w="1656"/>
          </w:tcPr>
          <w:p>
            <w:pPr>
              <w:spacing w:after="20"/>
            </w:pPr>
            <w:r>
              <w:rPr>
                <w:color w:val="1C3A36"/>
                <w:sz w:val="14"/>
              </w:rPr>
              <w:t>stations h126</w:t>
            </w:r>
          </w:p>
        </w:tc>
        <w:tc>
          <w:tcPr>
            <w:tcW w:type="dxa" w:w="1440"/>
          </w:tcPr>
          <w:p>
            <w:pPr>
              <w:spacing w:after="20"/>
            </w:pPr>
            <w:r>
              <w:rPr>
                <w:color w:val="1C3A36"/>
                <w:sz w:val="14"/>
              </w:rPr>
              <w:t>1,045</w:t>
            </w:r>
          </w:p>
        </w:tc>
        <w:tc>
          <w:tcPr>
            <w:tcW w:type="dxa" w:w="936"/>
          </w:tcPr>
          <w:p>
            <w:pPr>
              <w:spacing w:after="20"/>
            </w:pPr>
            <w:r>
              <w:rPr>
                <w:color w:val="1C3A36"/>
                <w:sz w:val="14"/>
              </w:rPr>
              <w:t>30 Jun 2026</w:t>
            </w:r>
          </w:p>
        </w:tc>
        <w:tc>
          <w:tcPr>
            <w:tcW w:type="dxa" w:w="6048"/>
          </w:tcPr>
          <w:p>
            <w:pPr>
              <w:spacing w:after="20"/>
            </w:pPr>
            <w:r>
              <w:rPr>
                <w:color w:val="1C3A36"/>
                <w:sz w:val="14"/>
              </w:rPr>
              <w:t>ADNOC Distribution, Management Discussion &amp; Analysis Report, second quarter and first half 2026, 5 August 2026, total stations network: 569 UAE, 231 Saudi Arabia, 245 Egypt</w:t>
            </w:r>
          </w:p>
        </w:tc>
      </w:tr>
      <w:tr>
        <w:trPr>
          <w:cantSplit/>
        </w:trPr>
        <w:tc>
          <w:tcPr>
            <w:tcW w:type="dxa" w:w="1656"/>
          </w:tcPr>
          <w:p>
            <w:pPr>
              <w:spacing w:after="20"/>
            </w:pPr>
            <w:r>
              <w:rPr>
                <w:color w:val="1C3A36"/>
                <w:sz w:val="14"/>
              </w:rPr>
              <w:t>stations ksa h126</w:t>
            </w:r>
          </w:p>
        </w:tc>
        <w:tc>
          <w:tcPr>
            <w:tcW w:type="dxa" w:w="1440"/>
          </w:tcPr>
          <w:p>
            <w:pPr>
              <w:spacing w:after="20"/>
            </w:pPr>
            <w:r>
              <w:rPr>
                <w:color w:val="1C3A36"/>
                <w:sz w:val="14"/>
              </w:rPr>
              <w:t>231</w:t>
            </w:r>
          </w:p>
        </w:tc>
        <w:tc>
          <w:tcPr>
            <w:tcW w:type="dxa" w:w="936"/>
          </w:tcPr>
          <w:p>
            <w:pPr>
              <w:spacing w:after="20"/>
            </w:pPr>
            <w:r>
              <w:rPr>
                <w:color w:val="1C3A36"/>
                <w:sz w:val="14"/>
              </w:rPr>
              <w:t>30 Jun 2026</w:t>
            </w:r>
          </w:p>
        </w:tc>
        <w:tc>
          <w:tcPr>
            <w:tcW w:type="dxa" w:w="6048"/>
          </w:tcPr>
          <w:p>
            <w:pPr>
              <w:spacing w:after="20"/>
            </w:pPr>
            <w:r>
              <w:rPr>
                <w:color w:val="1C3A36"/>
                <w:sz w:val="14"/>
              </w:rPr>
              <w:t>ADNOC Distribution, results presentation, second quarter and first half 2026, 5 August 2026, operating-performance appendix, service stations, Saudi Arabia</w:t>
            </w:r>
          </w:p>
        </w:tc>
      </w:tr>
      <w:tr>
        <w:trPr>
          <w:cantSplit/>
        </w:trPr>
        <w:tc>
          <w:tcPr>
            <w:tcW w:type="dxa" w:w="1656"/>
          </w:tcPr>
          <w:p>
            <w:pPr>
              <w:spacing w:after="20"/>
            </w:pPr>
            <w:r>
              <w:rPr>
                <w:color w:val="1C3A36"/>
                <w:sz w:val="14"/>
              </w:rPr>
              <w:t>stations uae h126</w:t>
            </w:r>
          </w:p>
        </w:tc>
        <w:tc>
          <w:tcPr>
            <w:tcW w:type="dxa" w:w="1440"/>
          </w:tcPr>
          <w:p>
            <w:pPr>
              <w:spacing w:after="20"/>
            </w:pPr>
            <w:r>
              <w:rPr>
                <w:color w:val="1C3A36"/>
                <w:sz w:val="14"/>
              </w:rPr>
              <w:t>569</w:t>
            </w:r>
          </w:p>
        </w:tc>
        <w:tc>
          <w:tcPr>
            <w:tcW w:type="dxa" w:w="936"/>
          </w:tcPr>
          <w:p>
            <w:pPr>
              <w:spacing w:after="20"/>
            </w:pPr>
            <w:r>
              <w:rPr>
                <w:color w:val="1C3A36"/>
                <w:sz w:val="14"/>
              </w:rPr>
              <w:t>30 Jun 2026</w:t>
            </w:r>
          </w:p>
        </w:tc>
        <w:tc>
          <w:tcPr>
            <w:tcW w:type="dxa" w:w="6048"/>
          </w:tcPr>
          <w:p>
            <w:pPr>
              <w:spacing w:after="20"/>
            </w:pPr>
            <w:r>
              <w:rPr>
                <w:color w:val="1C3A36"/>
                <w:sz w:val="14"/>
              </w:rPr>
              <w:t>ADNOC Distribution, results presentation, second quarter and first half 2026, 5 August 2026, operating-performance appendix, service stations, UAE</w:t>
            </w:r>
          </w:p>
        </w:tc>
      </w:tr>
      <w:tr>
        <w:trPr>
          <w:cantSplit/>
        </w:trPr>
        <w:tc>
          <w:tcPr>
            <w:tcW w:type="dxa" w:w="1656"/>
          </w:tcPr>
          <w:p>
            <w:pPr>
              <w:spacing w:after="20"/>
            </w:pPr>
            <w:r>
              <w:rPr>
                <w:color w:val="1C3A36"/>
                <w:sz w:val="14"/>
              </w:rPr>
              <w:t>ta fy23</w:t>
            </w:r>
          </w:p>
        </w:tc>
        <w:tc>
          <w:tcPr>
            <w:tcW w:type="dxa" w:w="1440"/>
          </w:tcPr>
          <w:p>
            <w:pPr>
              <w:spacing w:after="20"/>
            </w:pPr>
            <w:r>
              <w:rPr>
                <w:color w:val="1C3A36"/>
                <w:sz w:val="14"/>
              </w:rPr>
              <w:t>18,891.629</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total assets</w:t>
            </w:r>
          </w:p>
        </w:tc>
      </w:tr>
      <w:tr>
        <w:trPr>
          <w:cantSplit/>
        </w:trPr>
        <w:tc>
          <w:tcPr>
            <w:tcW w:type="dxa" w:w="1656"/>
          </w:tcPr>
          <w:p>
            <w:pPr>
              <w:spacing w:after="20"/>
            </w:pPr>
            <w:r>
              <w:rPr>
                <w:color w:val="1C3A36"/>
                <w:sz w:val="14"/>
              </w:rPr>
              <w:t>ta fy24</w:t>
            </w:r>
          </w:p>
        </w:tc>
        <w:tc>
          <w:tcPr>
            <w:tcW w:type="dxa" w:w="1440"/>
          </w:tcPr>
          <w:p>
            <w:pPr>
              <w:spacing w:after="20"/>
            </w:pPr>
            <w:r>
              <w:rPr>
                <w:color w:val="1C3A36"/>
                <w:sz w:val="14"/>
              </w:rPr>
              <w:t>18,180.794</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total assets</w:t>
            </w:r>
          </w:p>
        </w:tc>
      </w:tr>
      <w:tr>
        <w:trPr>
          <w:cantSplit/>
        </w:trPr>
        <w:tc>
          <w:tcPr>
            <w:tcW w:type="dxa" w:w="1656"/>
          </w:tcPr>
          <w:p>
            <w:pPr>
              <w:spacing w:after="20"/>
            </w:pPr>
            <w:r>
              <w:rPr>
                <w:color w:val="1C3A36"/>
                <w:sz w:val="14"/>
              </w:rPr>
              <w:t>ta fy25</w:t>
            </w:r>
          </w:p>
        </w:tc>
        <w:tc>
          <w:tcPr>
            <w:tcW w:type="dxa" w:w="1440"/>
          </w:tcPr>
          <w:p>
            <w:pPr>
              <w:spacing w:after="20"/>
            </w:pPr>
            <w:r>
              <w:rPr>
                <w:color w:val="1C3A36"/>
                <w:sz w:val="14"/>
              </w:rPr>
              <w:t>17,675.365</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total assets</w:t>
            </w:r>
          </w:p>
        </w:tc>
      </w:tr>
      <w:tr>
        <w:trPr>
          <w:cantSplit/>
        </w:trPr>
        <w:tc>
          <w:tcPr>
            <w:tcW w:type="dxa" w:w="1656"/>
          </w:tcPr>
          <w:p>
            <w:pPr>
              <w:spacing w:after="20"/>
            </w:pPr>
            <w:r>
              <w:rPr>
                <w:color w:val="1C3A36"/>
                <w:sz w:val="14"/>
              </w:rPr>
              <w:t>tax effective</w:t>
            </w:r>
          </w:p>
        </w:tc>
        <w:tc>
          <w:tcPr>
            <w:tcW w:type="dxa" w:w="1440"/>
          </w:tcPr>
          <w:p>
            <w:pPr>
              <w:spacing w:after="20"/>
            </w:pPr>
            <w:r>
              <w:rPr>
                <w:color w:val="1C3A36"/>
                <w:sz w:val="14"/>
              </w:rPr>
              <w:t>10.17%</w:t>
            </w:r>
          </w:p>
        </w:tc>
        <w:tc>
          <w:tcPr>
            <w:tcW w:type="dxa" w:w="936"/>
          </w:tcPr>
          <w:p>
            <w:pPr>
              <w:spacing w:after="20"/>
            </w:pPr>
            <w:r>
              <w:rPr>
                <w:color w:val="1C3A36"/>
                <w:sz w:val="14"/>
              </w:rPr>
              <w:t>31 Dec 2025</w:t>
            </w:r>
          </w:p>
        </w:tc>
        <w:tc>
          <w:tcPr>
            <w:tcW w:type="dxa" w:w="6048"/>
          </w:tcPr>
          <w:p>
            <w:pPr>
              <w:spacing w:after="20"/>
            </w:pPr>
            <w:r>
              <w:rPr>
                <w:color w:val="1C3A36"/>
                <w:sz w:val="14"/>
              </w:rPr>
              <w:t>Computed from the audited filings: income tax expense of AED 322.891 million over profit before tax of AED 3,173.933 million in FY2025, above the 9% federal rate because the Egyptian subsidiary is taxed at a higher rate</w:t>
            </w:r>
          </w:p>
        </w:tc>
      </w:tr>
      <w:tr>
        <w:trPr>
          <w:cantSplit/>
        </w:trPr>
        <w:tc>
          <w:tcPr>
            <w:tcW w:type="dxa" w:w="1656"/>
          </w:tcPr>
          <w:p>
            <w:pPr>
              <w:spacing w:after="20"/>
            </w:pPr>
            <w:r>
              <w:rPr>
                <w:color w:val="1C3A36"/>
                <w:sz w:val="14"/>
              </w:rPr>
              <w:t>tax fy23</w:t>
            </w:r>
          </w:p>
        </w:tc>
        <w:tc>
          <w:tcPr>
            <w:tcW w:type="dxa" w:w="1440"/>
          </w:tcPr>
          <w:p>
            <w:pPr>
              <w:spacing w:after="20"/>
            </w:pPr>
            <w:r>
              <w:rPr>
                <w:color w:val="1C3A36"/>
                <w:sz w:val="14"/>
              </w:rPr>
              <w:t>18.837</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income tax expense</w:t>
            </w:r>
          </w:p>
        </w:tc>
      </w:tr>
      <w:tr>
        <w:trPr>
          <w:cantSplit/>
        </w:trPr>
        <w:tc>
          <w:tcPr>
            <w:tcW w:type="dxa" w:w="1656"/>
          </w:tcPr>
          <w:p>
            <w:pPr>
              <w:spacing w:after="20"/>
            </w:pPr>
            <w:r>
              <w:rPr>
                <w:color w:val="1C3A36"/>
                <w:sz w:val="14"/>
              </w:rPr>
              <w:t>tax fy24</w:t>
            </w:r>
          </w:p>
        </w:tc>
        <w:tc>
          <w:tcPr>
            <w:tcW w:type="dxa" w:w="1440"/>
          </w:tcPr>
          <w:p>
            <w:pPr>
              <w:spacing w:after="20"/>
            </w:pPr>
            <w:r>
              <w:rPr>
                <w:color w:val="1C3A36"/>
                <w:sz w:val="14"/>
              </w:rPr>
              <w:t>283.394</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income tax expense</w:t>
            </w:r>
          </w:p>
        </w:tc>
      </w:tr>
      <w:tr>
        <w:trPr>
          <w:cantSplit/>
        </w:trPr>
        <w:tc>
          <w:tcPr>
            <w:tcW w:type="dxa" w:w="1656"/>
          </w:tcPr>
          <w:p>
            <w:pPr>
              <w:spacing w:after="20"/>
            </w:pPr>
            <w:r>
              <w:rPr>
                <w:color w:val="1C3A36"/>
                <w:sz w:val="14"/>
              </w:rPr>
              <w:t>tax fy25</w:t>
            </w:r>
          </w:p>
        </w:tc>
        <w:tc>
          <w:tcPr>
            <w:tcW w:type="dxa" w:w="1440"/>
          </w:tcPr>
          <w:p>
            <w:pPr>
              <w:spacing w:after="20"/>
            </w:pPr>
            <w:r>
              <w:rPr>
                <w:color w:val="1C3A36"/>
                <w:sz w:val="14"/>
              </w:rPr>
              <w:t>322.891</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income tax expense</w:t>
            </w:r>
          </w:p>
        </w:tc>
      </w:tr>
      <w:tr>
        <w:trPr>
          <w:cantSplit/>
        </w:trPr>
        <w:tc>
          <w:tcPr>
            <w:tcW w:type="dxa" w:w="1656"/>
          </w:tcPr>
          <w:p>
            <w:pPr>
              <w:spacing w:after="20"/>
            </w:pPr>
            <w:r>
              <w:rPr>
                <w:color w:val="1C3A36"/>
                <w:sz w:val="14"/>
              </w:rPr>
              <w:t>td fy23</w:t>
            </w:r>
          </w:p>
        </w:tc>
        <w:tc>
          <w:tcPr>
            <w:tcW w:type="dxa" w:w="1440"/>
          </w:tcPr>
          <w:p>
            <w:pPr>
              <w:spacing w:after="20"/>
            </w:pPr>
            <w:r>
              <w:rPr>
                <w:color w:val="1C3A36"/>
                <w:sz w:val="14"/>
              </w:rPr>
              <w:t>200.225</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term deposits</w:t>
            </w:r>
          </w:p>
        </w:tc>
      </w:tr>
      <w:tr>
        <w:trPr>
          <w:cantSplit/>
        </w:trPr>
        <w:tc>
          <w:tcPr>
            <w:tcW w:type="dxa" w:w="1656"/>
          </w:tcPr>
          <w:p>
            <w:pPr>
              <w:spacing w:after="20"/>
            </w:pPr>
            <w:r>
              <w:rPr>
                <w:color w:val="1C3A36"/>
                <w:sz w:val="14"/>
              </w:rPr>
              <w:t>td fy24</w:t>
            </w:r>
          </w:p>
        </w:tc>
        <w:tc>
          <w:tcPr>
            <w:tcW w:type="dxa" w:w="1440"/>
          </w:tcPr>
          <w:p>
            <w:pPr>
              <w:spacing w:after="20"/>
            </w:pPr>
            <w:r>
              <w:rPr>
                <w:color w:val="1C3A36"/>
                <w:sz w:val="14"/>
              </w:rPr>
              <w:t>200.225</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term deposits</w:t>
            </w:r>
          </w:p>
        </w:tc>
      </w:tr>
      <w:tr>
        <w:trPr>
          <w:cantSplit/>
        </w:trPr>
        <w:tc>
          <w:tcPr>
            <w:tcW w:type="dxa" w:w="1656"/>
          </w:tcPr>
          <w:p>
            <w:pPr>
              <w:spacing w:after="20"/>
            </w:pPr>
            <w:r>
              <w:rPr>
                <w:color w:val="1C3A36"/>
                <w:sz w:val="14"/>
              </w:rPr>
              <w:t>td fy25</w:t>
            </w:r>
          </w:p>
        </w:tc>
        <w:tc>
          <w:tcPr>
            <w:tcW w:type="dxa" w:w="1440"/>
          </w:tcPr>
          <w:p>
            <w:pPr>
              <w:spacing w:after="20"/>
            </w:pPr>
            <w:r>
              <w:rPr>
                <w:color w:val="1C3A36"/>
                <w:sz w:val="14"/>
              </w:rPr>
              <w:t>200</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term deposits</w:t>
            </w:r>
          </w:p>
        </w:tc>
      </w:tr>
      <w:tr>
        <w:trPr>
          <w:cantSplit/>
        </w:trPr>
        <w:tc>
          <w:tcPr>
            <w:tcW w:type="dxa" w:w="1656"/>
          </w:tcPr>
          <w:p>
            <w:pPr>
              <w:spacing w:after="20"/>
            </w:pPr>
            <w:r>
              <w:rPr>
                <w:color w:val="1C3A36"/>
                <w:sz w:val="14"/>
              </w:rPr>
              <w:t>tl fy25</w:t>
            </w:r>
          </w:p>
        </w:tc>
        <w:tc>
          <w:tcPr>
            <w:tcW w:type="dxa" w:w="1440"/>
          </w:tcPr>
          <w:p>
            <w:pPr>
              <w:spacing w:after="20"/>
            </w:pPr>
            <w:r>
              <w:rPr>
                <w:color w:val="1C3A36"/>
                <w:sz w:val="14"/>
              </w:rPr>
              <w:t>14,214.568</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total liabilities</w:t>
            </w:r>
          </w:p>
        </w:tc>
      </w:tr>
      <w:tr>
        <w:trPr>
          <w:cantSplit/>
        </w:trPr>
        <w:tc>
          <w:tcPr>
            <w:tcW w:type="dxa" w:w="1656"/>
          </w:tcPr>
          <w:p>
            <w:pPr>
              <w:spacing w:after="20"/>
            </w:pPr>
            <w:r>
              <w:rPr>
                <w:color w:val="1C3A36"/>
                <w:sz w:val="14"/>
              </w:rPr>
              <w:t>tp fy23</w:t>
            </w:r>
          </w:p>
        </w:tc>
        <w:tc>
          <w:tcPr>
            <w:tcW w:type="dxa" w:w="1440"/>
          </w:tcPr>
          <w:p>
            <w:pPr>
              <w:spacing w:after="20"/>
            </w:pPr>
            <w:r>
              <w:rPr>
                <w:color w:val="1C3A36"/>
                <w:sz w:val="14"/>
              </w:rPr>
              <w:t>2,541.355</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trade and other payables</w:t>
            </w:r>
          </w:p>
        </w:tc>
      </w:tr>
      <w:tr>
        <w:trPr>
          <w:cantSplit/>
        </w:trPr>
        <w:tc>
          <w:tcPr>
            <w:tcW w:type="dxa" w:w="1656"/>
          </w:tcPr>
          <w:p>
            <w:pPr>
              <w:spacing w:after="20"/>
            </w:pPr>
            <w:r>
              <w:rPr>
                <w:color w:val="1C3A36"/>
                <w:sz w:val="14"/>
              </w:rPr>
              <w:t>tp fy24</w:t>
            </w:r>
          </w:p>
        </w:tc>
        <w:tc>
          <w:tcPr>
            <w:tcW w:type="dxa" w:w="1440"/>
          </w:tcPr>
          <w:p>
            <w:pPr>
              <w:spacing w:after="20"/>
            </w:pPr>
            <w:r>
              <w:rPr>
                <w:color w:val="1C3A36"/>
                <w:sz w:val="14"/>
              </w:rPr>
              <w:t>2,797.054</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trade and other payables</w:t>
            </w:r>
          </w:p>
        </w:tc>
      </w:tr>
      <w:tr>
        <w:trPr>
          <w:cantSplit/>
        </w:trPr>
        <w:tc>
          <w:tcPr>
            <w:tcW w:type="dxa" w:w="1656"/>
          </w:tcPr>
          <w:p>
            <w:pPr>
              <w:spacing w:after="20"/>
            </w:pPr>
            <w:r>
              <w:rPr>
                <w:color w:val="1C3A36"/>
                <w:sz w:val="14"/>
              </w:rPr>
              <w:t>tp fy25</w:t>
            </w:r>
          </w:p>
        </w:tc>
        <w:tc>
          <w:tcPr>
            <w:tcW w:type="dxa" w:w="1440"/>
          </w:tcPr>
          <w:p>
            <w:pPr>
              <w:spacing w:after="20"/>
            </w:pPr>
            <w:r>
              <w:rPr>
                <w:color w:val="1C3A36"/>
                <w:sz w:val="14"/>
              </w:rPr>
              <w:t>3,115.634</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trade and other payables</w:t>
            </w:r>
          </w:p>
        </w:tc>
      </w:tr>
      <w:tr>
        <w:trPr>
          <w:cantSplit/>
        </w:trPr>
        <w:tc>
          <w:tcPr>
            <w:tcW w:type="dxa" w:w="1656"/>
          </w:tcPr>
          <w:p>
            <w:pPr>
              <w:spacing w:after="20"/>
            </w:pPr>
            <w:r>
              <w:rPr>
                <w:color w:val="1C3A36"/>
                <w:sz w:val="14"/>
              </w:rPr>
              <w:t>tr fy23</w:t>
            </w:r>
          </w:p>
        </w:tc>
        <w:tc>
          <w:tcPr>
            <w:tcW w:type="dxa" w:w="1440"/>
          </w:tcPr>
          <w:p>
            <w:pPr>
              <w:spacing w:after="20"/>
            </w:pPr>
            <w:r>
              <w:rPr>
                <w:color w:val="1C3A36"/>
                <w:sz w:val="14"/>
              </w:rPr>
              <w:t>3,519.413</w:t>
            </w:r>
          </w:p>
        </w:tc>
        <w:tc>
          <w:tcPr>
            <w:tcW w:type="dxa" w:w="936"/>
          </w:tcPr>
          <w:p>
            <w:pPr>
              <w:spacing w:after="20"/>
            </w:pPr>
            <w:r>
              <w:rPr>
                <w:color w:val="1C3A36"/>
                <w:sz w:val="14"/>
              </w:rPr>
              <w:t>31 Dec 2023</w:t>
            </w:r>
          </w:p>
        </w:tc>
        <w:tc>
          <w:tcPr>
            <w:tcW w:type="dxa" w:w="6048"/>
          </w:tcPr>
          <w:p>
            <w:pPr>
              <w:spacing w:after="20"/>
            </w:pPr>
            <w:r>
              <w:rPr>
                <w:color w:val="1C3A36"/>
                <w:sz w:val="14"/>
              </w:rPr>
              <w:t>Abu Dhabi National Oil Company for Distribution PJSC, audited consolidated financial statements for the year ended 31 December 2023, published on the company's investor-relations site; figures as reported in AED'000 and converted to AED million, trade receivables and other current assets</w:t>
            </w:r>
          </w:p>
        </w:tc>
      </w:tr>
      <w:tr>
        <w:trPr>
          <w:cantSplit/>
        </w:trPr>
        <w:tc>
          <w:tcPr>
            <w:tcW w:type="dxa" w:w="1656"/>
          </w:tcPr>
          <w:p>
            <w:pPr>
              <w:spacing w:after="20"/>
            </w:pPr>
            <w:r>
              <w:rPr>
                <w:color w:val="1C3A36"/>
                <w:sz w:val="14"/>
              </w:rPr>
              <w:t>tr fy24</w:t>
            </w:r>
          </w:p>
        </w:tc>
        <w:tc>
          <w:tcPr>
            <w:tcW w:type="dxa" w:w="1440"/>
          </w:tcPr>
          <w:p>
            <w:pPr>
              <w:spacing w:after="20"/>
            </w:pPr>
            <w:r>
              <w:rPr>
                <w:color w:val="1C3A36"/>
                <w:sz w:val="14"/>
              </w:rPr>
              <w:t>2,935.982</w:t>
            </w:r>
          </w:p>
        </w:tc>
        <w:tc>
          <w:tcPr>
            <w:tcW w:type="dxa" w:w="936"/>
          </w:tcPr>
          <w:p>
            <w:pPr>
              <w:spacing w:after="20"/>
            </w:pPr>
            <w:r>
              <w:rPr>
                <w:color w:val="1C3A36"/>
                <w:sz w:val="14"/>
              </w:rPr>
              <w:t>31 Dec 2024</w:t>
            </w:r>
          </w:p>
        </w:tc>
        <w:tc>
          <w:tcPr>
            <w:tcW w:type="dxa" w:w="6048"/>
          </w:tcPr>
          <w:p>
            <w:pPr>
              <w:spacing w:after="20"/>
            </w:pPr>
            <w:r>
              <w:rPr>
                <w:color w:val="1C3A36"/>
                <w:sz w:val="14"/>
              </w:rPr>
              <w:t>Abu Dhabi National Oil Company for Distribution PJSC, audited consolidated financial statements for the year ended 31 December 2024, published on the company's investor-relations site; figures as reported in AED'000 and converted to AED million, trade receivables and other current assets</w:t>
            </w:r>
          </w:p>
        </w:tc>
      </w:tr>
      <w:tr>
        <w:trPr>
          <w:cantSplit/>
        </w:trPr>
        <w:tc>
          <w:tcPr>
            <w:tcW w:type="dxa" w:w="1656"/>
          </w:tcPr>
          <w:p>
            <w:pPr>
              <w:spacing w:after="20"/>
            </w:pPr>
            <w:r>
              <w:rPr>
                <w:color w:val="1C3A36"/>
                <w:sz w:val="14"/>
              </w:rPr>
              <w:t>tr fy25</w:t>
            </w:r>
          </w:p>
        </w:tc>
        <w:tc>
          <w:tcPr>
            <w:tcW w:type="dxa" w:w="1440"/>
          </w:tcPr>
          <w:p>
            <w:pPr>
              <w:spacing w:after="20"/>
            </w:pPr>
            <w:r>
              <w:rPr>
                <w:color w:val="1C3A36"/>
                <w:sz w:val="14"/>
              </w:rPr>
              <w:t>2,632.515</w:t>
            </w:r>
          </w:p>
        </w:tc>
        <w:tc>
          <w:tcPr>
            <w:tcW w:type="dxa" w:w="936"/>
          </w:tcPr>
          <w:p>
            <w:pPr>
              <w:spacing w:after="20"/>
            </w:pPr>
            <w:r>
              <w:rPr>
                <w:color w:val="1C3A36"/>
                <w:sz w:val="14"/>
              </w:rPr>
              <w:t>31 Dec 2025</w:t>
            </w:r>
          </w:p>
        </w:tc>
        <w:tc>
          <w:tcPr>
            <w:tcW w:type="dxa" w:w="6048"/>
          </w:tcPr>
          <w:p>
            <w:pPr>
              <w:spacing w:after="20"/>
            </w:pPr>
            <w:r>
              <w:rPr>
                <w:color w:val="1C3A36"/>
                <w:sz w:val="14"/>
              </w:rPr>
              <w:t>Abu Dhabi National Oil Company for Distribution PJSC, audited consolidated financial statements for the year ended 31 December 2025, published on the company's investor-relations site; figures as reported in AED'000 and converted to AED million, trade receivables and other current assets</w:t>
            </w:r>
          </w:p>
        </w:tc>
      </w:tr>
      <w:tr>
        <w:trPr>
          <w:cantSplit/>
        </w:trPr>
        <w:tc>
          <w:tcPr>
            <w:tcW w:type="dxa" w:w="1656"/>
          </w:tcPr>
          <w:p>
            <w:pPr>
              <w:spacing w:after="20"/>
            </w:pPr>
            <w:r>
              <w:rPr>
                <w:color w:val="1C3A36"/>
                <w:sz w:val="14"/>
              </w:rPr>
              <w:t>vol avi g</w:t>
            </w:r>
          </w:p>
        </w:tc>
        <w:tc>
          <w:tcPr>
            <w:tcW w:type="dxa" w:w="1440"/>
          </w:tcPr>
          <w:p>
            <w:pPr>
              <w:spacing w:after="20"/>
            </w:pPr>
            <w:r>
              <w:rPr>
                <w:color w:val="1C3A36"/>
                <w:sz w:val="14"/>
              </w:rPr>
              <w:t>0, 0.040, 0.030, 0.025, 0.020</w:t>
            </w:r>
          </w:p>
        </w:tc>
        <w:tc>
          <w:tcPr>
            <w:tcW w:type="dxa" w:w="936"/>
          </w:tcPr>
          <w:p>
            <w:pPr>
              <w:spacing w:after="20"/>
            </w:pPr>
            <w:r>
              <w:rPr>
                <w:color w:val="1C3A36"/>
                <w:sz w:val="14"/>
              </w:rPr>
              <w:t>30 Jun 2026</w:t>
            </w:r>
          </w:p>
        </w:tc>
        <w:tc>
          <w:tcPr>
            <w:tcW w:type="dxa" w:w="6048"/>
          </w:tcPr>
          <w:p>
            <w:pPr>
              <w:spacing w:after="20"/>
            </w:pPr>
            <w:r>
              <w:rPr>
                <w:color w:val="1C3A36"/>
                <w:sz w:val="14"/>
              </w:rPr>
              <w:t>Aviation fuel volume growth. Realised PLUS 53.9% in the first half of 2026 (232 to 357 million litres) on new airline contracts and Gulf traffic recovery. Faded hard, because a 54% step is a contract ramp and not a growth rate; carrying it forward would capitalise a one-off</w:t>
            </w:r>
          </w:p>
        </w:tc>
      </w:tr>
      <w:tr>
        <w:trPr>
          <w:cantSplit/>
        </w:trPr>
        <w:tc>
          <w:tcPr>
            <w:tcW w:type="dxa" w:w="1656"/>
          </w:tcPr>
          <w:p>
            <w:pPr>
              <w:spacing w:after="20"/>
            </w:pPr>
            <w:r>
              <w:rPr>
                <w:color w:val="1C3A36"/>
                <w:sz w:val="14"/>
              </w:rPr>
              <w:t>vol avi h125</w:t>
            </w:r>
          </w:p>
        </w:tc>
        <w:tc>
          <w:tcPr>
            <w:tcW w:type="dxa" w:w="1440"/>
          </w:tcPr>
          <w:p>
            <w:pPr>
              <w:spacing w:after="20"/>
            </w:pPr>
            <w:r>
              <w:rPr>
                <w:color w:val="1C3A36"/>
                <w:sz w:val="14"/>
              </w:rPr>
              <w:t>232</w:t>
            </w:r>
          </w:p>
        </w:tc>
        <w:tc>
          <w:tcPr>
            <w:tcW w:type="dxa" w:w="936"/>
          </w:tcPr>
          <w:p>
            <w:pPr>
              <w:spacing w:after="20"/>
            </w:pPr>
            <w:r>
              <w:rPr>
                <w:color w:val="1C3A36"/>
                <w:sz w:val="14"/>
              </w:rPr>
              <w:t>30 Jun 2025</w:t>
            </w:r>
          </w:p>
        </w:tc>
        <w:tc>
          <w:tcPr>
            <w:tcW w:type="dxa" w:w="6048"/>
          </w:tcPr>
          <w:p>
            <w:pPr>
              <w:spacing w:after="20"/>
            </w:pPr>
            <w:r>
              <w:rPr>
                <w:color w:val="1C3A36"/>
                <w:sz w:val="14"/>
              </w:rPr>
              <w:t>ADNOC Distribution, results presentation, second quarter and first half 2026, 5 August 2026, operating-performance appendix, of which aviation, prior-period comparative</w:t>
            </w:r>
          </w:p>
        </w:tc>
      </w:tr>
      <w:tr>
        <w:trPr>
          <w:cantSplit/>
        </w:trPr>
        <w:tc>
          <w:tcPr>
            <w:tcW w:type="dxa" w:w="1656"/>
          </w:tcPr>
          <w:p>
            <w:pPr>
              <w:spacing w:after="20"/>
            </w:pPr>
            <w:r>
              <w:rPr>
                <w:color w:val="1C3A36"/>
                <w:sz w:val="14"/>
              </w:rPr>
              <w:t>vol avi h126</w:t>
            </w:r>
          </w:p>
        </w:tc>
        <w:tc>
          <w:tcPr>
            <w:tcW w:type="dxa" w:w="1440"/>
          </w:tcPr>
          <w:p>
            <w:pPr>
              <w:spacing w:after="20"/>
            </w:pPr>
            <w:r>
              <w:rPr>
                <w:color w:val="1C3A36"/>
                <w:sz w:val="14"/>
              </w:rPr>
              <w:t>357</w:t>
            </w:r>
          </w:p>
        </w:tc>
        <w:tc>
          <w:tcPr>
            <w:tcW w:type="dxa" w:w="936"/>
          </w:tcPr>
          <w:p>
            <w:pPr>
              <w:spacing w:after="20"/>
            </w:pPr>
            <w:r>
              <w:rPr>
                <w:color w:val="1C3A36"/>
                <w:sz w:val="14"/>
              </w:rPr>
              <w:t>30 Jun 2026</w:t>
            </w:r>
          </w:p>
        </w:tc>
        <w:tc>
          <w:tcPr>
            <w:tcW w:type="dxa" w:w="6048"/>
          </w:tcPr>
          <w:p>
            <w:pPr>
              <w:spacing w:after="20"/>
            </w:pPr>
            <w:r>
              <w:rPr>
                <w:color w:val="1C3A36"/>
                <w:sz w:val="14"/>
              </w:rPr>
              <w:t>ADNOC Distribution, results presentation, second quarter and first half 2026, 5 August 2026, operating-performance appendix, of which aviation, six months</w:t>
            </w:r>
          </w:p>
        </w:tc>
      </w:tr>
      <w:tr>
        <w:trPr>
          <w:cantSplit/>
        </w:trPr>
        <w:tc>
          <w:tcPr>
            <w:tcW w:type="dxa" w:w="1656"/>
          </w:tcPr>
          <w:p>
            <w:pPr>
              <w:spacing w:after="20"/>
            </w:pPr>
            <w:r>
              <w:rPr>
                <w:color w:val="1C3A36"/>
                <w:sz w:val="14"/>
              </w:rPr>
              <w:t>vol comm fy24</w:t>
            </w:r>
          </w:p>
        </w:tc>
        <w:tc>
          <w:tcPr>
            <w:tcW w:type="dxa" w:w="1440"/>
          </w:tcPr>
          <w:p>
            <w:pPr>
              <w:spacing w:after="20"/>
            </w:pPr>
            <w:r>
              <w:rPr>
                <w:color w:val="1C3A36"/>
                <w:sz w:val="14"/>
              </w:rPr>
              <w:t>4,680</w:t>
            </w:r>
          </w:p>
        </w:tc>
        <w:tc>
          <w:tcPr>
            <w:tcW w:type="dxa" w:w="936"/>
          </w:tcPr>
          <w:p>
            <w:pPr>
              <w:spacing w:after="20"/>
            </w:pPr>
            <w:r>
              <w:rPr>
                <w:color w:val="1C3A36"/>
                <w:sz w:val="14"/>
              </w:rPr>
              <w:t>31 Dec 2024</w:t>
            </w:r>
          </w:p>
        </w:tc>
        <w:tc>
          <w:tcPr>
            <w:tcW w:type="dxa" w:w="6048"/>
          </w:tcPr>
          <w:p>
            <w:pPr>
              <w:spacing w:after="20"/>
            </w:pPr>
            <w:r>
              <w:rPr>
                <w:color w:val="1C3A36"/>
                <w:sz w:val="14"/>
              </w:rPr>
              <w:t>ADNOC Distribution, results presentation, full year 2025, 3 February 2026, operating-performance appendix, fuel volumes: Commercial (B2B), FY2024 comparative</w:t>
            </w:r>
          </w:p>
        </w:tc>
      </w:tr>
      <w:tr>
        <w:trPr>
          <w:cantSplit/>
        </w:trPr>
        <w:tc>
          <w:tcPr>
            <w:tcW w:type="dxa" w:w="1656"/>
          </w:tcPr>
          <w:p>
            <w:pPr>
              <w:spacing w:after="20"/>
            </w:pPr>
            <w:r>
              <w:rPr>
                <w:color w:val="1C3A36"/>
                <w:sz w:val="14"/>
              </w:rPr>
              <w:t>vol comm fy25</w:t>
            </w:r>
          </w:p>
        </w:tc>
        <w:tc>
          <w:tcPr>
            <w:tcW w:type="dxa" w:w="1440"/>
          </w:tcPr>
          <w:p>
            <w:pPr>
              <w:spacing w:after="20"/>
            </w:pPr>
            <w:r>
              <w:rPr>
                <w:color w:val="1C3A36"/>
                <w:sz w:val="14"/>
              </w:rPr>
              <w:t>4,668</w:t>
            </w:r>
          </w:p>
        </w:tc>
        <w:tc>
          <w:tcPr>
            <w:tcW w:type="dxa" w:w="936"/>
          </w:tcPr>
          <w:p>
            <w:pPr>
              <w:spacing w:after="20"/>
            </w:pPr>
            <w:r>
              <w:rPr>
                <w:color w:val="1C3A36"/>
                <w:sz w:val="14"/>
              </w:rPr>
              <w:t>31 Dec 2025</w:t>
            </w:r>
          </w:p>
        </w:tc>
        <w:tc>
          <w:tcPr>
            <w:tcW w:type="dxa" w:w="6048"/>
          </w:tcPr>
          <w:p>
            <w:pPr>
              <w:spacing w:after="20"/>
            </w:pPr>
            <w:r>
              <w:rPr>
                <w:color w:val="1C3A36"/>
                <w:sz w:val="14"/>
              </w:rPr>
              <w:t>ADNOC Distribution, results presentation, full year 2025, 3 February 2026, operating-performance appendix, fuel volumes: Commercial (B2B)</w:t>
            </w:r>
          </w:p>
        </w:tc>
      </w:tr>
      <w:tr>
        <w:trPr>
          <w:cantSplit/>
        </w:trPr>
        <w:tc>
          <w:tcPr>
            <w:tcW w:type="dxa" w:w="1656"/>
          </w:tcPr>
          <w:p>
            <w:pPr>
              <w:spacing w:after="20"/>
            </w:pPr>
            <w:r>
              <w:rPr>
                <w:color w:val="1C3A36"/>
                <w:sz w:val="14"/>
              </w:rPr>
              <w:t>vol comm g</w:t>
            </w:r>
          </w:p>
        </w:tc>
        <w:tc>
          <w:tcPr>
            <w:tcW w:type="dxa" w:w="1440"/>
          </w:tcPr>
          <w:p>
            <w:pPr>
              <w:spacing w:after="20"/>
            </w:pPr>
            <w:r>
              <w:rPr>
                <w:color w:val="1C3A36"/>
                <w:sz w:val="14"/>
              </w:rPr>
              <w:t>3.00%, 2.50%, 2.00%, 1.80%, 1.50%</w:t>
            </w:r>
          </w:p>
        </w:tc>
        <w:tc>
          <w:tcPr>
            <w:tcW w:type="dxa" w:w="936"/>
          </w:tcPr>
          <w:p>
            <w:pPr>
              <w:spacing w:after="20"/>
            </w:pPr>
            <w:r>
              <w:rPr>
                <w:color w:val="1C3A36"/>
                <w:sz w:val="14"/>
              </w:rPr>
              <w:t>5 Aug 2026</w:t>
            </w:r>
          </w:p>
        </w:tc>
        <w:tc>
          <w:tcPr>
            <w:tcW w:type="dxa" w:w="6048"/>
          </w:tcPr>
          <w:p>
            <w:pPr>
              <w:spacing w:after="20"/>
            </w:pPr>
            <w:r>
              <w:rPr>
                <w:color w:val="1C3A36"/>
                <w:sz w:val="14"/>
              </w:rPr>
              <w:t>Commercial fuel volume growth. The first half of 2026 grew 3.1%, with aviation up 53.9% offsetting a deliberate 2.5% reduction in corporate volumes under a stated value-over-volume strategy. Aviation growth decelerates off a small base</w:t>
            </w:r>
          </w:p>
        </w:tc>
      </w:tr>
      <w:tr>
        <w:trPr>
          <w:cantSplit/>
        </w:trPr>
        <w:tc>
          <w:tcPr>
            <w:tcW w:type="dxa" w:w="1656"/>
          </w:tcPr>
          <w:p>
            <w:pPr>
              <w:spacing w:after="20"/>
            </w:pPr>
            <w:r>
              <w:rPr>
                <w:color w:val="1C3A36"/>
                <w:sz w:val="14"/>
              </w:rPr>
              <w:t>vol comm h125</w:t>
            </w:r>
          </w:p>
        </w:tc>
        <w:tc>
          <w:tcPr>
            <w:tcW w:type="dxa" w:w="1440"/>
          </w:tcPr>
          <w:p>
            <w:pPr>
              <w:spacing w:after="20"/>
            </w:pPr>
            <w:r>
              <w:rPr>
                <w:color w:val="1C3A36"/>
                <w:sz w:val="14"/>
              </w:rPr>
              <w:t>2,300</w:t>
            </w:r>
          </w:p>
        </w:tc>
        <w:tc>
          <w:tcPr>
            <w:tcW w:type="dxa" w:w="936"/>
          </w:tcPr>
          <w:p>
            <w:pPr>
              <w:spacing w:after="20"/>
            </w:pPr>
            <w:r>
              <w:rPr>
                <w:color w:val="1C3A36"/>
                <w:sz w:val="14"/>
              </w:rPr>
              <w:t>30 Jun 2025</w:t>
            </w:r>
          </w:p>
        </w:tc>
        <w:tc>
          <w:tcPr>
            <w:tcW w:type="dxa" w:w="6048"/>
          </w:tcPr>
          <w:p>
            <w:pPr>
              <w:spacing w:after="20"/>
            </w:pPr>
            <w:r>
              <w:rPr>
                <w:color w:val="1C3A36"/>
                <w:sz w:val="14"/>
              </w:rPr>
              <w:t>ADNOC Distribution, results presentation, second quarter and first half 2026, 5 August 2026, operating-performance appendix, fuel volumes: Commercial (B2B), prior-period comparative</w:t>
            </w:r>
          </w:p>
        </w:tc>
      </w:tr>
      <w:tr>
        <w:trPr>
          <w:cantSplit/>
        </w:trPr>
        <w:tc>
          <w:tcPr>
            <w:tcW w:type="dxa" w:w="1656"/>
          </w:tcPr>
          <w:p>
            <w:pPr>
              <w:spacing w:after="20"/>
            </w:pPr>
            <w:r>
              <w:rPr>
                <w:color w:val="1C3A36"/>
                <w:sz w:val="14"/>
              </w:rPr>
              <w:t>vol comm h126</w:t>
            </w:r>
          </w:p>
        </w:tc>
        <w:tc>
          <w:tcPr>
            <w:tcW w:type="dxa" w:w="1440"/>
          </w:tcPr>
          <w:p>
            <w:pPr>
              <w:spacing w:after="20"/>
            </w:pPr>
            <w:r>
              <w:rPr>
                <w:color w:val="1C3A36"/>
                <w:sz w:val="14"/>
              </w:rPr>
              <w:t>2,372</w:t>
            </w:r>
          </w:p>
        </w:tc>
        <w:tc>
          <w:tcPr>
            <w:tcW w:type="dxa" w:w="936"/>
          </w:tcPr>
          <w:p>
            <w:pPr>
              <w:spacing w:after="20"/>
            </w:pPr>
            <w:r>
              <w:rPr>
                <w:color w:val="1C3A36"/>
                <w:sz w:val="14"/>
              </w:rPr>
              <w:t>30 Jun 2026</w:t>
            </w:r>
          </w:p>
        </w:tc>
        <w:tc>
          <w:tcPr>
            <w:tcW w:type="dxa" w:w="6048"/>
          </w:tcPr>
          <w:p>
            <w:pPr>
              <w:spacing w:after="20"/>
            </w:pPr>
            <w:r>
              <w:rPr>
                <w:color w:val="1C3A36"/>
                <w:sz w:val="14"/>
              </w:rPr>
              <w:t>ADNOC Distribution, results presentation, second quarter and first half 2026, 5 August 2026, operating-performance appendix, fuel volumes: Commercial (B2B), six months</w:t>
            </w:r>
          </w:p>
        </w:tc>
      </w:tr>
      <w:tr>
        <w:trPr>
          <w:cantSplit/>
        </w:trPr>
        <w:tc>
          <w:tcPr>
            <w:tcW w:type="dxa" w:w="1656"/>
          </w:tcPr>
          <w:p>
            <w:pPr>
              <w:spacing w:after="20"/>
            </w:pPr>
            <w:r>
              <w:rPr>
                <w:color w:val="1C3A36"/>
                <w:sz w:val="14"/>
              </w:rPr>
              <w:t>vol corp g</w:t>
            </w:r>
          </w:p>
        </w:tc>
        <w:tc>
          <w:tcPr>
            <w:tcW w:type="dxa" w:w="1440"/>
          </w:tcPr>
          <w:p>
            <w:pPr>
              <w:spacing w:after="20"/>
            </w:pPr>
            <w:r>
              <w:rPr>
                <w:color w:val="1C3A36"/>
                <w:sz w:val="14"/>
              </w:rPr>
              <w:t>0, 0.005, 0.010, 0.010, 0.010</w:t>
            </w:r>
          </w:p>
        </w:tc>
        <w:tc>
          <w:tcPr>
            <w:tcW w:type="dxa" w:w="936"/>
          </w:tcPr>
          <w:p>
            <w:pPr>
              <w:spacing w:after="20"/>
            </w:pPr>
            <w:r>
              <w:rPr>
                <w:color w:val="1C3A36"/>
                <w:sz w:val="14"/>
              </w:rPr>
              <w:t>30 Jun 2026</w:t>
            </w:r>
          </w:p>
        </w:tc>
        <w:tc>
          <w:tcPr>
            <w:tcW w:type="dxa" w:w="6048"/>
          </w:tcPr>
          <w:p>
            <w:pPr>
              <w:spacing w:after="20"/>
            </w:pPr>
            <w:r>
              <w:rPr>
                <w:color w:val="1C3A36"/>
                <w:sz w:val="14"/>
              </w:rPr>
              <w:t>Corporate fuel volume growth. Realised MINUS 2.6% in the first half of 2026 (2,068 to 2,015 million litres) on customer rationalisation. Held roughly flat thereafter</w:t>
            </w:r>
          </w:p>
        </w:tc>
      </w:tr>
      <w:tr>
        <w:trPr>
          <w:cantSplit/>
        </w:trPr>
        <w:tc>
          <w:tcPr>
            <w:tcW w:type="dxa" w:w="1656"/>
          </w:tcPr>
          <w:p>
            <w:pPr>
              <w:spacing w:after="20"/>
            </w:pPr>
            <w:r>
              <w:rPr>
                <w:color w:val="1C3A36"/>
                <w:sz w:val="14"/>
              </w:rPr>
              <w:t>vol corp h125</w:t>
            </w:r>
          </w:p>
        </w:tc>
        <w:tc>
          <w:tcPr>
            <w:tcW w:type="dxa" w:w="1440"/>
          </w:tcPr>
          <w:p>
            <w:pPr>
              <w:spacing w:after="20"/>
            </w:pPr>
            <w:r>
              <w:rPr>
                <w:color w:val="1C3A36"/>
                <w:sz w:val="14"/>
              </w:rPr>
              <w:t>2,068</w:t>
            </w:r>
          </w:p>
        </w:tc>
        <w:tc>
          <w:tcPr>
            <w:tcW w:type="dxa" w:w="936"/>
          </w:tcPr>
          <w:p>
            <w:pPr>
              <w:spacing w:after="20"/>
            </w:pPr>
            <w:r>
              <w:rPr>
                <w:color w:val="1C3A36"/>
                <w:sz w:val="14"/>
              </w:rPr>
              <w:t>30 Jun 2025</w:t>
            </w:r>
          </w:p>
        </w:tc>
        <w:tc>
          <w:tcPr>
            <w:tcW w:type="dxa" w:w="6048"/>
          </w:tcPr>
          <w:p>
            <w:pPr>
              <w:spacing w:after="20"/>
            </w:pPr>
            <w:r>
              <w:rPr>
                <w:color w:val="1C3A36"/>
                <w:sz w:val="14"/>
              </w:rPr>
              <w:t>ADNOC Distribution, results presentation, second quarter and first half 2026, 5 August 2026, operating-performance appendix, of which corporate, prior-period comparative</w:t>
            </w:r>
          </w:p>
        </w:tc>
      </w:tr>
      <w:tr>
        <w:trPr>
          <w:cantSplit/>
        </w:trPr>
        <w:tc>
          <w:tcPr>
            <w:tcW w:type="dxa" w:w="1656"/>
          </w:tcPr>
          <w:p>
            <w:pPr>
              <w:spacing w:after="20"/>
            </w:pPr>
            <w:r>
              <w:rPr>
                <w:color w:val="1C3A36"/>
                <w:sz w:val="14"/>
              </w:rPr>
              <w:t>vol corp h126</w:t>
            </w:r>
          </w:p>
        </w:tc>
        <w:tc>
          <w:tcPr>
            <w:tcW w:type="dxa" w:w="1440"/>
          </w:tcPr>
          <w:p>
            <w:pPr>
              <w:spacing w:after="20"/>
            </w:pPr>
            <w:r>
              <w:rPr>
                <w:color w:val="1C3A36"/>
                <w:sz w:val="14"/>
              </w:rPr>
              <w:t>2,015</w:t>
            </w:r>
          </w:p>
        </w:tc>
        <w:tc>
          <w:tcPr>
            <w:tcW w:type="dxa" w:w="936"/>
          </w:tcPr>
          <w:p>
            <w:pPr>
              <w:spacing w:after="20"/>
            </w:pPr>
            <w:r>
              <w:rPr>
                <w:color w:val="1C3A36"/>
                <w:sz w:val="14"/>
              </w:rPr>
              <w:t>30 Jun 2026</w:t>
            </w:r>
          </w:p>
        </w:tc>
        <w:tc>
          <w:tcPr>
            <w:tcW w:type="dxa" w:w="6048"/>
          </w:tcPr>
          <w:p>
            <w:pPr>
              <w:spacing w:after="20"/>
            </w:pPr>
            <w:r>
              <w:rPr>
                <w:color w:val="1C3A36"/>
                <w:sz w:val="14"/>
              </w:rPr>
              <w:t>ADNOC Distribution, results presentation, second quarter and first half 2026, 5 August 2026, operating-performance appendix, of which corporate, six months</w:t>
            </w:r>
          </w:p>
        </w:tc>
      </w:tr>
      <w:tr>
        <w:trPr>
          <w:cantSplit/>
        </w:trPr>
        <w:tc>
          <w:tcPr>
            <w:tcW w:type="dxa" w:w="1656"/>
          </w:tcPr>
          <w:p>
            <w:pPr>
              <w:spacing w:after="20"/>
            </w:pPr>
            <w:r>
              <w:rPr>
                <w:color w:val="1C3A36"/>
                <w:sz w:val="14"/>
              </w:rPr>
              <w:t>vol retail fy24</w:t>
            </w:r>
          </w:p>
        </w:tc>
        <w:tc>
          <w:tcPr>
            <w:tcW w:type="dxa" w:w="1440"/>
          </w:tcPr>
          <w:p>
            <w:pPr>
              <w:spacing w:after="20"/>
            </w:pPr>
            <w:r>
              <w:rPr>
                <w:color w:val="1C3A36"/>
                <w:sz w:val="14"/>
              </w:rPr>
              <w:t>10,349</w:t>
            </w:r>
          </w:p>
        </w:tc>
        <w:tc>
          <w:tcPr>
            <w:tcW w:type="dxa" w:w="936"/>
          </w:tcPr>
          <w:p>
            <w:pPr>
              <w:spacing w:after="20"/>
            </w:pPr>
            <w:r>
              <w:rPr>
                <w:color w:val="1C3A36"/>
                <w:sz w:val="14"/>
              </w:rPr>
              <w:t>31 Dec 2024</w:t>
            </w:r>
          </w:p>
        </w:tc>
        <w:tc>
          <w:tcPr>
            <w:tcW w:type="dxa" w:w="6048"/>
          </w:tcPr>
          <w:p>
            <w:pPr>
              <w:spacing w:after="20"/>
            </w:pPr>
            <w:r>
              <w:rPr>
                <w:color w:val="1C3A36"/>
                <w:sz w:val="14"/>
              </w:rPr>
              <w:t>ADNOC Distribution, results presentation, full year 2025, 3 February 2026, operating-performance appendix, fuel volumes: Retail (B2C), FY2024 comparative</w:t>
            </w:r>
          </w:p>
        </w:tc>
      </w:tr>
      <w:tr>
        <w:trPr>
          <w:cantSplit/>
        </w:trPr>
        <w:tc>
          <w:tcPr>
            <w:tcW w:type="dxa" w:w="1656"/>
          </w:tcPr>
          <w:p>
            <w:pPr>
              <w:spacing w:after="20"/>
            </w:pPr>
            <w:r>
              <w:rPr>
                <w:color w:val="1C3A36"/>
                <w:sz w:val="14"/>
              </w:rPr>
              <w:t>vol retail fy25</w:t>
            </w:r>
          </w:p>
        </w:tc>
        <w:tc>
          <w:tcPr>
            <w:tcW w:type="dxa" w:w="1440"/>
          </w:tcPr>
          <w:p>
            <w:pPr>
              <w:spacing w:after="20"/>
            </w:pPr>
            <w:r>
              <w:rPr>
                <w:color w:val="1C3A36"/>
                <w:sz w:val="14"/>
              </w:rPr>
              <w:t>11,042</w:t>
            </w:r>
          </w:p>
        </w:tc>
        <w:tc>
          <w:tcPr>
            <w:tcW w:type="dxa" w:w="936"/>
          </w:tcPr>
          <w:p>
            <w:pPr>
              <w:spacing w:after="20"/>
            </w:pPr>
            <w:r>
              <w:rPr>
                <w:color w:val="1C3A36"/>
                <w:sz w:val="14"/>
              </w:rPr>
              <w:t>31 Dec 2025</w:t>
            </w:r>
          </w:p>
        </w:tc>
        <w:tc>
          <w:tcPr>
            <w:tcW w:type="dxa" w:w="6048"/>
          </w:tcPr>
          <w:p>
            <w:pPr>
              <w:spacing w:after="20"/>
            </w:pPr>
            <w:r>
              <w:rPr>
                <w:color w:val="1C3A36"/>
                <w:sz w:val="14"/>
              </w:rPr>
              <w:t>ADNOC Distribution, results presentation, full year 2025, 3 February 2026, operating-performance appendix, fuel volumes: Retail (B2C)</w:t>
            </w:r>
          </w:p>
        </w:tc>
      </w:tr>
      <w:tr>
        <w:trPr>
          <w:cantSplit/>
        </w:trPr>
        <w:tc>
          <w:tcPr>
            <w:tcW w:type="dxa" w:w="1656"/>
          </w:tcPr>
          <w:p>
            <w:pPr>
              <w:spacing w:after="20"/>
            </w:pPr>
            <w:r>
              <w:rPr>
                <w:color w:val="1C3A36"/>
                <w:sz w:val="14"/>
              </w:rPr>
              <w:t>vol retail g</w:t>
            </w:r>
          </w:p>
        </w:tc>
        <w:tc>
          <w:tcPr>
            <w:tcW w:type="dxa" w:w="1440"/>
          </w:tcPr>
          <w:p>
            <w:pPr>
              <w:spacing w:after="20"/>
            </w:pPr>
            <w:r>
              <w:rPr>
                <w:color w:val="1C3A36"/>
                <w:sz w:val="14"/>
              </w:rPr>
              <w:t>1.20%, 2.00%, 1.80%, 1.50%, 1.20%</w:t>
            </w:r>
          </w:p>
        </w:tc>
        <w:tc>
          <w:tcPr>
            <w:tcW w:type="dxa" w:w="936"/>
          </w:tcPr>
          <w:p>
            <w:pPr>
              <w:spacing w:after="20"/>
            </w:pPr>
            <w:r>
              <w:rPr>
                <w:color w:val="1C3A36"/>
                <w:sz w:val="14"/>
              </w:rPr>
              <w:t>5 Aug 2026</w:t>
            </w:r>
          </w:p>
        </w:tc>
        <w:tc>
          <w:tcPr>
            <w:tcW w:type="dxa" w:w="6048"/>
          </w:tcPr>
          <w:p>
            <w:pPr>
              <w:spacing w:after="20"/>
            </w:pPr>
            <w:r>
              <w:rPr>
                <w:color w:val="1C3A36"/>
                <w:sz w:val="14"/>
              </w:rPr>
              <w:t>Retail fuel volume growth. Anchored on the 1.0% achieved in the first half of 2026 and the 6.7% of FY2025, then set from the two forces that actually move it: network expansion (the network went from 939 to 1,045 stations year on year, with Saudi Arabia growing 65% on a capital-light dealer-owned model) against a slow electric-vehicle drag that builds through the decade. The taper to 1.2% by FY2030 is the drag being priced, not an assumption of decline</w:t>
            </w:r>
          </w:p>
        </w:tc>
      </w:tr>
      <w:tr>
        <w:trPr>
          <w:cantSplit/>
        </w:trPr>
        <w:tc>
          <w:tcPr>
            <w:tcW w:type="dxa" w:w="1656"/>
          </w:tcPr>
          <w:p>
            <w:pPr>
              <w:spacing w:after="20"/>
            </w:pPr>
            <w:r>
              <w:rPr>
                <w:color w:val="1C3A36"/>
                <w:sz w:val="14"/>
              </w:rPr>
              <w:t>vol retail h125</w:t>
            </w:r>
          </w:p>
        </w:tc>
        <w:tc>
          <w:tcPr>
            <w:tcW w:type="dxa" w:w="1440"/>
          </w:tcPr>
          <w:p>
            <w:pPr>
              <w:spacing w:after="20"/>
            </w:pPr>
            <w:r>
              <w:rPr>
                <w:color w:val="1C3A36"/>
                <w:sz w:val="14"/>
              </w:rPr>
              <w:t>5,324</w:t>
            </w:r>
          </w:p>
        </w:tc>
        <w:tc>
          <w:tcPr>
            <w:tcW w:type="dxa" w:w="936"/>
          </w:tcPr>
          <w:p>
            <w:pPr>
              <w:spacing w:after="20"/>
            </w:pPr>
            <w:r>
              <w:rPr>
                <w:color w:val="1C3A36"/>
                <w:sz w:val="14"/>
              </w:rPr>
              <w:t>30 Jun 2025</w:t>
            </w:r>
          </w:p>
        </w:tc>
        <w:tc>
          <w:tcPr>
            <w:tcW w:type="dxa" w:w="6048"/>
          </w:tcPr>
          <w:p>
            <w:pPr>
              <w:spacing w:after="20"/>
            </w:pPr>
            <w:r>
              <w:rPr>
                <w:color w:val="1C3A36"/>
                <w:sz w:val="14"/>
              </w:rPr>
              <w:t>ADNOC Distribution, results presentation, second quarter and first half 2026, 5 August 2026, operating-performance appendix, fuel volumes: Retail (B2C), prior-period comparative</w:t>
            </w:r>
          </w:p>
        </w:tc>
      </w:tr>
      <w:tr>
        <w:trPr>
          <w:cantSplit/>
        </w:trPr>
        <w:tc>
          <w:tcPr>
            <w:tcW w:type="dxa" w:w="1656"/>
          </w:tcPr>
          <w:p>
            <w:pPr>
              <w:spacing w:after="20"/>
            </w:pPr>
            <w:r>
              <w:rPr>
                <w:color w:val="1C3A36"/>
                <w:sz w:val="14"/>
              </w:rPr>
              <w:t>vol retail h126</w:t>
            </w:r>
          </w:p>
        </w:tc>
        <w:tc>
          <w:tcPr>
            <w:tcW w:type="dxa" w:w="1440"/>
          </w:tcPr>
          <w:p>
            <w:pPr>
              <w:spacing w:after="20"/>
            </w:pPr>
            <w:r>
              <w:rPr>
                <w:color w:val="1C3A36"/>
                <w:sz w:val="14"/>
              </w:rPr>
              <w:t>5,376</w:t>
            </w:r>
          </w:p>
        </w:tc>
        <w:tc>
          <w:tcPr>
            <w:tcW w:type="dxa" w:w="936"/>
          </w:tcPr>
          <w:p>
            <w:pPr>
              <w:spacing w:after="20"/>
            </w:pPr>
            <w:r>
              <w:rPr>
                <w:color w:val="1C3A36"/>
                <w:sz w:val="14"/>
              </w:rPr>
              <w:t>30 Jun 2026</w:t>
            </w:r>
          </w:p>
        </w:tc>
        <w:tc>
          <w:tcPr>
            <w:tcW w:type="dxa" w:w="6048"/>
          </w:tcPr>
          <w:p>
            <w:pPr>
              <w:spacing w:after="20"/>
            </w:pPr>
            <w:r>
              <w:rPr>
                <w:color w:val="1C3A36"/>
                <w:sz w:val="14"/>
              </w:rPr>
              <w:t>ADNOC Distribution, results presentation, second quarter and first half 2026, 5 August 2026, operating-performance appendix, fuel volumes: Retail (B2C), six months</w:t>
            </w:r>
          </w:p>
        </w:tc>
      </w:tr>
    </w:tbl>
    <w:p>
      <w:pPr>
        <w:spacing w:after="40"/>
      </w:pPr>
    </w:p>
    <w:p>
      <w:pPr>
        <w:spacing w:after="200" w:before="0"/>
      </w:pPr>
      <w:r>
        <w:rPr>
          <w:b w:val="0"/>
          <w:i/>
          <w:color w:val="6E7B77"/>
          <w:sz w:val="17"/>
        </w:rPr>
        <w:t>Table 5 — every company-layer input, in alphabetical order.</w:t>
      </w:r>
    </w:p>
    <w:p>
      <w:pPr>
        <w:spacing w:after="80" w:before="200"/>
      </w:pPr>
      <w:r>
        <w:rPr>
          <w:b/>
          <w:i w:val="0"/>
          <w:color w:val="1C3A36"/>
          <w:sz w:val="24"/>
        </w:rPr>
        <w:t>Country layer — 10 inputs</w:t>
      </w:r>
    </w:p>
    <w:p>
      <w:pPr>
        <w:spacing w:after="80" w:before="0"/>
      </w:pPr>
      <w:r>
        <w:rPr>
          <w:b w:val="0"/>
          <w:i/>
          <w:color w:val="6E7B77"/>
          <w:sz w:val="18"/>
        </w:rPr>
        <w:t>The United Arab Emirates — policy rates, the government bond curve, the tax regime, inflation and country risk.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440"/>
        <w:gridCol w:w="936"/>
        <w:gridCol w:w="6048"/>
      </w:tblGrid>
      <w:tr>
        <w:trPr>
          <w:cantSplit/>
        </w:trPr>
        <w:tc>
          <w:tcPr>
            <w:tcW w:type="dxa" w:w="1656"/>
            <w:shd w:val="clear" w:color="auto" w:fill="EAF0EE"/>
          </w:tcPr>
          <w:p>
            <w:pPr>
              <w:spacing w:after="20"/>
            </w:pPr>
            <w:r>
              <w:rPr>
                <w:b/>
                <w:color w:val="1C3A36"/>
                <w:sz w:val="14"/>
              </w:rPr>
              <w:t>Input</w:t>
            </w:r>
          </w:p>
        </w:tc>
        <w:tc>
          <w:tcPr>
            <w:tcW w:type="dxa" w:w="1440"/>
            <w:shd w:val="clear" w:color="auto" w:fill="EAF0EE"/>
          </w:tcPr>
          <w:p>
            <w:pPr>
              <w:spacing w:after="20"/>
            </w:pPr>
            <w:r>
              <w:rPr>
                <w:b/>
                <w:color w:val="1C3A36"/>
                <w:sz w:val="14"/>
              </w:rPr>
              <w:t>Value</w:t>
            </w:r>
          </w:p>
        </w:tc>
        <w:tc>
          <w:tcPr>
            <w:tcW w:type="dxa" w:w="936"/>
            <w:shd w:val="clear" w:color="auto" w:fill="EAF0EE"/>
          </w:tcPr>
          <w:p>
            <w:pPr>
              <w:spacing w:after="20"/>
            </w:pPr>
            <w:r>
              <w:rPr>
                <w:b/>
                <w:color w:val="1C3A36"/>
                <w:sz w:val="14"/>
              </w:rPr>
              <w:t>Date</w:t>
            </w:r>
          </w:p>
        </w:tc>
        <w:tc>
          <w:tcPr>
            <w:tcW w:type="dxa" w:w="6048"/>
            <w:shd w:val="clear" w:color="auto" w:fill="EAF0EE"/>
          </w:tcPr>
          <w:p>
            <w:pPr>
              <w:spacing w:after="20"/>
            </w:pPr>
            <w:r>
              <w:rPr>
                <w:b/>
                <w:color w:val="1C3A36"/>
                <w:sz w:val="14"/>
              </w:rPr>
              <w:t>Source, and how the figure was built</w:t>
            </w:r>
          </w:p>
        </w:tc>
      </w:tr>
      <w:tr>
        <w:trPr>
          <w:cantSplit/>
        </w:trPr>
        <w:tc>
          <w:tcPr>
            <w:tcW w:type="dxa" w:w="1656"/>
          </w:tcPr>
          <w:p>
            <w:pPr>
              <w:spacing w:after="20"/>
            </w:pPr>
            <w:r>
              <w:rPr>
                <w:color w:val="1C3A36"/>
                <w:sz w:val="14"/>
              </w:rPr>
              <w:t>cash opex g</w:t>
            </w:r>
          </w:p>
        </w:tc>
        <w:tc>
          <w:tcPr>
            <w:tcW w:type="dxa" w:w="1440"/>
          </w:tcPr>
          <w:p>
            <w:pPr>
              <w:spacing w:after="20"/>
            </w:pPr>
            <w:r>
              <w:rPr>
                <w:color w:val="1C3A36"/>
                <w:sz w:val="14"/>
              </w:rPr>
              <w:t>4.00%, 4.00%, 4.00%, 4.00%, 4.00%</w:t>
            </w:r>
          </w:p>
        </w:tc>
        <w:tc>
          <w:tcPr>
            <w:tcW w:type="dxa" w:w="936"/>
          </w:tcPr>
          <w:p>
            <w:pPr>
              <w:spacing w:after="20"/>
            </w:pPr>
            <w:r>
              <w:rPr>
                <w:color w:val="1C3A36"/>
                <w:sz w:val="14"/>
              </w:rPr>
              <w:t>5 Aug 2026</w:t>
            </w:r>
          </w:p>
        </w:tc>
        <w:tc>
          <w:tcPr>
            <w:tcW w:type="dxa" w:w="6048"/>
          </w:tcPr>
          <w:p>
            <w:pPr>
              <w:spacing w:after="20"/>
            </w:pPr>
            <w:r>
              <w:rPr>
                <w:color w:val="1C3A36"/>
                <w:sz w:val="14"/>
              </w:rPr>
              <w:t>Cash operating cost growth. Staff, utilities, repairs and marketing are domestic service costs, so they take the domestic inflation escalator of about 2% plus roughly 2.5% of network growth, less the company's stated efficiency programme of up to AED 184 million of like-for-like cost reduction over 2024-2028. The first half of 2026 grew 4.0% year on year, which is the rate carried</w:t>
            </w:r>
          </w:p>
        </w:tc>
      </w:tr>
      <w:tr>
        <w:trPr>
          <w:cantSplit/>
        </w:trPr>
        <w:tc>
          <w:tcPr>
            <w:tcW w:type="dxa" w:w="1656"/>
          </w:tcPr>
          <w:p>
            <w:pPr>
              <w:spacing w:after="20"/>
            </w:pPr>
            <w:r>
              <w:rPr>
                <w:color w:val="1C3A36"/>
                <w:sz w:val="14"/>
              </w:rPr>
              <w:t>cb base rate</w:t>
            </w:r>
          </w:p>
        </w:tc>
        <w:tc>
          <w:tcPr>
            <w:tcW w:type="dxa" w:w="1440"/>
          </w:tcPr>
          <w:p>
            <w:pPr>
              <w:spacing w:after="20"/>
            </w:pPr>
            <w:r>
              <w:rPr>
                <w:color w:val="1C3A36"/>
                <w:sz w:val="14"/>
              </w:rPr>
              <w:t>3.65%</w:t>
            </w:r>
          </w:p>
        </w:tc>
        <w:tc>
          <w:tcPr>
            <w:tcW w:type="dxa" w:w="936"/>
          </w:tcPr>
          <w:p>
            <w:pPr>
              <w:spacing w:after="20"/>
            </w:pPr>
            <w:r>
              <w:rPr>
                <w:color w:val="1C3A36"/>
                <w:sz w:val="14"/>
              </w:rPr>
              <w:t>29 Jul 2026</w:t>
            </w:r>
          </w:p>
        </w:tc>
        <w:tc>
          <w:tcPr>
            <w:tcW w:type="dxa" w:w="6048"/>
          </w:tcPr>
          <w:p>
            <w:pPr>
              <w:spacing w:after="20"/>
            </w:pPr>
            <w:r>
              <w:rPr>
                <w:color w:val="1C3A36"/>
                <w:sz w:val="14"/>
              </w:rPr>
              <w:t>Central Bank of the UAE, Base Rate applicable to the Overnight Deposit Facility, maintained at 3.65% at the July 2026 review</w:t>
            </w:r>
          </w:p>
        </w:tc>
      </w:tr>
      <w:tr>
        <w:trPr>
          <w:cantSplit/>
        </w:trPr>
        <w:tc>
          <w:tcPr>
            <w:tcW w:type="dxa" w:w="1656"/>
          </w:tcPr>
          <w:p>
            <w:pPr>
              <w:spacing w:after="20"/>
            </w:pPr>
            <w:r>
              <w:rPr>
                <w:color w:val="1C3A36"/>
                <w:sz w:val="14"/>
              </w:rPr>
              <w:t>crp</w:t>
            </w:r>
          </w:p>
        </w:tc>
        <w:tc>
          <w:tcPr>
            <w:tcW w:type="dxa" w:w="1440"/>
          </w:tcPr>
          <w:p>
            <w:pPr>
              <w:spacing w:after="20"/>
            </w:pPr>
            <w:r>
              <w:rPr>
                <w:color w:val="1C3A36"/>
                <w:sz w:val="14"/>
              </w:rPr>
              <w:t>0.640%</w:t>
            </w:r>
          </w:p>
        </w:tc>
        <w:tc>
          <w:tcPr>
            <w:tcW w:type="dxa" w:w="936"/>
          </w:tcPr>
          <w:p>
            <w:pPr>
              <w:spacing w:after="20"/>
            </w:pPr>
            <w:r>
              <w:rPr>
                <w:color w:val="1C3A36"/>
                <w:sz w:val="14"/>
              </w:rPr>
              <w:t>1 Jan 2026</w:t>
            </w:r>
          </w:p>
        </w:tc>
        <w:tc>
          <w:tcPr>
            <w:tcW w:type="dxa" w:w="6048"/>
          </w:tcPr>
          <w:p>
            <w:pPr>
              <w:spacing w:after="20"/>
            </w:pPr>
            <w:r>
              <w:rPr>
                <w:color w:val="1C3A36"/>
                <w:sz w:val="14"/>
              </w:rPr>
              <w:t>Damodaran country risk premium file, January 2026 vintage: United Arab Emirates country risk premium</w:t>
            </w:r>
          </w:p>
        </w:tc>
      </w:tr>
      <w:tr>
        <w:trPr>
          <w:cantSplit/>
        </w:trPr>
        <w:tc>
          <w:tcPr>
            <w:tcW w:type="dxa" w:w="1656"/>
          </w:tcPr>
          <w:p>
            <w:pPr>
              <w:spacing w:after="20"/>
            </w:pPr>
            <w:r>
              <w:rPr>
                <w:color w:val="1C3A36"/>
                <w:sz w:val="14"/>
              </w:rPr>
              <w:t>erp mature</w:t>
            </w:r>
          </w:p>
        </w:tc>
        <w:tc>
          <w:tcPr>
            <w:tcW w:type="dxa" w:w="1440"/>
          </w:tcPr>
          <w:p>
            <w:pPr>
              <w:spacing w:after="20"/>
            </w:pPr>
            <w:r>
              <w:rPr>
                <w:color w:val="1C3A36"/>
                <w:sz w:val="14"/>
              </w:rPr>
              <w:t>4.23%</w:t>
            </w:r>
          </w:p>
        </w:tc>
        <w:tc>
          <w:tcPr>
            <w:tcW w:type="dxa" w:w="936"/>
          </w:tcPr>
          <w:p>
            <w:pPr>
              <w:spacing w:after="20"/>
            </w:pPr>
            <w:r>
              <w:rPr>
                <w:color w:val="1C3A36"/>
                <w:sz w:val="14"/>
              </w:rPr>
              <w:t>1 Jan 2026</w:t>
            </w:r>
          </w:p>
        </w:tc>
        <w:tc>
          <w:tcPr>
            <w:tcW w:type="dxa" w:w="6048"/>
          </w:tcPr>
          <w:p>
            <w:pPr>
              <w:spacing w:after="20"/>
            </w:pPr>
            <w:r>
              <w:rPr>
                <w:color w:val="1C3A36"/>
                <w:sz w:val="14"/>
              </w:rPr>
              <w:t>Damodaran country risk premium file, January 2026 vintage: mature-market equity risk premium</w:t>
            </w:r>
          </w:p>
        </w:tc>
      </w:tr>
      <w:tr>
        <w:trPr>
          <w:cantSplit/>
        </w:trPr>
        <w:tc>
          <w:tcPr>
            <w:tcW w:type="dxa" w:w="1656"/>
          </w:tcPr>
          <w:p>
            <w:pPr>
              <w:spacing w:after="20"/>
            </w:pPr>
            <w:r>
              <w:rPr>
                <w:color w:val="1C3A36"/>
                <w:sz w:val="14"/>
              </w:rPr>
              <w:t>erp total</w:t>
            </w:r>
          </w:p>
        </w:tc>
        <w:tc>
          <w:tcPr>
            <w:tcW w:type="dxa" w:w="1440"/>
          </w:tcPr>
          <w:p>
            <w:pPr>
              <w:spacing w:after="20"/>
            </w:pPr>
            <w:r>
              <w:rPr>
                <w:color w:val="1C3A36"/>
                <w:sz w:val="14"/>
              </w:rPr>
              <w:t>4.87%</w:t>
            </w:r>
          </w:p>
        </w:tc>
        <w:tc>
          <w:tcPr>
            <w:tcW w:type="dxa" w:w="936"/>
          </w:tcPr>
          <w:p>
            <w:pPr>
              <w:spacing w:after="20"/>
            </w:pPr>
            <w:r>
              <w:rPr>
                <w:color w:val="1C3A36"/>
                <w:sz w:val="14"/>
              </w:rPr>
              <w:t>1 Jan 2026</w:t>
            </w:r>
          </w:p>
        </w:tc>
        <w:tc>
          <w:tcPr>
            <w:tcW w:type="dxa" w:w="6048"/>
          </w:tcPr>
          <w:p>
            <w:pPr>
              <w:spacing w:after="20"/>
            </w:pPr>
            <w:r>
              <w:rPr>
                <w:color w:val="1C3A36"/>
                <w:sz w:val="14"/>
              </w:rPr>
              <w:t>Damodaran country risk premium file, January 2026 vintage: United Arab Emirates total equity risk premium 4.87%, being the 4.23% mature-market premium plus a 0.64% country risk premium</w:t>
            </w:r>
          </w:p>
        </w:tc>
      </w:tr>
      <w:tr>
        <w:trPr>
          <w:cantSplit/>
        </w:trPr>
        <w:tc>
          <w:tcPr>
            <w:tcW w:type="dxa" w:w="1656"/>
          </w:tcPr>
          <w:p>
            <w:pPr>
              <w:spacing w:after="20"/>
            </w:pPr>
            <w:r>
              <w:rPr>
                <w:color w:val="1C3A36"/>
                <w:sz w:val="14"/>
              </w:rPr>
              <w:t>other income g</w:t>
            </w:r>
          </w:p>
        </w:tc>
        <w:tc>
          <w:tcPr>
            <w:tcW w:type="dxa" w:w="1440"/>
          </w:tcPr>
          <w:p>
            <w:pPr>
              <w:spacing w:after="20"/>
            </w:pPr>
            <w:r>
              <w:rPr>
                <w:color w:val="1C3A36"/>
                <w:sz w:val="14"/>
              </w:rPr>
              <w:t>3.00%, 3.00%, 3.00%, 3.00%, 3.00%</w:t>
            </w:r>
          </w:p>
        </w:tc>
        <w:tc>
          <w:tcPr>
            <w:tcW w:type="dxa" w:w="936"/>
          </w:tcPr>
          <w:p>
            <w:pPr>
              <w:spacing w:after="20"/>
            </w:pPr>
            <w:r>
              <w:rPr>
                <w:color w:val="1C3A36"/>
                <w:sz w:val="14"/>
              </w:rPr>
              <w:t>5 Aug 2026</w:t>
            </w:r>
          </w:p>
        </w:tc>
        <w:tc>
          <w:tcPr>
            <w:tcW w:type="dxa" w:w="6048"/>
          </w:tcPr>
          <w:p>
            <w:pPr>
              <w:spacing w:after="20"/>
            </w:pPr>
            <w:r>
              <w:rPr>
                <w:color w:val="1C3A36"/>
                <w:sz w:val="14"/>
              </w:rPr>
              <w:t>Other income growth, held at the domestic inflation escalator</w:t>
            </w:r>
          </w:p>
        </w:tc>
      </w:tr>
      <w:tr>
        <w:trPr>
          <w:cantSplit/>
        </w:trPr>
        <w:tc>
          <w:tcPr>
            <w:tcW w:type="dxa" w:w="1656"/>
          </w:tcPr>
          <w:p>
            <w:pPr>
              <w:spacing w:after="20"/>
            </w:pPr>
            <w:r>
              <w:rPr>
                <w:color w:val="1C3A36"/>
                <w:sz w:val="14"/>
              </w:rPr>
              <w:t>rf observed</w:t>
            </w:r>
          </w:p>
        </w:tc>
        <w:tc>
          <w:tcPr>
            <w:tcW w:type="dxa" w:w="1440"/>
          </w:tcPr>
          <w:p>
            <w:pPr>
              <w:spacing w:after="20"/>
            </w:pPr>
            <w:r>
              <w:rPr>
                <w:color w:val="1C3A36"/>
                <w:sz w:val="14"/>
              </w:rPr>
              <w:t>4.48%</w:t>
            </w:r>
          </w:p>
        </w:tc>
        <w:tc>
          <w:tcPr>
            <w:tcW w:type="dxa" w:w="936"/>
          </w:tcPr>
          <w:p>
            <w:pPr>
              <w:spacing w:after="20"/>
            </w:pPr>
            <w:r>
              <w:rPr>
                <w:color w:val="1C3A36"/>
                <w:sz w:val="14"/>
              </w:rPr>
              <w:t>30 Jul 2026</w:t>
            </w:r>
          </w:p>
        </w:tc>
        <w:tc>
          <w:tcPr>
            <w:tcW w:type="dxa" w:w="6048"/>
          </w:tcPr>
          <w:p>
            <w:pPr>
              <w:spacing w:after="20"/>
            </w:pPr>
            <w:r>
              <w:rPr>
                <w:color w:val="1C3A36"/>
                <w:sz w:val="14"/>
              </w:rPr>
              <w:t>UAE Ministry of Finance, July 2026 auction of dirham-denominated federal Treasury Bonds: yield to maturity of 4.48% on the January 2031 tranche, 4 basis points above comparable US Treasuries. This is a local-currency sovereign yield at a tenor matching the forecast horizon, not a US Treasury substituted for one</w:t>
            </w:r>
          </w:p>
        </w:tc>
      </w:tr>
      <w:tr>
        <w:trPr>
          <w:cantSplit/>
        </w:trPr>
        <w:tc>
          <w:tcPr>
            <w:tcW w:type="dxa" w:w="1656"/>
          </w:tcPr>
          <w:p>
            <w:pPr>
              <w:spacing w:after="20"/>
            </w:pPr>
            <w:r>
              <w:rPr>
                <w:color w:val="1C3A36"/>
                <w:sz w:val="14"/>
              </w:rPr>
              <w:t>sov spread</w:t>
            </w:r>
          </w:p>
        </w:tc>
        <w:tc>
          <w:tcPr>
            <w:tcW w:type="dxa" w:w="1440"/>
          </w:tcPr>
          <w:p>
            <w:pPr>
              <w:spacing w:after="20"/>
            </w:pPr>
            <w:r>
              <w:rPr>
                <w:color w:val="1C3A36"/>
                <w:sz w:val="14"/>
              </w:rPr>
              <w:t>0.040%</w:t>
            </w:r>
          </w:p>
        </w:tc>
        <w:tc>
          <w:tcPr>
            <w:tcW w:type="dxa" w:w="936"/>
          </w:tcPr>
          <w:p>
            <w:pPr>
              <w:spacing w:after="20"/>
            </w:pPr>
            <w:r>
              <w:rPr>
                <w:color w:val="1C3A36"/>
                <w:sz w:val="14"/>
              </w:rPr>
              <w:t>30 Jul 2026</w:t>
            </w:r>
          </w:p>
        </w:tc>
        <w:tc>
          <w:tcPr>
            <w:tcW w:type="dxa" w:w="6048"/>
          </w:tcPr>
          <w:p>
            <w:pPr>
              <w:spacing w:after="20"/>
            </w:pPr>
            <w:r>
              <w:rPr>
                <w:color w:val="1C3A36"/>
                <w:sz w:val="14"/>
              </w:rPr>
              <w:t>Sovereign default spread ACTUALLY EMBEDDED IN THE INSTRUMENT the risk-free rate is taken from: the UAE Ministry of Finance July-2026 auction cleared the January-2031 dirham Treasury Bond at 4.48%, a spread of 4 basis points over comparable US Treasuries. CHANGED 09-Aug-2026, superseding the 0.42% ratings-based figure from the published country-risk file. The normalisation exists to remove sovereign credit risk from the observed yield so it is not counted twice inside the equity risk premium; the amount to remove is the amount the yield actually contains. Removing 42 basis points from a bond carrying 4 produced a normalised rate 38 basis points BELOW the matched-tenor US Treasury and 59 below the US 10-year, which cannot be right for a currency hard-pegged to the dollar. The 0.42% ratings figure remains the basis of the country risk premium added back inside the equity risk premium, so country risk still enters exactly once</w:t>
            </w:r>
          </w:p>
        </w:tc>
      </w:tr>
      <w:tr>
        <w:trPr>
          <w:cantSplit/>
        </w:trPr>
        <w:tc>
          <w:tcPr>
            <w:tcW w:type="dxa" w:w="1656"/>
          </w:tcPr>
          <w:p>
            <w:pPr>
              <w:spacing w:after="20"/>
            </w:pPr>
            <w:r>
              <w:rPr>
                <w:color w:val="1C3A36"/>
                <w:sz w:val="14"/>
              </w:rPr>
              <w:t>tax dmtt</w:t>
            </w:r>
          </w:p>
        </w:tc>
        <w:tc>
          <w:tcPr>
            <w:tcW w:type="dxa" w:w="1440"/>
          </w:tcPr>
          <w:p>
            <w:pPr>
              <w:spacing w:after="20"/>
            </w:pPr>
            <w:r>
              <w:rPr>
                <w:color w:val="1C3A36"/>
                <w:sz w:val="14"/>
              </w:rPr>
              <w:t>15.00%</w:t>
            </w:r>
          </w:p>
        </w:tc>
        <w:tc>
          <w:tcPr>
            <w:tcW w:type="dxa" w:w="936"/>
          </w:tcPr>
          <w:p>
            <w:pPr>
              <w:spacing w:after="20"/>
            </w:pPr>
            <w:r>
              <w:rPr>
                <w:color w:val="1C3A36"/>
                <w:sz w:val="14"/>
              </w:rPr>
              <w:t>1 Jan 2025</w:t>
            </w:r>
          </w:p>
        </w:tc>
        <w:tc>
          <w:tcPr>
            <w:tcW w:type="dxa" w:w="6048"/>
          </w:tcPr>
          <w:p>
            <w:pPr>
              <w:spacing w:after="20"/>
            </w:pPr>
            <w:r>
              <w:rPr>
                <w:color w:val="1C3A36"/>
                <w:sz w:val="14"/>
              </w:rPr>
              <w:t>United Arab Emirates domestic minimum top-up tax of 15%, in force for financial years beginning on or after 1 January 2025 for groups with consolidated revenue above EUR 750 million. The FY2025 audited tax reconciliation does NOT apply it — that note reconciles at the 9% domestic rate for an effective 10.2% — so the base case follows the filing and the 15% case is priced as a sensitivity rather than assumed</w:t>
            </w:r>
          </w:p>
        </w:tc>
      </w:tr>
      <w:tr>
        <w:trPr>
          <w:cantSplit/>
        </w:trPr>
        <w:tc>
          <w:tcPr>
            <w:tcW w:type="dxa" w:w="1656"/>
          </w:tcPr>
          <w:p>
            <w:pPr>
              <w:spacing w:after="20"/>
            </w:pPr>
            <w:r>
              <w:rPr>
                <w:color w:val="1C3A36"/>
                <w:sz w:val="14"/>
              </w:rPr>
              <w:t>tax statutory</w:t>
            </w:r>
          </w:p>
        </w:tc>
        <w:tc>
          <w:tcPr>
            <w:tcW w:type="dxa" w:w="1440"/>
          </w:tcPr>
          <w:p>
            <w:pPr>
              <w:spacing w:after="20"/>
            </w:pPr>
            <w:r>
              <w:rPr>
                <w:color w:val="1C3A36"/>
                <w:sz w:val="14"/>
              </w:rPr>
              <w:t>9.00%</w:t>
            </w:r>
          </w:p>
        </w:tc>
        <w:tc>
          <w:tcPr>
            <w:tcW w:type="dxa" w:w="936"/>
          </w:tcPr>
          <w:p>
            <w:pPr>
              <w:spacing w:after="20"/>
            </w:pPr>
            <w:r>
              <w:rPr>
                <w:color w:val="1C3A36"/>
                <w:sz w:val="14"/>
              </w:rPr>
              <w:t>1 Jun 2023</w:t>
            </w:r>
          </w:p>
        </w:tc>
        <w:tc>
          <w:tcPr>
            <w:tcW w:type="dxa" w:w="6048"/>
          </w:tcPr>
          <w:p>
            <w:pPr>
              <w:spacing w:after="20"/>
            </w:pPr>
            <w:r>
              <w:rPr>
                <w:color w:val="1C3A36"/>
                <w:sz w:val="14"/>
              </w:rPr>
              <w:t>United Arab Emirates federal corporate tax at 9%, in force for financial years beginning on or after 1 June 2023</w:t>
            </w:r>
          </w:p>
        </w:tc>
      </w:tr>
    </w:tbl>
    <w:p>
      <w:pPr>
        <w:spacing w:after="40"/>
      </w:pPr>
    </w:p>
    <w:p>
      <w:pPr>
        <w:spacing w:after="200" w:before="0"/>
      </w:pPr>
      <w:r>
        <w:rPr>
          <w:b w:val="0"/>
          <w:i/>
          <w:color w:val="6E7B77"/>
          <w:sz w:val="17"/>
        </w:rPr>
        <w:t>Table 6 — every country-layer input, in alphabetical order.</w:t>
      </w:r>
    </w:p>
    <w:p>
      <w:pPr>
        <w:spacing w:after="80" w:before="200"/>
      </w:pPr>
      <w:r>
        <w:rPr>
          <w:b/>
          <w:i w:val="0"/>
          <w:color w:val="1C3A36"/>
          <w:sz w:val="24"/>
        </w:rPr>
        <w:t>Industry layer — 2 inputs</w:t>
      </w:r>
    </w:p>
    <w:p>
      <w:pPr>
        <w:spacing w:after="80" w:before="0"/>
      </w:pPr>
      <w:r>
        <w:rPr>
          <w:b w:val="0"/>
          <w:i/>
          <w:color w:val="6E7B77"/>
          <w:sz w:val="18"/>
        </w:rPr>
        <w:t>Fuel retailing as a business — regulated margin mechanics, network economics and the transition away from liquid fuel.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440"/>
        <w:gridCol w:w="936"/>
        <w:gridCol w:w="6048"/>
      </w:tblGrid>
      <w:tr>
        <w:trPr>
          <w:cantSplit/>
        </w:trPr>
        <w:tc>
          <w:tcPr>
            <w:tcW w:type="dxa" w:w="1656"/>
            <w:shd w:val="clear" w:color="auto" w:fill="EAF0EE"/>
          </w:tcPr>
          <w:p>
            <w:pPr>
              <w:spacing w:after="20"/>
            </w:pPr>
            <w:r>
              <w:rPr>
                <w:b/>
                <w:color w:val="1C3A36"/>
                <w:sz w:val="14"/>
              </w:rPr>
              <w:t>Input</w:t>
            </w:r>
          </w:p>
        </w:tc>
        <w:tc>
          <w:tcPr>
            <w:tcW w:type="dxa" w:w="1440"/>
            <w:shd w:val="clear" w:color="auto" w:fill="EAF0EE"/>
          </w:tcPr>
          <w:p>
            <w:pPr>
              <w:spacing w:after="20"/>
            </w:pPr>
            <w:r>
              <w:rPr>
                <w:b/>
                <w:color w:val="1C3A36"/>
                <w:sz w:val="14"/>
              </w:rPr>
              <w:t>Value</w:t>
            </w:r>
          </w:p>
        </w:tc>
        <w:tc>
          <w:tcPr>
            <w:tcW w:type="dxa" w:w="936"/>
            <w:shd w:val="clear" w:color="auto" w:fill="EAF0EE"/>
          </w:tcPr>
          <w:p>
            <w:pPr>
              <w:spacing w:after="20"/>
            </w:pPr>
            <w:r>
              <w:rPr>
                <w:b/>
                <w:color w:val="1C3A36"/>
                <w:sz w:val="14"/>
              </w:rPr>
              <w:t>Date</w:t>
            </w:r>
          </w:p>
        </w:tc>
        <w:tc>
          <w:tcPr>
            <w:tcW w:type="dxa" w:w="6048"/>
            <w:shd w:val="clear" w:color="auto" w:fill="EAF0EE"/>
          </w:tcPr>
          <w:p>
            <w:pPr>
              <w:spacing w:after="20"/>
            </w:pPr>
            <w:r>
              <w:rPr>
                <w:b/>
                <w:color w:val="1C3A36"/>
                <w:sz w:val="14"/>
              </w:rPr>
              <w:t>Source, and how the figure was built</w:t>
            </w:r>
          </w:p>
        </w:tc>
      </w:tr>
      <w:tr>
        <w:trPr>
          <w:cantSplit/>
        </w:trPr>
        <w:tc>
          <w:tcPr>
            <w:tcW w:type="dxa" w:w="1656"/>
          </w:tcPr>
          <w:p>
            <w:pPr>
              <w:spacing w:after="20"/>
            </w:pPr>
            <w:r>
              <w:rPr>
                <w:color w:val="1C3A36"/>
                <w:sz w:val="14"/>
              </w:rPr>
              <w:t>g terminal</w:t>
            </w:r>
          </w:p>
        </w:tc>
        <w:tc>
          <w:tcPr>
            <w:tcW w:type="dxa" w:w="1440"/>
          </w:tcPr>
          <w:p>
            <w:pPr>
              <w:spacing w:after="20"/>
            </w:pPr>
            <w:r>
              <w:rPr>
                <w:color w:val="1C3A36"/>
                <w:sz w:val="14"/>
              </w:rPr>
              <w:t>1.50%</w:t>
            </w:r>
          </w:p>
        </w:tc>
        <w:tc>
          <w:tcPr>
            <w:tcW w:type="dxa" w:w="936"/>
          </w:tcPr>
          <w:p>
            <w:pPr>
              <w:spacing w:after="20"/>
            </w:pPr>
            <w:r>
              <w:rPr>
                <w:color w:val="1C3A36"/>
                <w:sz w:val="14"/>
              </w:rPr>
              <w:t>5 Aug 2026</w:t>
            </w:r>
          </w:p>
        </w:tc>
        <w:tc>
          <w:tcPr>
            <w:tcW w:type="dxa" w:w="6048"/>
          </w:tcPr>
          <w:p>
            <w:pPr>
              <w:spacing w:after="20"/>
            </w:pPr>
            <w:r>
              <w:rPr>
                <w:color w:val="1C3A36"/>
                <w:sz w:val="14"/>
              </w:rPr>
              <w:t>Terminal growth. Set below the 2% domestic inflation escalator because a fuel retailer's principal volume driver faces a structural electric-vehicle drag beyond the forecast horizon; the non-fuel business grows faster but is a fifth of gross profit</w:t>
            </w:r>
          </w:p>
        </w:tc>
      </w:tr>
      <w:tr>
        <w:trPr>
          <w:cantSplit/>
        </w:trPr>
        <w:tc>
          <w:tcPr>
            <w:tcW w:type="dxa" w:w="1656"/>
          </w:tcPr>
          <w:p>
            <w:pPr>
              <w:spacing w:after="20"/>
            </w:pPr>
            <w:r>
              <w:rPr>
                <w:color w:val="1C3A36"/>
                <w:sz w:val="14"/>
              </w:rPr>
              <w:t>gp retfuel per l g</w:t>
            </w:r>
          </w:p>
        </w:tc>
        <w:tc>
          <w:tcPr>
            <w:tcW w:type="dxa" w:w="1440"/>
          </w:tcPr>
          <w:p>
            <w:pPr>
              <w:spacing w:after="20"/>
            </w:pPr>
            <w:r>
              <w:rPr>
                <w:color w:val="1C3A36"/>
                <w:sz w:val="14"/>
              </w:rPr>
              <w:t>2.00%, 2.00%, 2.00%, 2.00%, 2.00%</w:t>
            </w:r>
          </w:p>
        </w:tc>
        <w:tc>
          <w:tcPr>
            <w:tcW w:type="dxa" w:w="936"/>
          </w:tcPr>
          <w:p>
            <w:pPr>
              <w:spacing w:after="20"/>
            </w:pPr>
            <w:r>
              <w:rPr>
                <w:color w:val="1C3A36"/>
                <w:sz w:val="14"/>
              </w:rPr>
              <w:t>5 Aug 2026</w:t>
            </w:r>
          </w:p>
        </w:tc>
        <w:tc>
          <w:tcPr>
            <w:tcW w:type="dxa" w:w="6048"/>
          </w:tcPr>
          <w:p>
            <w:pPr>
              <w:spacing w:after="20"/>
            </w:pPr>
            <w:r>
              <w:rPr>
                <w:color w:val="1C3A36"/>
                <w:sz w:val="14"/>
              </w:rPr>
              <w:t>Escalation of the structural retail fuel margin per litre. This is a domestic regulated-margin line, so it takes the domestic inflation escalator, not a commodity path — the fuel itself is a pass-through cost and is escalated separately through the realised price</w:t>
            </w:r>
          </w:p>
        </w:tc>
      </w:tr>
    </w:tbl>
    <w:p>
      <w:pPr>
        <w:spacing w:after="40"/>
      </w:pPr>
    </w:p>
    <w:p>
      <w:pPr>
        <w:spacing w:after="200" w:before="0"/>
      </w:pPr>
      <w:r>
        <w:rPr>
          <w:b w:val="0"/>
          <w:i/>
          <w:color w:val="6E7B77"/>
          <w:sz w:val="17"/>
        </w:rPr>
        <w:t>Table 7 — every industry-layer input, in alphabetical order.</w:t>
      </w:r>
    </w:p>
    <w:p>
      <w:pPr>
        <w:spacing w:after="80" w:before="200"/>
      </w:pPr>
      <w:r>
        <w:rPr>
          <w:b/>
          <w:i w:val="0"/>
          <w:color w:val="1C3A36"/>
          <w:sz w:val="24"/>
        </w:rPr>
        <w:t>Global layer — 2 inputs</w:t>
      </w:r>
    </w:p>
    <w:p>
      <w:pPr>
        <w:spacing w:after="80" w:before="0"/>
      </w:pPr>
      <w:r>
        <w:rPr>
          <w:b w:val="0"/>
          <w:i/>
          <w:color w:val="6E7B77"/>
          <w:sz w:val="18"/>
        </w:rPr>
        <w:t>What is priced outside any one country — crude oil and the internationally traded product prices that reach the pump.</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440"/>
        <w:gridCol w:w="936"/>
        <w:gridCol w:w="6048"/>
      </w:tblGrid>
      <w:tr>
        <w:trPr>
          <w:cantSplit/>
        </w:trPr>
        <w:tc>
          <w:tcPr>
            <w:tcW w:type="dxa" w:w="1656"/>
            <w:shd w:val="clear" w:color="auto" w:fill="EAF0EE"/>
          </w:tcPr>
          <w:p>
            <w:pPr>
              <w:spacing w:after="20"/>
            </w:pPr>
            <w:r>
              <w:rPr>
                <w:b/>
                <w:color w:val="1C3A36"/>
                <w:sz w:val="14"/>
              </w:rPr>
              <w:t>Input</w:t>
            </w:r>
          </w:p>
        </w:tc>
        <w:tc>
          <w:tcPr>
            <w:tcW w:type="dxa" w:w="1440"/>
            <w:shd w:val="clear" w:color="auto" w:fill="EAF0EE"/>
          </w:tcPr>
          <w:p>
            <w:pPr>
              <w:spacing w:after="20"/>
            </w:pPr>
            <w:r>
              <w:rPr>
                <w:b/>
                <w:color w:val="1C3A36"/>
                <w:sz w:val="14"/>
              </w:rPr>
              <w:t>Value</w:t>
            </w:r>
          </w:p>
        </w:tc>
        <w:tc>
          <w:tcPr>
            <w:tcW w:type="dxa" w:w="936"/>
            <w:shd w:val="clear" w:color="auto" w:fill="EAF0EE"/>
          </w:tcPr>
          <w:p>
            <w:pPr>
              <w:spacing w:after="20"/>
            </w:pPr>
            <w:r>
              <w:rPr>
                <w:b/>
                <w:color w:val="1C3A36"/>
                <w:sz w:val="14"/>
              </w:rPr>
              <w:t>Date</w:t>
            </w:r>
          </w:p>
        </w:tc>
        <w:tc>
          <w:tcPr>
            <w:tcW w:type="dxa" w:w="6048"/>
            <w:shd w:val="clear" w:color="auto" w:fill="EAF0EE"/>
          </w:tcPr>
          <w:p>
            <w:pPr>
              <w:spacing w:after="20"/>
            </w:pPr>
            <w:r>
              <w:rPr>
                <w:b/>
                <w:color w:val="1C3A36"/>
                <w:sz w:val="14"/>
              </w:rPr>
              <w:t>Source, and how the figure was built</w:t>
            </w:r>
          </w:p>
        </w:tc>
      </w:tr>
      <w:tr>
        <w:trPr>
          <w:cantSplit/>
        </w:trPr>
        <w:tc>
          <w:tcPr>
            <w:tcW w:type="dxa" w:w="1656"/>
          </w:tcPr>
          <w:p>
            <w:pPr>
              <w:spacing w:after="20"/>
            </w:pPr>
            <w:r>
              <w:rPr>
                <w:color w:val="1C3A36"/>
                <w:sz w:val="14"/>
              </w:rPr>
              <w:t>price comm</w:t>
            </w:r>
          </w:p>
        </w:tc>
        <w:tc>
          <w:tcPr>
            <w:tcW w:type="dxa" w:w="1440"/>
          </w:tcPr>
          <w:p>
            <w:pPr>
              <w:spacing w:after="20"/>
            </w:pPr>
            <w:r>
              <w:rPr>
                <w:color w:val="1C3A36"/>
                <w:sz w:val="14"/>
              </w:rPr>
              <w:t>3.0500, 2.9500, 2.9800, 3.0100, 3.0400</w:t>
            </w:r>
          </w:p>
        </w:tc>
        <w:tc>
          <w:tcPr>
            <w:tcW w:type="dxa" w:w="936"/>
          </w:tcPr>
          <w:p>
            <w:pPr>
              <w:spacing w:after="20"/>
            </w:pPr>
            <w:r>
              <w:rPr>
                <w:color w:val="1C3A36"/>
                <w:sz w:val="14"/>
              </w:rPr>
              <w:t>5 Aug 2026</w:t>
            </w:r>
          </w:p>
        </w:tc>
        <w:tc>
          <w:tcPr>
            <w:tcW w:type="dxa" w:w="6048"/>
          </w:tcPr>
          <w:p>
            <w:pPr>
              <w:spacing w:after="20"/>
            </w:pPr>
            <w:r>
              <w:rPr>
                <w:color w:val="1C3A36"/>
                <w:sz w:val="14"/>
              </w:rPr>
              <w:t>Realised commercial price per litre, on the same crude path as the retail price. The first half of 2026 realised AED 3.3453 across corporate and aviation combined against AED 2.3924 a year earlier</w:t>
            </w:r>
          </w:p>
        </w:tc>
      </w:tr>
      <w:tr>
        <w:trPr>
          <w:cantSplit/>
        </w:trPr>
        <w:tc>
          <w:tcPr>
            <w:tcW w:type="dxa" w:w="1656"/>
          </w:tcPr>
          <w:p>
            <w:pPr>
              <w:spacing w:after="20"/>
            </w:pPr>
            <w:r>
              <w:rPr>
                <w:color w:val="1C3A36"/>
                <w:sz w:val="14"/>
              </w:rPr>
              <w:t>price retfuel</w:t>
            </w:r>
          </w:p>
        </w:tc>
        <w:tc>
          <w:tcPr>
            <w:tcW w:type="dxa" w:w="1440"/>
          </w:tcPr>
          <w:p>
            <w:pPr>
              <w:spacing w:after="20"/>
            </w:pPr>
            <w:r>
              <w:rPr>
                <w:color w:val="1C3A36"/>
                <w:sz w:val="14"/>
              </w:rPr>
              <w:t>2.4200, 2.3400, 2.3630, 2.3870, 2.4110</w:t>
            </w:r>
          </w:p>
        </w:tc>
        <w:tc>
          <w:tcPr>
            <w:tcW w:type="dxa" w:w="936"/>
          </w:tcPr>
          <w:p>
            <w:pPr>
              <w:spacing w:after="20"/>
            </w:pPr>
            <w:r>
              <w:rPr>
                <w:color w:val="1C3A36"/>
                <w:sz w:val="14"/>
              </w:rPr>
              <w:t>5 Aug 2026</w:t>
            </w:r>
          </w:p>
        </w:tc>
        <w:tc>
          <w:tcPr>
            <w:tcW w:type="dxa" w:w="6048"/>
          </w:tcPr>
          <w:p>
            <w:pPr>
              <w:spacing w:after="20"/>
            </w:pPr>
            <w:r>
              <w:rPr>
                <w:color w:val="1C3A36"/>
                <w:sz w:val="14"/>
              </w:rPr>
              <w:t>Realised retail price per litre. The first half of 2026 realised AED 2.4498 against AED 2.0233 a year earlier, a 21% increase driven by crude, not by the company. The path assumes the second half of 2026 moderates, crude normalises through FY2027, and the realised price then escalates at 1.0% a year. This is a globally-traded input on its own commodity path — it is deliberately NOT escalated on a domestic inflation index</w:t>
            </w:r>
          </w:p>
        </w:tc>
      </w:tr>
    </w:tbl>
    <w:p>
      <w:pPr>
        <w:spacing w:after="40"/>
      </w:pPr>
    </w:p>
    <w:p>
      <w:pPr>
        <w:spacing w:after="200" w:before="0"/>
      </w:pPr>
      <w:r>
        <w:rPr>
          <w:b w:val="0"/>
          <w:i/>
          <w:color w:val="6E7B77"/>
          <w:sz w:val="17"/>
        </w:rPr>
        <w:t>Table 8 — every global-layer input, in alphabetical order.</w:t>
      </w:r>
    </w:p>
    <w:p>
      <w:pPr>
        <w:spacing w:after="120" w:before="0"/>
      </w:pPr>
      <w:r>
        <w:rPr>
          <w:b w:val="0"/>
          <w:i/>
          <w:color w:val="6E7B77"/>
          <w:sz w:val="18"/>
        </w:rPr>
        <w:t>Total: 235 inputs published — 4 market, 217 company, 10 country, 2 industry, 2 global — every one of them carrying a value, a source, a date and a layer.</w:t>
      </w:r>
    </w:p>
    <w:p>
      <w:pPr>
        <w:spacing w:after="120" w:before="280"/>
      </w:pPr>
      <w:r>
        <w:rPr>
          <w:b/>
          <w:i w:val="0"/>
          <w:color w:val="1C3A36"/>
          <w:sz w:val="30"/>
        </w:rPr>
        <w:t>3. The judgements, and what would overturn each one</w:t>
      </w:r>
    </w:p>
    <w:p>
      <w:pPr>
        <w:spacing w:after="120" w:before="0"/>
      </w:pPr>
      <w:r>
        <w:rPr>
          <w:b w:val="0"/>
          <w:i w:val="0"/>
          <w:color w:val="1C3A36"/>
          <w:sz w:val="21"/>
        </w:rPr>
        <w:t>A judgement is a decision that the documents do not make for you. Each one below is stated with the evidence that would show it to be wrong. Stating the falsifier in advance is what separates a judgement from an assertion.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4392"/>
        <w:gridCol w:w="3600"/>
      </w:tblGrid>
      <w:tr>
        <w:trPr>
          <w:cantSplit/>
        </w:trPr>
        <w:tc>
          <w:tcPr>
            <w:tcW w:type="dxa" w:w="2088"/>
            <w:shd w:val="clear" w:color="auto" w:fill="EAF0EE"/>
          </w:tcPr>
          <w:p>
            <w:pPr>
              <w:spacing w:after="20"/>
            </w:pPr>
            <w:r>
              <w:rPr>
                <w:b/>
                <w:color w:val="1C3A36"/>
                <w:sz w:val="15"/>
              </w:rPr>
              <w:t>The judgement</w:t>
            </w:r>
          </w:p>
        </w:tc>
        <w:tc>
          <w:tcPr>
            <w:tcW w:type="dxa" w:w="4392"/>
            <w:shd w:val="clear" w:color="auto" w:fill="EAF0EE"/>
          </w:tcPr>
          <w:p>
            <w:pPr>
              <w:spacing w:after="20"/>
            </w:pPr>
            <w:r>
              <w:rPr>
                <w:b/>
                <w:color w:val="1C3A36"/>
                <w:sz w:val="15"/>
              </w:rPr>
              <w:t>What was decided, and on what evidence</w:t>
            </w:r>
          </w:p>
        </w:tc>
        <w:tc>
          <w:tcPr>
            <w:tcW w:type="dxa" w:w="3600"/>
            <w:shd w:val="clear" w:color="auto" w:fill="EAF0EE"/>
          </w:tcPr>
          <w:p>
            <w:pPr>
              <w:spacing w:after="20"/>
            </w:pPr>
            <w:r>
              <w:rPr>
                <w:b/>
                <w:color w:val="1C3A36"/>
                <w:sz w:val="15"/>
              </w:rPr>
              <w:t>What would overturn it</w:t>
            </w:r>
          </w:p>
        </w:tc>
      </w:tr>
      <w:tr>
        <w:trPr>
          <w:cantSplit/>
        </w:trPr>
        <w:tc>
          <w:tcPr>
            <w:tcW w:type="dxa" w:w="2088"/>
          </w:tcPr>
          <w:p>
            <w:pPr>
              <w:spacing w:after="20"/>
            </w:pPr>
            <w:r>
              <w:rPr>
                <w:color w:val="1C3A36"/>
                <w:sz w:val="15"/>
              </w:rPr>
              <w:t>Inventory movements are a timing effect and net to zero — THE CONTESTED JUDGEMENT, carried both ways</w:t>
            </w:r>
          </w:p>
        </w:tc>
        <w:tc>
          <w:tcPr>
            <w:tcW w:type="dxa" w:w="4392"/>
          </w:tcPr>
          <w:p>
            <w:pPr>
              <w:spacing w:after="20"/>
              <w:jc w:val="right"/>
            </w:pPr>
            <w:r>
              <w:rPr>
                <w:color w:val="1C3A36"/>
                <w:sz w:val="15"/>
              </w:rPr>
              <w:t>The company earned inventory gains of AED 254 million in FY2024, AED 335 million in FY2025 and AED 762 million in the first half of 2026 alone. The normalised frame carries the realised first half of 2026 and nothing after it, on the view that a timing difference between the cost of stock bought and the price at which it is sold nets to zero across a full crude cycle. The through-cycle frame instead carries the FY2024-FY2025 average of AED 294.500 million every year. Both frames run all the way to a value per share — AED 4.786 against AED 5.102 — and both are published. They are never averaged.</w:t>
            </w:r>
          </w:p>
        </w:tc>
        <w:tc>
          <w:tcPr>
            <w:tcW w:type="dxa" w:w="3600"/>
          </w:tcPr>
          <w:p>
            <w:pPr>
              <w:spacing w:after="20"/>
              <w:jc w:val="right"/>
            </w:pPr>
            <w:r>
              <w:rPr>
                <w:color w:val="1C3A36"/>
                <w:sz w:val="15"/>
              </w:rPr>
              <w:t>Several consecutive years of positive movements through a full crude price cycle, including a year in which the crude price falls. One falling-price year that still produced a gain would settle it; a falling-price year that produced a loss of similar size would settle it the other way.</w:t>
            </w:r>
          </w:p>
        </w:tc>
      </w:tr>
      <w:tr>
        <w:trPr>
          <w:cantSplit/>
        </w:trPr>
        <w:tc>
          <w:tcPr>
            <w:tcW w:type="dxa" w:w="2088"/>
          </w:tcPr>
          <w:p>
            <w:pPr>
              <w:spacing w:after="20"/>
            </w:pPr>
            <w:r>
              <w:rPr>
                <w:color w:val="1C3A36"/>
                <w:sz w:val="15"/>
              </w:rPr>
              <w:t>Terminal growth is set below domestic inflation</w:t>
            </w:r>
          </w:p>
        </w:tc>
        <w:tc>
          <w:tcPr>
            <w:tcW w:type="dxa" w:w="4392"/>
          </w:tcPr>
          <w:p>
            <w:pPr>
              <w:spacing w:after="20"/>
              <w:jc w:val="right"/>
            </w:pPr>
            <w:r>
              <w:rPr>
                <w:color w:val="1C3A36"/>
                <w:sz w:val="15"/>
              </w:rPr>
              <w:t>Growth beyond the forecast horizon is 1.50%, below the domestic inflation rate, because the volume base — litres of liquid fuel sold through a station network — faces substitution by electric vehicles that the non-fuel business, a fifth of gross profit, cannot offset. Terminal growth. Set below the 2% domestic inflation escalator because a fuel retailer's principal volume driver faces a structural electric-vehicle drag beyond the forecast horizon; the non-fuel business grows faster but is a fifth of gross profit.</w:t>
            </w:r>
          </w:p>
        </w:tc>
        <w:tc>
          <w:tcPr>
            <w:tcW w:type="dxa" w:w="3600"/>
          </w:tcPr>
          <w:p>
            <w:pPr>
              <w:spacing w:after="20"/>
              <w:jc w:val="right"/>
            </w:pPr>
            <w:r>
              <w:rPr>
                <w:color w:val="1C3A36"/>
                <w:sz w:val="15"/>
              </w:rPr>
              <w:t>The share of electric vehicles in new car sales in the United Arab Emirates staying in the low single digits through 2030, or fuel volumes per station rising rather than holding flat. Either would say the drag being priced is not there.</w:t>
            </w:r>
          </w:p>
        </w:tc>
      </w:tr>
      <w:tr>
        <w:trPr>
          <w:cantSplit/>
        </w:trPr>
        <w:tc>
          <w:tcPr>
            <w:tcW w:type="dxa" w:w="2088"/>
          </w:tcPr>
          <w:p>
            <w:pPr>
              <w:spacing w:after="20"/>
            </w:pPr>
            <w:r>
              <w:rPr>
                <w:color w:val="1C3A36"/>
                <w:sz w:val="15"/>
              </w:rPr>
              <w:t>The beta is measured against the local exchange, with the company taken out of the index</w:t>
            </w:r>
          </w:p>
        </w:tc>
        <w:tc>
          <w:tcPr>
            <w:tcW w:type="dxa" w:w="4392"/>
          </w:tcPr>
          <w:p>
            <w:pPr>
              <w:spacing w:after="20"/>
              <w:jc w:val="right"/>
            </w:pPr>
            <w:r>
              <w:rPr>
                <w:color w:val="1C3A36"/>
                <w:sz w:val="15"/>
              </w:rPr>
              <w:t>A beta of 0.649, from 257 weekly observations against the published FTSE ADX General Index, the headline index of the company's own exchange, over the five years to 24 Jul 2026. R-squared is 0.179 with a standard error of 0.087 and a 90% interval of 0.51 to 0.79. An equal-weight composite of the exchange's members, which earlier editions used as a stand-in for the index, gives 0.507 instead — lower because that composite is the more volatile series and beta divides by the market's own variance, so the stand-in was biased low by construction.</w:t>
            </w:r>
          </w:p>
        </w:tc>
        <w:tc>
          <w:tcPr>
            <w:tcW w:type="dxa" w:w="3600"/>
          </w:tcPr>
          <w:p>
            <w:pPr>
              <w:spacing w:after="20"/>
              <w:jc w:val="right"/>
            </w:pPr>
            <w:r>
              <w:rPr>
                <w:color w:val="1C3A36"/>
                <w:sz w:val="15"/>
              </w:rPr>
              <w:t>The regression losing significance — a standard error that stops being comfortably smaller than the coefficient — or the share's own volatility converging on the exchange median, which would pull the coefficient toward one.</w:t>
            </w:r>
          </w:p>
        </w:tc>
      </w:tr>
      <w:tr>
        <w:trPr>
          <w:cantSplit/>
        </w:trPr>
        <w:tc>
          <w:tcPr>
            <w:tcW w:type="dxa" w:w="2088"/>
          </w:tcPr>
          <w:p>
            <w:pPr>
              <w:spacing w:after="20"/>
            </w:pPr>
            <w:r>
              <w:rPr>
                <w:color w:val="1C3A36"/>
                <w:sz w:val="15"/>
              </w:rPr>
              <w:t>The base case excludes the proposed South African acquisition</w:t>
            </w:r>
          </w:p>
        </w:tc>
        <w:tc>
          <w:tcPr>
            <w:tcW w:type="dxa" w:w="4392"/>
          </w:tcPr>
          <w:p>
            <w:pPr>
              <w:spacing w:after="20"/>
              <w:jc w:val="right"/>
            </w:pPr>
            <w:r>
              <w:rPr>
                <w:color w:val="1C3A36"/>
                <w:sz w:val="15"/>
              </w:rPr>
              <w:t>Definitive agreement signed in July 2026 (disclosed as an event after the reporting date in the H1-2026 reviewed interim, note 25). Not yet closed as at the reporting date. The target is Shell Downstream South Africa (Pty) Ltd ('SDSA'), acquired from Shell South Africa Holdings (Pty) Ltd, at approximately US$1 billion on a 100% basis, subject to adjustments for net debt and working capital. It is described in the study and priced at zero in the base case, because a signed agreement that has not closed is not yet an earnings stream.</w:t>
            </w:r>
          </w:p>
        </w:tc>
        <w:tc>
          <w:tcPr>
            <w:tcW w:type="dxa" w:w="3600"/>
          </w:tcPr>
          <w:p>
            <w:pPr>
              <w:spacing w:after="20"/>
              <w:jc w:val="right"/>
            </w:pPr>
            <w:r>
              <w:rPr>
                <w:color w:val="1C3A36"/>
                <w:sz w:val="15"/>
              </w:rPr>
              <w:t>Completion, which the company expects in 2027. The company's own stated accretion is +6% in the first full year after completion to earnings per share in the first full year after completion.</w:t>
            </w:r>
          </w:p>
        </w:tc>
      </w:tr>
      <w:tr>
        <w:trPr>
          <w:cantSplit/>
        </w:trPr>
        <w:tc>
          <w:tcPr>
            <w:tcW w:type="dxa" w:w="2088"/>
          </w:tcPr>
          <w:p>
            <w:pPr>
              <w:spacing w:after="20"/>
            </w:pPr>
            <w:r>
              <w:rPr>
                <w:color w:val="1C3A36"/>
                <w:sz w:val="15"/>
              </w:rPr>
              <w:t>The minimum top-up tax is not applied in the base case</w:t>
            </w:r>
          </w:p>
        </w:tc>
        <w:tc>
          <w:tcPr>
            <w:tcW w:type="dxa" w:w="4392"/>
          </w:tcPr>
          <w:p>
            <w:pPr>
              <w:spacing w:after="20"/>
              <w:jc w:val="right"/>
            </w:pPr>
            <w:r>
              <w:rPr>
                <w:color w:val="1C3A36"/>
                <w:sz w:val="15"/>
              </w:rPr>
              <w:t>The forecast is taxed at the effective rate the audited accounts actually produced — 10.17% in FY2025, above the 9.00% federal rate because the Egyptian subsidiary is taxed higher. The 15.00% minimum top-up tax exists in law for groups of this size, but the FY2025 audited tax reconciliation does not apply it: that note reconciles at the federal rate. The base case follows the filing and the top-up case is priced separately.</w:t>
            </w:r>
          </w:p>
        </w:tc>
        <w:tc>
          <w:tcPr>
            <w:tcW w:type="dxa" w:w="3600"/>
          </w:tcPr>
          <w:p>
            <w:pPr>
              <w:spacing w:after="20"/>
              <w:jc w:val="right"/>
            </w:pPr>
            <w:r>
              <w:rPr>
                <w:color w:val="1C3A36"/>
                <w:sz w:val="15"/>
              </w:rPr>
              <w:t>A future filing showing a top-up charge, or a tax reconciliation that starts from the higher rate. That is a disclosure, not an inference, and it would arrive in an audited note.</w:t>
            </w:r>
          </w:p>
        </w:tc>
      </w:tr>
      <w:tr>
        <w:trPr>
          <w:cantSplit/>
        </w:trPr>
        <w:tc>
          <w:tcPr>
            <w:tcW w:type="dxa" w:w="2088"/>
          </w:tcPr>
          <w:p>
            <w:pPr>
              <w:spacing w:after="20"/>
            </w:pPr>
            <w:r>
              <w:rPr>
                <w:color w:val="1C3A36"/>
                <w:sz w:val="15"/>
              </w:rPr>
              <w:t>The realised fuel price is escalated on its own crude-linked path, not on a domestic inflation index</w:t>
            </w:r>
          </w:p>
        </w:tc>
        <w:tc>
          <w:tcPr>
            <w:tcW w:type="dxa" w:w="4392"/>
          </w:tcPr>
          <w:p>
            <w:pPr>
              <w:spacing w:after="20"/>
              <w:jc w:val="right"/>
            </w:pPr>
            <w:r>
              <w:rPr>
                <w:color w:val="1C3A36"/>
                <w:sz w:val="15"/>
              </w:rPr>
              <w:t>The realised retail price per litre follows AED 2.4200, 2.3400, 2.3630, 2.3870, 2.4110 across the forecast years. Realised retail price per litre. The first half of 2026 realised AED 2.4498 against AED 2.0233 a year earlier, a 21% increase driven by crude, not by the company. The path assumes the second half of 2026 moderates, crude normalises through FY2027, and the realised price then escalates at 1.0% a year. This is a globally-traded input on its own commodity path — it is deliberately NOT escalated on a domestic inflation index.</w:t>
            </w:r>
          </w:p>
        </w:tc>
        <w:tc>
          <w:tcPr>
            <w:tcW w:type="dxa" w:w="3600"/>
          </w:tcPr>
          <w:p>
            <w:pPr>
              <w:spacing w:after="20"/>
              <w:jc w:val="right"/>
            </w:pPr>
            <w:r>
              <w:rPr>
                <w:color w:val="1C3A36"/>
                <w:sz w:val="15"/>
              </w:rPr>
              <w:t>A crude path materially different from the one used — the study's own price sensitivity shows what that does. A domestic price cap that broke the link between the pump price and the crude price would overturn the construction itself rather than the level.</w:t>
            </w:r>
          </w:p>
        </w:tc>
      </w:tr>
      <w:tr>
        <w:trPr>
          <w:cantSplit/>
        </w:trPr>
        <w:tc>
          <w:tcPr>
            <w:tcW w:type="dxa" w:w="2088"/>
          </w:tcPr>
          <w:p>
            <w:pPr>
              <w:spacing w:after="20"/>
            </w:pPr>
            <w:r>
              <w:rPr>
                <w:color w:val="1C3A36"/>
                <w:sz w:val="15"/>
              </w:rPr>
              <w:t>The commercial margin per litre holds its 2026 step-up</w:t>
            </w:r>
          </w:p>
        </w:tc>
        <w:tc>
          <w:tcPr>
            <w:tcW w:type="dxa" w:w="4392"/>
          </w:tcPr>
          <w:p>
            <w:pPr>
              <w:spacing w:after="20"/>
              <w:jc w:val="right"/>
            </w:pPr>
            <w:r>
              <w:rPr>
                <w:color w:val="1C3A36"/>
                <w:sz w:val="15"/>
              </w:rPr>
              <w:t>Commercial gross profit per litre is escalated by 17.00% in FY2026 and by the domestic inflation rate thereafter. Escalation of the structural commercial margin per litre. The 17% step in FY2026 is the realised first-half outcome, where corporate gross profit per litre excluding inventory movements was 28% higher year on year on the company's own disclosure; it then reverts to the domestic inflation escalator.</w:t>
            </w:r>
          </w:p>
        </w:tc>
        <w:tc>
          <w:tcPr>
            <w:tcW w:type="dxa" w:w="3600"/>
          </w:tcPr>
          <w:p>
            <w:pPr>
              <w:spacing w:after="20"/>
              <w:jc w:val="right"/>
            </w:pPr>
            <w:r>
              <w:rPr>
                <w:color w:val="1C3A36"/>
                <w:sz w:val="15"/>
              </w:rPr>
              <w:t>A second half of 2026, or a 2027, in which commercial gross profit per litre falls back toward its 2025 level. That would say the step was a one-period contract effect rather than a repricing that holds.</w:t>
            </w:r>
          </w:p>
        </w:tc>
      </w:tr>
      <w:tr>
        <w:trPr>
          <w:cantSplit/>
        </w:trPr>
        <w:tc>
          <w:tcPr>
            <w:tcW w:type="dxa" w:w="2088"/>
          </w:tcPr>
          <w:p>
            <w:pPr>
              <w:spacing w:after="20"/>
            </w:pPr>
            <w:r>
              <w:rPr>
                <w:color w:val="1C3A36"/>
                <w:sz w:val="15"/>
              </w:rPr>
              <w:t>The regulated retail margin is a domestic line and takes a domestic escalator</w:t>
            </w:r>
          </w:p>
        </w:tc>
        <w:tc>
          <w:tcPr>
            <w:tcW w:type="dxa" w:w="4392"/>
          </w:tcPr>
          <w:p>
            <w:pPr>
              <w:spacing w:after="20"/>
              <w:jc w:val="right"/>
            </w:pPr>
            <w:r>
              <w:rPr>
                <w:color w:val="1C3A36"/>
                <w:sz w:val="15"/>
              </w:rPr>
              <w:t>Retail fuel gross profit per litre escalates at 2.00% a year. Escalation of the structural retail fuel margin per litre. This is a domestic regulated-margin line, so it takes the domestic inflation escalator, not a commodity path — the fuel itself is a pass-through cost and is escalated separately through the realised price.</w:t>
            </w:r>
          </w:p>
        </w:tc>
        <w:tc>
          <w:tcPr>
            <w:tcW w:type="dxa" w:w="3600"/>
          </w:tcPr>
          <w:p>
            <w:pPr>
              <w:spacing w:after="20"/>
              <w:jc w:val="right"/>
            </w:pPr>
            <w:r>
              <w:rPr>
                <w:color w:val="1C3A36"/>
                <w:sz w:val="15"/>
              </w:rPr>
              <w:t>The margin formula itself changing, or a period in which the realised retail margin per litre moves with crude rather than independently of it.</w:t>
            </w:r>
          </w:p>
        </w:tc>
      </w:tr>
      <w:tr>
        <w:trPr>
          <w:cantSplit/>
        </w:trPr>
        <w:tc>
          <w:tcPr>
            <w:tcW w:type="dxa" w:w="2088"/>
          </w:tcPr>
          <w:p>
            <w:pPr>
              <w:spacing w:after="20"/>
            </w:pPr>
            <w:r>
              <w:rPr>
                <w:color w:val="1C3A36"/>
                <w:sz w:val="15"/>
              </w:rPr>
              <w:t>The risk-free rate is normalised by taking out the sovereign's own default spread</w:t>
            </w:r>
          </w:p>
        </w:tc>
        <w:tc>
          <w:tcPr>
            <w:tcW w:type="dxa" w:w="4392"/>
          </w:tcPr>
          <w:p>
            <w:pPr>
              <w:spacing w:after="20"/>
              <w:jc w:val="right"/>
            </w:pPr>
            <w:r>
              <w:rPr>
                <w:color w:val="1C3A36"/>
                <w:sz w:val="15"/>
              </w:rPr>
              <w:t>The observed local-currency government yield is 4.48%; the sovereign's own adjusted default spread of 0.040% is subtracted, leaving 4.44%. Country risk is then charged exactly once, inside the equity risk premium of 4.87%. Charging the raw yield alongside a country-loaded premium would count the same risk twice.</w:t>
            </w:r>
          </w:p>
        </w:tc>
        <w:tc>
          <w:tcPr>
            <w:tcW w:type="dxa" w:w="3600"/>
          </w:tcPr>
          <w:p>
            <w:pPr>
              <w:spacing w:after="20"/>
              <w:jc w:val="right"/>
            </w:pPr>
            <w:r>
              <w:rPr>
                <w:color w:val="1C3A36"/>
                <w:sz w:val="15"/>
              </w:rPr>
              <w:t>Nothing — this is a construction rule rather than a view. What is open to challenge is the level of the yield itself, and that is shown across a range in the study's sensitivity.</w:t>
            </w:r>
          </w:p>
        </w:tc>
      </w:tr>
      <w:tr>
        <w:trPr>
          <w:cantSplit/>
        </w:trPr>
        <w:tc>
          <w:tcPr>
            <w:tcW w:type="dxa" w:w="2088"/>
          </w:tcPr>
          <w:p>
            <w:pPr>
              <w:spacing w:after="20"/>
            </w:pPr>
            <w:r>
              <w:rPr>
                <w:color w:val="1C3A36"/>
                <w:sz w:val="15"/>
              </w:rPr>
              <w:t>The cost of debt is built from the sovereign yield plus the company's own disclosed credit margin</w:t>
            </w:r>
          </w:p>
        </w:tc>
        <w:tc>
          <w:tcPr>
            <w:tcW w:type="dxa" w:w="4392"/>
          </w:tcPr>
          <w:p>
            <w:pPr>
              <w:spacing w:after="20"/>
              <w:jc w:val="right"/>
            </w:pPr>
            <w:r>
              <w:rPr>
                <w:color w:val="1C3A36"/>
                <w:sz w:val="15"/>
              </w:rPr>
              <w:t>The pre-tax marginal cost of debt is 5.08% — the local-currency sovereign yield plus the dirham margin of 0.600% the company discloses on its own term loan. It therefore sits above the sovereign, as a same-currency corporate borrower must. The dollar tranche carries a margin of 0.850% and is shown separately at 5.33%.</w:t>
            </w:r>
          </w:p>
        </w:tc>
        <w:tc>
          <w:tcPr>
            <w:tcW w:type="dxa" w:w="3600"/>
          </w:tcPr>
          <w:p>
            <w:pPr>
              <w:spacing w:after="20"/>
              <w:jc w:val="right"/>
            </w:pPr>
            <w:r>
              <w:rPr>
                <w:color w:val="1C3A36"/>
                <w:sz w:val="15"/>
              </w:rPr>
              <w:t>A new borrowing at a materially different spread. The company's next refinancing is the observation that would settle it.</w:t>
            </w:r>
          </w:p>
        </w:tc>
      </w:tr>
      <w:tr>
        <w:trPr>
          <w:cantSplit/>
        </w:trPr>
        <w:tc>
          <w:tcPr>
            <w:tcW w:type="dxa" w:w="2088"/>
          </w:tcPr>
          <w:p>
            <w:pPr>
              <w:spacing w:after="20"/>
            </w:pPr>
            <w:r>
              <w:rPr>
                <w:color w:val="1C3A36"/>
                <w:sz w:val="15"/>
              </w:rPr>
              <w:t>The cost of capital is glided rather than held flat</w:t>
            </w:r>
          </w:p>
        </w:tc>
        <w:tc>
          <w:tcPr>
            <w:tcW w:type="dxa" w:w="4392"/>
          </w:tcPr>
          <w:p>
            <w:pPr>
              <w:spacing w:after="20"/>
              <w:jc w:val="right"/>
            </w:pPr>
            <w:r>
              <w:rPr>
                <w:color w:val="1C3A36"/>
                <w:sz w:val="15"/>
              </w:rPr>
              <w:t>The discount rate moves from 7.44% today to 7.44% at the end of the forecast, as the beta drifts from 0.649 to 0.649 and the debt weight from 5.61% to 10.00%. The terminal beta is DERIVED rather than asserted: it travels 38.90% of the distance from the measured beta to a market beta of one, so re-measuring the beta moves the terminal with it. Fraction of the distance from the measured beta to the market beta of one that the terminal beta is allowed to travel, as transition risk in the business rises and the regulated margin becomes a smaller share of a more diversified earnings base. Stated as a fraction so the terminal beta is DERIVED from the measured one rather than asserted alongside it: re-measure the beta and the terminal beta follows.</w:t>
            </w:r>
          </w:p>
        </w:tc>
        <w:tc>
          <w:tcPr>
            <w:tcW w:type="dxa" w:w="3600"/>
          </w:tcPr>
          <w:p>
            <w:pPr>
              <w:spacing w:after="20"/>
              <w:jc w:val="right"/>
            </w:pPr>
            <w:r>
              <w:rPr>
                <w:color w:val="1C3A36"/>
                <w:sz w:val="15"/>
              </w:rPr>
              <w:t>A stated policy of holding leverage where it is, or evidence that the transition risk in the business is not rising — either would argue for the flat construction instead.</w:t>
            </w:r>
          </w:p>
        </w:tc>
      </w:tr>
      <w:tr>
        <w:trPr>
          <w:cantSplit/>
        </w:trPr>
        <w:tc>
          <w:tcPr>
            <w:tcW w:type="dxa" w:w="2088"/>
          </w:tcPr>
          <w:p>
            <w:pPr>
              <w:spacing w:after="20"/>
            </w:pPr>
            <w:r>
              <w:rPr>
                <w:color w:val="1C3A36"/>
                <w:sz w:val="15"/>
              </w:rPr>
              <w:t>The terminal return on capital fades from what the company earns today</w:t>
            </w:r>
          </w:p>
        </w:tc>
        <w:tc>
          <w:tcPr>
            <w:tcW w:type="dxa" w:w="4392"/>
          </w:tcPr>
          <w:p>
            <w:pPr>
              <w:spacing w:after="20"/>
              <w:jc w:val="right"/>
            </w:pPr>
            <w:r>
              <w:rPr>
                <w:color w:val="1C3A36"/>
                <w:sz w:val="15"/>
              </w:rPr>
              <w:t>Terminal return on invested capital is set at 25.00%. Terminal return on invested capital. The company earned a 32.7% return on capital employed in FY2025 and 40.1% in the first half of 2026 on its own measure; the terminal figure fades that toward a level a mature, more capital-intensive network would sustain.</w:t>
            </w:r>
          </w:p>
        </w:tc>
        <w:tc>
          <w:tcPr>
            <w:tcW w:type="dxa" w:w="3600"/>
          </w:tcPr>
          <w:p>
            <w:pPr>
              <w:spacing w:after="20"/>
              <w:jc w:val="right"/>
            </w:pPr>
            <w:r>
              <w:rPr>
                <w:color w:val="1C3A36"/>
                <w:sz w:val="15"/>
              </w:rPr>
              <w:t>The network continuing to earn its current return on capital while still growing — which would mean the reinvestment rate implied by the terminal block is too high and the terminal value too low.</w:t>
            </w:r>
          </w:p>
        </w:tc>
      </w:tr>
      <w:tr>
        <w:trPr>
          <w:cantSplit/>
        </w:trPr>
        <w:tc>
          <w:tcPr>
            <w:tcW w:type="dxa" w:w="2088"/>
          </w:tcPr>
          <w:p>
            <w:pPr>
              <w:spacing w:after="20"/>
            </w:pPr>
            <w:r>
              <w:rPr>
                <w:color w:val="1C3A36"/>
                <w:sz w:val="15"/>
              </w:rPr>
              <w:t>Impairment and other operating charges are normalised rather than carried at their realised level</w:t>
            </w:r>
          </w:p>
        </w:tc>
        <w:tc>
          <w:tcPr>
            <w:tcW w:type="dxa" w:w="4392"/>
          </w:tcPr>
          <w:p>
            <w:pPr>
              <w:spacing w:after="20"/>
              <w:jc w:val="right"/>
            </w:pPr>
            <w:r>
              <w:rPr>
                <w:color w:val="1C3A36"/>
                <w:sz w:val="15"/>
              </w:rPr>
              <w:t>FY2026 carries the realised first half annualised, at AED 360 million, falling to AED 220 million and then escalating with inflation. Impairment losses and other operating expenses. FY2025 carried AED 284.3 million and the first half of 2026 AED 179.9 million, both elevated by what the company describes as prudence-based provisioning; FY2026 carries the realised first half annualised, then a normalised level escalating with inflation.</w:t>
            </w:r>
          </w:p>
        </w:tc>
        <w:tc>
          <w:tcPr>
            <w:tcW w:type="dxa" w:w="3600"/>
          </w:tcPr>
          <w:p>
            <w:pPr>
              <w:spacing w:after="20"/>
              <w:jc w:val="right"/>
            </w:pPr>
            <w:r>
              <w:rPr>
                <w:color w:val="1C3A36"/>
                <w:sz w:val="15"/>
              </w:rPr>
              <w:t>A third consecutive year at the elevated level, which would make it a run rate rather than a provisioning cycle.</w:t>
            </w:r>
          </w:p>
        </w:tc>
      </w:tr>
      <w:tr>
        <w:trPr>
          <w:cantSplit/>
        </w:trPr>
        <w:tc>
          <w:tcPr>
            <w:tcW w:type="dxa" w:w="2088"/>
          </w:tcPr>
          <w:p>
            <w:pPr>
              <w:spacing w:after="20"/>
            </w:pPr>
            <w:r>
              <w:rPr>
                <w:color w:val="1C3A36"/>
                <w:sz w:val="15"/>
              </w:rPr>
              <w:t>Cash operating costs take a domestic escalator, net of the company's own efficiency programme</w:t>
            </w:r>
          </w:p>
        </w:tc>
        <w:tc>
          <w:tcPr>
            <w:tcW w:type="dxa" w:w="4392"/>
          </w:tcPr>
          <w:p>
            <w:pPr>
              <w:spacing w:after="20"/>
              <w:jc w:val="right"/>
            </w:pPr>
            <w:r>
              <w:rPr>
                <w:color w:val="1C3A36"/>
                <w:sz w:val="15"/>
              </w:rPr>
              <w:t>Cash operating costs grow at 4.00% a year. Cash operating cost growth. Staff, utilities, repairs and marketing are domestic service costs, so they take the domestic inflation escalator of about 2% plus roughly 2.5% of network growth, less the company's stated efficiency programme of up to AED 184 million of like-for-like cost reduction over 2024-2028. The first half of 2026 grew 4.0% year on year, which is the rate carried.</w:t>
            </w:r>
          </w:p>
        </w:tc>
        <w:tc>
          <w:tcPr>
            <w:tcW w:type="dxa" w:w="3600"/>
          </w:tcPr>
          <w:p>
            <w:pPr>
              <w:spacing w:after="20"/>
              <w:jc w:val="right"/>
            </w:pPr>
            <w:r>
              <w:rPr>
                <w:color w:val="1C3A36"/>
                <w:sz w:val="15"/>
              </w:rPr>
              <w:t>The efficiency programme being abandoned or missed, or a network expansion that adds cost faster than the stated rate.</w:t>
            </w:r>
          </w:p>
        </w:tc>
      </w:tr>
      <w:tr>
        <w:trPr>
          <w:cantSplit/>
        </w:trPr>
        <w:tc>
          <w:tcPr>
            <w:tcW w:type="dxa" w:w="2088"/>
          </w:tcPr>
          <w:p>
            <w:pPr>
              <w:spacing w:after="20"/>
            </w:pPr>
            <w:r>
              <w:rPr>
                <w:color w:val="1C3A36"/>
                <w:sz w:val="15"/>
              </w:rPr>
              <w:t>The dividend is carried at close to the whole of earnings</w:t>
            </w:r>
          </w:p>
        </w:tc>
        <w:tc>
          <w:tcPr>
            <w:tcW w:type="dxa" w:w="4392"/>
          </w:tcPr>
          <w:p>
            <w:pPr>
              <w:spacing w:after="20"/>
              <w:jc w:val="right"/>
            </w:pPr>
            <w:r>
              <w:rPr>
                <w:color w:val="1C3A36"/>
                <w:sz w:val="15"/>
              </w:rPr>
              <w:t>The payout used in the equity roll-forward is 92.00%. Dividend payout used in the equity roll-forward. Dividends paid were AED 2,622.9 million, AED 2,613.7 million and AED 2,599.1 million in FY2023, FY2024 and FY2025 against profit attributable to owners of AED 2,601.4 million, AED 2,420.3 million and AED 2,794.0 million — a payout that has run at or above 100% of earnings and is set slightly below that as profits step up.</w:t>
            </w:r>
          </w:p>
        </w:tc>
        <w:tc>
          <w:tcPr>
            <w:tcW w:type="dxa" w:w="3600"/>
          </w:tcPr>
          <w:p>
            <w:pPr>
              <w:spacing w:after="20"/>
              <w:jc w:val="right"/>
            </w:pPr>
            <w:r>
              <w:rPr>
                <w:color w:val="1C3A36"/>
                <w:sz w:val="15"/>
              </w:rPr>
              <w:t>A change to the stated policy, or a year in which the fixed dirham dividend is cut. Because the policy sets a fixed amount per share with a floor of a stated share of profit, rising profits reduce the payout ratio mechanically without any decision at all.</w:t>
            </w:r>
          </w:p>
        </w:tc>
      </w:tr>
    </w:tbl>
    <w:p>
      <w:pPr>
        <w:spacing w:after="40"/>
      </w:pPr>
    </w:p>
    <w:p>
      <w:pPr>
        <w:spacing w:after="200" w:before="0"/>
      </w:pPr>
      <w:r>
        <w:rPr>
          <w:b w:val="0"/>
          <w:i/>
          <w:color w:val="6E7B77"/>
          <w:sz w:val="17"/>
        </w:rPr>
        <w:t>Table 9 — the 15 judgements the valuation rests on, each with the evidence that would overturn it. The first of them is the study's most consequential contested judgement and is carried both ways all the way to a value per share, never averaged into one number.</w:t>
      </w:r>
    </w:p>
    <w:p>
      <w:pPr>
        <w:spacing w:after="120" w:before="280"/>
      </w:pPr>
      <w:r>
        <w:rPr>
          <w:b/>
          <w:i w:val="0"/>
          <w:color w:val="1C3A36"/>
          <w:sz w:val="30"/>
        </w:rPr>
        <w:t>4. What was looked for and not found</w:t>
      </w:r>
    </w:p>
    <w:p>
      <w:pPr>
        <w:spacing w:after="120" w:before="0"/>
      </w:pPr>
      <w:r>
        <w:rPr>
          <w:b w:val="0"/>
          <w:i w:val="0"/>
          <w:color w:val="1C3A36"/>
          <w:sz w:val="21"/>
        </w:rPr>
        <w:t>A study that reports only what it found is not reporting its own reliability. Everything below was searched for on or before 9 August 2026 and not obtained, together with what the valuation does instead.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2333"/>
        <w:gridCol w:w="5270"/>
      </w:tblGrid>
      <w:tr>
        <w:trPr>
          <w:cantSplit/>
        </w:trPr>
        <w:tc>
          <w:tcPr>
            <w:tcW w:type="dxa" w:w="2477"/>
            <w:shd w:val="clear" w:color="auto" w:fill="EAF0EE"/>
          </w:tcPr>
          <w:p>
            <w:pPr>
              <w:spacing w:after="20"/>
            </w:pPr>
            <w:r>
              <w:rPr>
                <w:b/>
                <w:color w:val="1C3A36"/>
                <w:sz w:val="15"/>
              </w:rPr>
              <w:t>What was sought</w:t>
            </w:r>
          </w:p>
        </w:tc>
        <w:tc>
          <w:tcPr>
            <w:tcW w:type="dxa" w:w="2333"/>
            <w:shd w:val="clear" w:color="auto" w:fill="EAF0EE"/>
          </w:tcPr>
          <w:p>
            <w:pPr>
              <w:spacing w:after="20"/>
            </w:pPr>
            <w:r>
              <w:rPr>
                <w:b/>
                <w:color w:val="1C3A36"/>
                <w:sz w:val="15"/>
              </w:rPr>
              <w:t>Where it was sought</w:t>
            </w:r>
          </w:p>
        </w:tc>
        <w:tc>
          <w:tcPr>
            <w:tcW w:type="dxa" w:w="5270"/>
            <w:shd w:val="clear" w:color="auto" w:fill="EAF0EE"/>
          </w:tcPr>
          <w:p>
            <w:pPr>
              <w:spacing w:after="20"/>
            </w:pPr>
            <w:r>
              <w:rPr>
                <w:b/>
                <w:color w:val="1C3A36"/>
                <w:sz w:val="15"/>
              </w:rPr>
              <w:t>What was done instead</w:t>
            </w:r>
          </w:p>
        </w:tc>
      </w:tr>
      <w:tr>
        <w:trPr>
          <w:cantSplit/>
        </w:trPr>
        <w:tc>
          <w:tcPr>
            <w:tcW w:type="dxa" w:w="2477"/>
          </w:tcPr>
          <w:p>
            <w:pPr>
              <w:spacing w:after="20"/>
            </w:pPr>
            <w:r>
              <w:rPr>
                <w:color w:val="1C3A36"/>
                <w:sz w:val="15"/>
              </w:rPr>
              <w:t>The central bank's own published interbank rate</w:t>
            </w:r>
          </w:p>
        </w:tc>
        <w:tc>
          <w:tcPr>
            <w:tcW w:type="dxa" w:w="2333"/>
          </w:tcPr>
          <w:p>
            <w:pPr>
              <w:spacing w:after="20"/>
              <w:jc w:val="right"/>
            </w:pPr>
            <w:r>
              <w:rPr>
                <w:color w:val="1C3A36"/>
                <w:sz w:val="15"/>
              </w:rPr>
              <w:t>The Central Bank of the United Arab Emirates interbank rate page</w:t>
            </w:r>
          </w:p>
        </w:tc>
        <w:tc>
          <w:tcPr>
            <w:tcW w:type="dxa" w:w="5270"/>
          </w:tcPr>
          <w:p>
            <w:pPr>
              <w:spacing w:after="20"/>
              <w:jc w:val="right"/>
            </w:pPr>
            <w:r>
              <w:rPr>
                <w:color w:val="1C3A36"/>
                <w:sz w:val="15"/>
              </w:rPr>
              <w:t>The page refused automated access on 9 August 2026. The study's own network route was checked at the same moment and was healthy, so this was the site's own protection against automated readers rather than a connection failure. The marginal cost of debt was built instead from the local-currency sovereign yield of 4.48% plus the company's own disclosed credit margin of 0.600%, both of which are primary figures. The central bank's base rate of 3.65% was obtained from the bank's own rate announcement and is shown as a floating-rate cross-check.</w:t>
            </w:r>
          </w:p>
        </w:tc>
      </w:tr>
      <w:tr>
        <w:trPr>
          <w:cantSplit/>
        </w:trPr>
        <w:tc>
          <w:tcPr>
            <w:tcW w:type="dxa" w:w="2477"/>
          </w:tcPr>
          <w:p>
            <w:pPr>
              <w:spacing w:after="20"/>
            </w:pPr>
            <w:r>
              <w:rPr>
                <w:color w:val="1C3A36"/>
                <w:sz w:val="15"/>
              </w:rPr>
              <w:t>An inventory-movement figure for FY2023 or FY2022</w:t>
            </w:r>
          </w:p>
        </w:tc>
        <w:tc>
          <w:tcPr>
            <w:tcW w:type="dxa" w:w="2333"/>
          </w:tcPr>
          <w:p>
            <w:pPr>
              <w:spacing w:after="20"/>
              <w:jc w:val="right"/>
            </w:pPr>
            <w:r>
              <w:rPr>
                <w:color w:val="1C3A36"/>
                <w:sz w:val="15"/>
              </w:rPr>
              <w:t>All three audited filings, both management reports, all three results presentations and the integrated report</w:t>
            </w:r>
          </w:p>
        </w:tc>
        <w:tc>
          <w:tcPr>
            <w:tcW w:type="dxa" w:w="5270"/>
          </w:tcPr>
          <w:p>
            <w:pPr>
              <w:spacing w:after="20"/>
              <w:jc w:val="right"/>
            </w:pPr>
            <w:r>
              <w:rPr>
                <w:color w:val="1C3A36"/>
                <w:sz w:val="15"/>
              </w:rPr>
              <w:t>NO inventory gain/loss figure for FY2023 or FY2022 exists in any supplied file. The FY2025 MD&amp;A carries only 2025 and 2024; the FY2023/FY2024 MD&amp;A and IR decks were not supplied. The 2025 Integrated Report repeats only the 2025 vs 2024 pair. A through-cycle average can therefore be computed over FY2024, FY2025, H1-2026 (and their quarterly splits) ONLY. The through-cycle frame therefore averages over FY2024, FY2025 and the first half of 2026 only, and the study says so where the average is used. It is also the reason this judgement is published both ways rather than settled.</w:t>
            </w:r>
          </w:p>
        </w:tc>
      </w:tr>
      <w:tr>
        <w:trPr>
          <w:cantSplit/>
        </w:trPr>
        <w:tc>
          <w:tcPr>
            <w:tcW w:type="dxa" w:w="2477"/>
          </w:tcPr>
          <w:p>
            <w:pPr>
              <w:spacing w:after="20"/>
            </w:pPr>
            <w:r>
              <w:rPr>
                <w:color w:val="1C3A36"/>
                <w:sz w:val="15"/>
              </w:rPr>
              <w:t>The outstanding dirham-versus-dollar split of the term loan</w:t>
            </w:r>
          </w:p>
        </w:tc>
        <w:tc>
          <w:tcPr>
            <w:tcW w:type="dxa" w:w="2333"/>
          </w:tcPr>
          <w:p>
            <w:pPr>
              <w:spacing w:after="20"/>
              <w:jc w:val="right"/>
            </w:pPr>
            <w:r>
              <w:rPr>
                <w:color w:val="1C3A36"/>
                <w:sz w:val="15"/>
              </w:rPr>
              <w:t>The borrowings note in each of the three audited filings and both interim filings</w:t>
            </w:r>
          </w:p>
        </w:tc>
        <w:tc>
          <w:tcPr>
            <w:tcW w:type="dxa" w:w="5270"/>
          </w:tcPr>
          <w:p>
            <w:pPr>
              <w:spacing w:after="20"/>
              <w:jc w:val="right"/>
            </w:pPr>
            <w:r>
              <w:rPr>
                <w:color w:val="1C3A36"/>
                <w:sz w:val="15"/>
              </w:rPr>
              <w:t>Borrowings note does NOT disclose an outstanding AED-vs-USD tranche split at any balance sheet date; only the original 2017 drawdown split and the per-currency margin basis are disclosed (see borrowings_note). The debt is therefore split for the cost-of-capital build using the disclosed per-currency margins and the original drawdown proportions, and both the dirham-basis and dollar-basis costs of debt are published side by side rather than blended into one.</w:t>
            </w:r>
          </w:p>
        </w:tc>
      </w:tr>
      <w:tr>
        <w:trPr>
          <w:cantSplit/>
        </w:trPr>
        <w:tc>
          <w:tcPr>
            <w:tcW w:type="dxa" w:w="2477"/>
          </w:tcPr>
          <w:p>
            <w:pPr>
              <w:spacing w:after="20"/>
            </w:pPr>
            <w:r>
              <w:rPr>
                <w:color w:val="1C3A36"/>
                <w:sz w:val="15"/>
              </w:rPr>
              <w:t>A ten-year dirham-denominated federal government bond</w:t>
            </w:r>
          </w:p>
        </w:tc>
        <w:tc>
          <w:tcPr>
            <w:tcW w:type="dxa" w:w="2333"/>
          </w:tcPr>
          <w:p>
            <w:pPr>
              <w:spacing w:after="20"/>
              <w:jc w:val="right"/>
            </w:pPr>
            <w:r>
              <w:rPr>
                <w:color w:val="1C3A36"/>
                <w:sz w:val="15"/>
              </w:rPr>
              <w:t>The Ministry of Finance auction results for the federal Treasury bond programme</w:t>
            </w:r>
          </w:p>
        </w:tc>
        <w:tc>
          <w:tcPr>
            <w:tcW w:type="dxa" w:w="5270"/>
          </w:tcPr>
          <w:p>
            <w:pPr>
              <w:spacing w:after="20"/>
              <w:jc w:val="right"/>
            </w:pPr>
            <w:r>
              <w:rPr>
                <w:color w:val="1C3A36"/>
                <w:sz w:val="15"/>
              </w:rPr>
              <w:t>No such tenor has been issued. The longest sourced local-currency point is the January 2031 tranche at 4.48%, about four and a half years. That observed yield is used rather than a constructed ten-year point, and the alternative — extrapolating the curve off the sovereign's dollar issuance — is shown as a sensitivity rather than presented as an observation.</w:t>
            </w:r>
          </w:p>
        </w:tc>
      </w:tr>
      <w:tr>
        <w:trPr>
          <w:cantSplit/>
        </w:trPr>
        <w:tc>
          <w:tcPr>
            <w:tcW w:type="dxa" w:w="2477"/>
          </w:tcPr>
          <w:p>
            <w:pPr>
              <w:spacing w:after="20"/>
            </w:pPr>
            <w:r>
              <w:rPr>
                <w:color w:val="1C3A36"/>
                <w:sz w:val="15"/>
              </w:rPr>
              <w:t>A credit-default-swap-based row for the United Arab Emirates in the country-risk file</w:t>
            </w:r>
          </w:p>
        </w:tc>
        <w:tc>
          <w:tcPr>
            <w:tcW w:type="dxa" w:w="2333"/>
          </w:tcPr>
          <w:p>
            <w:pPr>
              <w:spacing w:after="20"/>
              <w:jc w:val="right"/>
            </w:pPr>
            <w:r>
              <w:rPr>
                <w:color w:val="1C3A36"/>
                <w:sz w:val="15"/>
              </w:rPr>
              <w:t>The country default spreads and risk premiums file, in the original published version</w:t>
            </w:r>
          </w:p>
        </w:tc>
        <w:tc>
          <w:tcPr>
            <w:tcW w:type="dxa" w:w="5270"/>
          </w:tcPr>
          <w:p>
            <w:pPr>
              <w:spacing w:after="20"/>
              <w:jc w:val="right"/>
            </w:pPr>
            <w:r>
              <w:rPr>
                <w:color w:val="1C3A36"/>
                <w:sz w:val="15"/>
              </w:rPr>
              <w:t>The file carries no swap-based row for this sovereign, so only the rating-based construction can be published: an adjusted default spread of 0.040% and a total equity risk premium of 4.87%, being the mature-market premium of 4.23% plus a country risk premium of 0.640%. Where two bases exist a study of this house publishes both; here only one exists and that is stated rather than hidden.</w:t>
            </w:r>
          </w:p>
        </w:tc>
      </w:tr>
      <w:tr>
        <w:trPr>
          <w:cantSplit/>
        </w:trPr>
        <w:tc>
          <w:tcPr>
            <w:tcW w:type="dxa" w:w="2477"/>
          </w:tcPr>
          <w:p>
            <w:pPr>
              <w:spacing w:after="20"/>
            </w:pPr>
            <w:r>
              <w:rPr>
                <w:color w:val="1C3A36"/>
                <w:sz w:val="15"/>
              </w:rPr>
              <w:t>A more recent version of the same country-risk file</w:t>
            </w:r>
          </w:p>
        </w:tc>
        <w:tc>
          <w:tcPr>
            <w:tcW w:type="dxa" w:w="2333"/>
          </w:tcPr>
          <w:p>
            <w:pPr>
              <w:spacing w:after="20"/>
              <w:jc w:val="right"/>
            </w:pPr>
            <w:r>
              <w:rPr>
                <w:color w:val="1C3A36"/>
                <w:sz w:val="15"/>
              </w:rPr>
              <w:t>The original publication of the country default spreads and risk premiums file</w:t>
            </w:r>
          </w:p>
        </w:tc>
        <w:tc>
          <w:tcPr>
            <w:tcW w:type="dxa" w:w="5270"/>
          </w:tcPr>
          <w:p>
            <w:pPr>
              <w:spacing w:after="20"/>
              <w:jc w:val="right"/>
            </w:pPr>
            <w:r>
              <w:rPr>
                <w:color w:val="1C3A36"/>
                <w:sz w:val="15"/>
              </w:rPr>
              <w:t>A mid-2026 update exists, but its row for this country could not be verified in the original published file, and a third-party restatement of that row contradicts the original and was therefore not used. The January 2026 vintage is used and its vintage is disclosed wherever the premium appears.</w:t>
            </w:r>
          </w:p>
        </w:tc>
      </w:tr>
      <w:tr>
        <w:trPr>
          <w:cantSplit/>
        </w:trPr>
        <w:tc>
          <w:tcPr>
            <w:tcW w:type="dxa" w:w="2477"/>
          </w:tcPr>
          <w:p>
            <w:pPr>
              <w:spacing w:after="20"/>
            </w:pPr>
            <w:r>
              <w:rPr>
                <w:color w:val="1C3A36"/>
                <w:sz w:val="15"/>
              </w:rPr>
              <w:t>Quantitative guidance for 2026 earnings or volumes</w:t>
            </w:r>
          </w:p>
        </w:tc>
        <w:tc>
          <w:tcPr>
            <w:tcW w:type="dxa" w:w="2333"/>
          </w:tcPr>
          <w:p>
            <w:pPr>
              <w:spacing w:after="20"/>
              <w:jc w:val="right"/>
            </w:pPr>
            <w:r>
              <w:rPr>
                <w:color w:val="1C3A36"/>
                <w:sz w:val="15"/>
              </w:rPr>
              <w:t>Both management reports and all three results presentations</w:t>
            </w:r>
          </w:p>
        </w:tc>
        <w:tc>
          <w:tcPr>
            <w:tcW w:type="dxa" w:w="5270"/>
          </w:tcPr>
          <w:p>
            <w:pPr>
              <w:spacing w:after="20"/>
              <w:jc w:val="right"/>
            </w:pPr>
            <w:r>
              <w:rPr>
                <w:color w:val="1C3A36"/>
                <w:sz w:val="15"/>
              </w:rPr>
              <w:t>NOT GIVEN as a number for 2026. The company gives no quantitative FY2026 EBITDA or volume guidance in any supplied file. NOT GIVEN as a number. The company does give network, capital-expenditure and dividend targets, and those are used; the volume and margin paths are built from the disclosed first half rather than from any company forecast.</w:t>
            </w:r>
          </w:p>
        </w:tc>
      </w:tr>
      <w:tr>
        <w:trPr>
          <w:cantSplit/>
        </w:trPr>
        <w:tc>
          <w:tcPr>
            <w:tcW w:type="dxa" w:w="2477"/>
          </w:tcPr>
          <w:p>
            <w:pPr>
              <w:spacing w:after="20"/>
            </w:pPr>
            <w:r>
              <w:rPr>
                <w:color w:val="1C3A36"/>
                <w:sz w:val="15"/>
              </w:rPr>
              <w:t>FY2023 operating statistics — volumes, station counts, store and charging-point counts</w:t>
            </w:r>
          </w:p>
        </w:tc>
        <w:tc>
          <w:tcPr>
            <w:tcW w:type="dxa" w:w="2333"/>
          </w:tcPr>
          <w:p>
            <w:pPr>
              <w:spacing w:after="20"/>
              <w:jc w:val="right"/>
            </w:pPr>
            <w:r>
              <w:rPr>
                <w:color w:val="1C3A36"/>
                <w:sz w:val="15"/>
              </w:rPr>
              <w:t>All three audited filings, the FY2025 management report and the integrated report</w:t>
            </w:r>
          </w:p>
        </w:tc>
        <w:tc>
          <w:tcPr>
            <w:tcW w:type="dxa" w:w="5270"/>
          </w:tcPr>
          <w:p>
            <w:pPr>
              <w:spacing w:after="20"/>
              <w:jc w:val="right"/>
            </w:pPr>
            <w:r>
              <w:rPr>
                <w:color w:val="1C3A36"/>
                <w:sz w:val="15"/>
              </w:rPr>
              <w:t>FY2023 and FY2022 operating KPIs (fuel volumes by segment, station counts, convenience-store metrics, EV points, transactions) — the FY2023 and FY2024 MD&amp;A / IR decks were NOT among the supplied files; the FY2025 MD&amp;A only carries 2025 and 2024 columns, and the 2025 Integrated Report ESG index carries only environmental/HR series for 2022-2025. The unit build therefore starts from FY2024, which is the first year for which volumes and network counts are disclosed alongside the accounts, and FY2023 is carried at the statement level only.</w:t>
            </w:r>
          </w:p>
        </w:tc>
      </w:tr>
      <w:tr>
        <w:trPr>
          <w:cantSplit/>
        </w:trPr>
        <w:tc>
          <w:tcPr>
            <w:tcW w:type="dxa" w:w="2477"/>
          </w:tcPr>
          <w:p>
            <w:pPr>
              <w:spacing w:after="20"/>
            </w:pPr>
            <w:r>
              <w:rPr>
                <w:color w:val="1C3A36"/>
                <w:sz w:val="15"/>
              </w:rPr>
              <w:t>An EBITDA figure for FY2023 or FY2022</w:t>
            </w:r>
          </w:p>
        </w:tc>
        <w:tc>
          <w:tcPr>
            <w:tcW w:type="dxa" w:w="2333"/>
          </w:tcPr>
          <w:p>
            <w:pPr>
              <w:spacing w:after="20"/>
              <w:jc w:val="right"/>
            </w:pPr>
            <w:r>
              <w:rPr>
                <w:color w:val="1C3A36"/>
                <w:sz w:val="15"/>
              </w:rPr>
              <w:t>The audited filings and the obtained management reports</w:t>
            </w:r>
          </w:p>
        </w:tc>
        <w:tc>
          <w:tcPr>
            <w:tcW w:type="dxa" w:w="5270"/>
          </w:tcPr>
          <w:p>
            <w:pPr>
              <w:spacing w:after="20"/>
              <w:jc w:val="right"/>
            </w:pPr>
            <w:r>
              <w:rPr>
                <w:color w:val="1C3A36"/>
                <w:sz w:val="15"/>
              </w:rPr>
              <w:t>FY2023 and FY2022 EBITDA / underlying EBITDA — EBITDA is a non-IFRS measure disclosed only in the MD&amp;A, and only FY2025/FY2024 MD&amp;A was supplied. The earnings history in this study is therefore presented on audited operating profit, which exists for every year, with EBITDA shown only where the company itself published it.</w:t>
            </w:r>
          </w:p>
        </w:tc>
      </w:tr>
      <w:tr>
        <w:trPr>
          <w:cantSplit/>
        </w:trPr>
        <w:tc>
          <w:tcPr>
            <w:tcW w:type="dxa" w:w="2477"/>
          </w:tcPr>
          <w:p>
            <w:pPr>
              <w:spacing w:after="20"/>
            </w:pPr>
            <w:r>
              <w:rPr>
                <w:color w:val="1C3A36"/>
                <w:sz w:val="15"/>
              </w:rPr>
              <w:t>The stated maturity date of the term loan</w:t>
            </w:r>
          </w:p>
        </w:tc>
        <w:tc>
          <w:tcPr>
            <w:tcW w:type="dxa" w:w="2333"/>
          </w:tcPr>
          <w:p>
            <w:pPr>
              <w:spacing w:after="20"/>
              <w:jc w:val="right"/>
            </w:pPr>
            <w:r>
              <w:rPr>
                <w:color w:val="1C3A36"/>
                <w:sz w:val="15"/>
              </w:rPr>
              <w:t>The borrowings note in the FY2025 audited filing</w:t>
            </w:r>
          </w:p>
        </w:tc>
        <w:tc>
          <w:tcPr>
            <w:tcW w:type="dxa" w:w="5270"/>
          </w:tcPr>
          <w:p>
            <w:pPr>
              <w:spacing w:after="20"/>
              <w:jc w:val="right"/>
            </w:pPr>
            <w:r>
              <w:rPr>
                <w:color w:val="1C3A36"/>
                <w:sz w:val="15"/>
              </w:rPr>
              <w:t>Term loan maturity date is not stated explicitly in FY2025; only 'refinanced on 26 October 2022 for another 5-year term' is disclosed. The refinancing date and term are used to place the maturity, and the study does not present a precise repayment schedule it cannot source.</w:t>
            </w:r>
          </w:p>
        </w:tc>
      </w:tr>
      <w:tr>
        <w:trPr>
          <w:cantSplit/>
        </w:trPr>
        <w:tc>
          <w:tcPr>
            <w:tcW w:type="dxa" w:w="2477"/>
          </w:tcPr>
          <w:p>
            <w:pPr>
              <w:spacing w:after="20"/>
            </w:pPr>
            <w:r>
              <w:rPr>
                <w:color w:val="1C3A36"/>
                <w:sz w:val="15"/>
              </w:rPr>
              <w:t>The management report for the first quarter of 2026</w:t>
            </w:r>
          </w:p>
        </w:tc>
        <w:tc>
          <w:tcPr>
            <w:tcW w:type="dxa" w:w="2333"/>
          </w:tcPr>
          <w:p>
            <w:pPr>
              <w:spacing w:after="20"/>
              <w:jc w:val="right"/>
            </w:pPr>
            <w:r>
              <w:rPr>
                <w:color w:val="1C3A36"/>
                <w:sz w:val="15"/>
              </w:rPr>
              <w:t>The company's investor-relations site</w:t>
            </w:r>
          </w:p>
        </w:tc>
        <w:tc>
          <w:tcPr>
            <w:tcW w:type="dxa" w:w="5270"/>
          </w:tcPr>
          <w:p>
            <w:pPr>
              <w:spacing w:after="20"/>
              <w:jc w:val="right"/>
            </w:pPr>
            <w:r>
              <w:rPr>
                <w:color w:val="1C3A36"/>
                <w:sz w:val="15"/>
              </w:rPr>
              <w:t>Q1-2026 MD&amp;A was not supplied (Q1 reviewed interim + Q1 IR deck were). The reviewed interim statements and the first-quarter results presentation were both obtained, so the quarter is covered; the commentary volume for that quarter is not.</w:t>
            </w:r>
          </w:p>
        </w:tc>
      </w:tr>
      <w:tr>
        <w:trPr>
          <w:cantSplit/>
        </w:trPr>
        <w:tc>
          <w:tcPr>
            <w:tcW w:type="dxa" w:w="2477"/>
          </w:tcPr>
          <w:p>
            <w:pPr>
              <w:spacing w:after="20"/>
            </w:pPr>
            <w:r>
              <w:rPr>
                <w:color w:val="1C3A36"/>
                <w:sz w:val="15"/>
              </w:rPr>
              <w:t>A complete monthly retail fuel price series for 2025</w:t>
            </w:r>
          </w:p>
        </w:tc>
        <w:tc>
          <w:tcPr>
            <w:tcW w:type="dxa" w:w="2333"/>
          </w:tcPr>
          <w:p>
            <w:pPr>
              <w:spacing w:after="20"/>
              <w:jc w:val="right"/>
            </w:pPr>
            <w:r>
              <w:rPr>
                <w:color w:val="1C3A36"/>
                <w:sz w:val="15"/>
              </w:rPr>
              <w:t>The monthly announcements of the national fuel price committee, and compilations of them</w:t>
            </w:r>
          </w:p>
        </w:tc>
        <w:tc>
          <w:tcPr>
            <w:tcW w:type="dxa" w:w="5270"/>
          </w:tcPr>
          <w:p>
            <w:pPr>
              <w:spacing w:after="20"/>
              <w:jc w:val="right"/>
            </w:pPr>
            <w:r>
              <w:rPr>
                <w:color w:val="1C3A36"/>
                <w:sz w:val="15"/>
              </w:rPr>
              <w:t>Only part of the year was located directly, together with the published annual range. The realised price per litre used in the model is not taken from these announcements at all — it is computed from the company's own disclosed revenue and volumes — so the series serves only as a cross-check on the direction of travel.</w:t>
            </w:r>
          </w:p>
        </w:tc>
      </w:tr>
      <w:tr>
        <w:trPr>
          <w:cantSplit/>
        </w:trPr>
        <w:tc>
          <w:tcPr>
            <w:tcW w:type="dxa" w:w="2477"/>
          </w:tcPr>
          <w:p>
            <w:pPr>
              <w:spacing w:after="20"/>
            </w:pPr>
            <w:r>
              <w:rPr>
                <w:color w:val="1C3A36"/>
                <w:sz w:val="15"/>
              </w:rPr>
              <w:t>Current competitor station counts, and a current figure for the electric-vehicle share of new car sales</w:t>
            </w:r>
          </w:p>
        </w:tc>
        <w:tc>
          <w:tcPr>
            <w:tcW w:type="dxa" w:w="2333"/>
          </w:tcPr>
          <w:p>
            <w:pPr>
              <w:spacing w:after="20"/>
              <w:jc w:val="right"/>
            </w:pPr>
            <w:r>
              <w:rPr>
                <w:color w:val="1C3A36"/>
                <w:sz w:val="15"/>
              </w:rPr>
              <w:t>Competitor disclosure, national statistics and industry sources</w:t>
            </w:r>
          </w:p>
        </w:tc>
        <w:tc>
          <w:tcPr>
            <w:tcW w:type="dxa" w:w="5270"/>
          </w:tcPr>
          <w:p>
            <w:pPr>
              <w:spacing w:after="20"/>
              <w:jc w:val="right"/>
            </w:pPr>
            <w:r>
              <w:rPr>
                <w:color w:val="1C3A36"/>
                <w:sz w:val="15"/>
              </w:rPr>
              <w:t>The most recent competitor network figures found are more than a year old and the available electric-vehicle share is older still. Neither is load-bearing: the market-share context is presented with its vintage stated, and the transition drag is expressed as a taper in the company's own volume growth rather than derived from a national adoption figure.</w:t>
            </w:r>
          </w:p>
        </w:tc>
      </w:tr>
      <w:tr>
        <w:trPr>
          <w:cantSplit/>
        </w:trPr>
        <w:tc>
          <w:tcPr>
            <w:tcW w:type="dxa" w:w="2477"/>
          </w:tcPr>
          <w:p>
            <w:pPr>
              <w:spacing w:after="20"/>
            </w:pPr>
            <w:r>
              <w:rPr>
                <w:color w:val="1C3A36"/>
                <w:sz w:val="15"/>
              </w:rPr>
              <w:t>The published national energy outlook tables behind the crude forecast</w:t>
            </w:r>
          </w:p>
        </w:tc>
        <w:tc>
          <w:tcPr>
            <w:tcW w:type="dxa" w:w="2333"/>
          </w:tcPr>
          <w:p>
            <w:pPr>
              <w:spacing w:after="20"/>
              <w:jc w:val="right"/>
            </w:pPr>
            <w:r>
              <w:rPr>
                <w:color w:val="1C3A36"/>
                <w:sz w:val="15"/>
              </w:rPr>
              <w:t>The statistical agency's own outlook document</w:t>
            </w:r>
          </w:p>
        </w:tc>
        <w:tc>
          <w:tcPr>
            <w:tcW w:type="dxa" w:w="5270"/>
          </w:tcPr>
          <w:p>
            <w:pPr>
              <w:spacing w:after="20"/>
              <w:jc w:val="right"/>
            </w:pPr>
            <w:r>
              <w:rPr>
                <w:color w:val="1C3A36"/>
                <w:sz w:val="15"/>
              </w:rPr>
              <w:t>The document could not be read in the form published. The crude path is therefore built from reporting of that same outlook, and the study says so; the price path is also shown across a range wide enough to contain the disagreement.</w:t>
            </w:r>
          </w:p>
        </w:tc>
      </w:tr>
      <w:tr>
        <w:trPr>
          <w:cantSplit/>
        </w:trPr>
        <w:tc>
          <w:tcPr>
            <w:tcW w:type="dxa" w:w="2477"/>
          </w:tcPr>
          <w:p>
            <w:pPr>
              <w:spacing w:after="20"/>
            </w:pPr>
            <w:r>
              <w:rPr>
                <w:color w:val="1C3A36"/>
                <w:sz w:val="15"/>
              </w:rPr>
              <w:t>A current national economic review for 2026</w:t>
            </w:r>
          </w:p>
        </w:tc>
        <w:tc>
          <w:tcPr>
            <w:tcW w:type="dxa" w:w="2333"/>
          </w:tcPr>
          <w:p>
            <w:pPr>
              <w:spacing w:after="20"/>
              <w:jc w:val="right"/>
            </w:pPr>
            <w:r>
              <w:rPr>
                <w:color w:val="1C3A36"/>
                <w:sz w:val="15"/>
              </w:rPr>
              <w:t>The published country consultation reports</w:t>
            </w:r>
          </w:p>
        </w:tc>
        <w:tc>
          <w:tcPr>
            <w:tcW w:type="dxa" w:w="5270"/>
          </w:tcPr>
          <w:p>
            <w:pPr>
              <w:spacing w:after="20"/>
              <w:jc w:val="right"/>
            </w:pPr>
            <w:r>
              <w:rPr>
                <w:color w:val="1C3A36"/>
                <w:sz w:val="15"/>
              </w:rPr>
              <w:t>Only the 2025 vintage was located, which predates the 2026 oil shock entirely. Its growth forecasts are cited with the vintage attached and are used for context, never as a driver of the forecast.</w:t>
            </w:r>
          </w:p>
        </w:tc>
      </w:tr>
      <w:tr>
        <w:trPr>
          <w:cantSplit/>
        </w:trPr>
        <w:tc>
          <w:tcPr>
            <w:tcW w:type="dxa" w:w="2477"/>
          </w:tcPr>
          <w:p>
            <w:pPr>
              <w:spacing w:after="20"/>
            </w:pPr>
            <w:r>
              <w:rPr>
                <w:color w:val="1C3A36"/>
                <w:sz w:val="15"/>
              </w:rPr>
              <w:t>Traded multiples for two named unlisted competitors</w:t>
            </w:r>
          </w:p>
        </w:tc>
        <w:tc>
          <w:tcPr>
            <w:tcW w:type="dxa" w:w="2333"/>
          </w:tcPr>
          <w:p>
            <w:pPr>
              <w:spacing w:after="20"/>
              <w:jc w:val="right"/>
            </w:pPr>
            <w:r>
              <w:rPr>
                <w:color w:val="1C3A36"/>
                <w:sz w:val="15"/>
              </w:rPr>
              <w:t>Public market data for the two businesses</w:t>
            </w:r>
          </w:p>
        </w:tc>
        <w:tc>
          <w:tcPr>
            <w:tcW w:type="dxa" w:w="5270"/>
          </w:tcPr>
          <w:p>
            <w:pPr>
              <w:spacing w:after="20"/>
              <w:jc w:val="right"/>
            </w:pPr>
            <w:r>
              <w:rPr>
                <w:color w:val="1C3A36"/>
                <w:sz w:val="15"/>
              </w:rPr>
              <w:t>Neither has publicly traded equity — one is an unlisted joint venture and the other is privately controlled — so neither can carry a multiple. The peer table is built from the listed operators that do, and the omission is recorded rather than filled with an estimate.</w:t>
            </w:r>
          </w:p>
        </w:tc>
      </w:tr>
    </w:tbl>
    <w:p>
      <w:pPr>
        <w:spacing w:after="40"/>
      </w:pPr>
    </w:p>
    <w:p>
      <w:pPr>
        <w:spacing w:after="200" w:before="0"/>
      </w:pPr>
      <w:r>
        <w:rPr>
          <w:b w:val="0"/>
          <w:i/>
          <w:color w:val="6E7B77"/>
          <w:sz w:val="17"/>
        </w:rPr>
        <w:t>Table 10 — 16 searches that came back empty, each dated and each with the consequence for the valuation stated. Three of them change what the study can claim; the rest are disclosed limitations.</w:t>
      </w:r>
    </w:p>
    <w:p>
      <w:pPr>
        <w:spacing w:after="120" w:before="280"/>
      </w:pPr>
      <w:r>
        <w:rPr>
          <w:b/>
          <w:i w:val="0"/>
          <w:color w:val="1C3A36"/>
          <w:sz w:val="30"/>
        </w:rPr>
        <w:t>5. Where the documents disagree, and what was done about it</w:t>
      </w:r>
    </w:p>
    <w:p>
      <w:pPr>
        <w:spacing w:after="120" w:before="0"/>
      </w:pPr>
      <w:r>
        <w:rPr>
          <w:b w:val="0"/>
          <w:i w:val="0"/>
          <w:color w:val="1C3A36"/>
          <w:sz w:val="21"/>
        </w:rPr>
        <w:t>Three kinds of thing are recorded here: places where the company restated or re-presented its own prior-year figures, places where two of the company's own documents print different numbers for the same thing, and places where an outside data service reports something different from the filing. In every case both readings are recorded and the one used is named.</w:t>
      </w:r>
    </w:p>
    <w:p>
      <w:pPr>
        <w:spacing w:after="80" w:before="200"/>
      </w:pPr>
      <w:r>
        <w:rPr>
          <w:b/>
          <w:i w:val="0"/>
          <w:color w:val="1C3A36"/>
          <w:sz w:val="24"/>
        </w:rPr>
        <w:t>5.1 Restatements and internal differences in the company's own documents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4464"/>
        <w:gridCol w:w="3456"/>
      </w:tblGrid>
      <w:tr>
        <w:trPr>
          <w:cantSplit/>
        </w:trPr>
        <w:tc>
          <w:tcPr>
            <w:tcW w:type="dxa" w:w="2160"/>
            <w:shd w:val="clear" w:color="auto" w:fill="EAF0EE"/>
          </w:tcPr>
          <w:p>
            <w:pPr>
              <w:spacing w:after="20"/>
            </w:pPr>
            <w:r>
              <w:rPr>
                <w:b/>
                <w:color w:val="1C3A36"/>
                <w:sz w:val="14"/>
              </w:rPr>
              <w:t>Item</w:t>
            </w:r>
          </w:p>
        </w:tc>
        <w:tc>
          <w:tcPr>
            <w:tcW w:type="dxa" w:w="4464"/>
            <w:shd w:val="clear" w:color="auto" w:fill="EAF0EE"/>
          </w:tcPr>
          <w:p>
            <w:pPr>
              <w:spacing w:after="20"/>
            </w:pPr>
            <w:r>
              <w:rPr>
                <w:b/>
                <w:color w:val="1C3A36"/>
                <w:sz w:val="14"/>
              </w:rPr>
              <w:t>What the documents show</w:t>
            </w:r>
          </w:p>
        </w:tc>
        <w:tc>
          <w:tcPr>
            <w:tcW w:type="dxa" w:w="3456"/>
            <w:shd w:val="clear" w:color="auto" w:fill="EAF0EE"/>
          </w:tcPr>
          <w:p>
            <w:pPr>
              <w:spacing w:after="20"/>
            </w:pPr>
            <w:r>
              <w:rPr>
                <w:b/>
                <w:color w:val="1C3A36"/>
                <w:sz w:val="14"/>
              </w:rPr>
              <w:t>What this study does</w:t>
            </w:r>
          </w:p>
        </w:tc>
      </w:tr>
      <w:tr>
        <w:trPr>
          <w:cantSplit/>
        </w:trPr>
        <w:tc>
          <w:tcPr>
            <w:tcW w:type="dxa" w:w="2160"/>
          </w:tcPr>
          <w:p>
            <w:pPr>
              <w:spacing w:after="20"/>
            </w:pPr>
            <w:r>
              <w:rPr>
                <w:color w:val="1C3A36"/>
                <w:sz w:val="14"/>
              </w:rPr>
              <w:t>IAS 21 amendments — opening equity restatement at 1 January 2024</w:t>
            </w:r>
          </w:p>
        </w:tc>
        <w:tc>
          <w:tcPr>
            <w:tcW w:type="dxa" w:w="4464"/>
          </w:tcPr>
          <w:p>
            <w:pPr>
              <w:spacing w:after="20"/>
              <w:jc w:val="right"/>
            </w:pPr>
            <w:r>
              <w:rPr>
                <w:color w:val="1C3A36"/>
                <w:sz w:val="14"/>
              </w:rPr>
              <w:t>The FY2024 statement of changes in equity shows 'Adjustments of IAS 21 amendments (note 2)' reducing 1 January 2024 balances: retained earnings/equity attributable to owners -AED 33,979 thousand and non-controlling interests -AED 33,982 thousand, total equity -AED 67,961 thousand. Adjusted opening balances: equity attributable to owners AED 3,438,087 thousand, NCI AED 289,785 thousand, total equity AED 3,727,872 thousand.</w:t>
            </w:r>
          </w:p>
        </w:tc>
        <w:tc>
          <w:tcPr>
            <w:tcW w:type="dxa" w:w="3456"/>
          </w:tcPr>
          <w:p>
            <w:pPr>
              <w:spacing w:after="20"/>
              <w:jc w:val="right"/>
            </w:pPr>
            <w:r>
              <w:rPr>
                <w:color w:val="1C3A36"/>
                <w:sz w:val="14"/>
              </w:rPr>
              <w:t>FY2023 reported P&amp;L and balance sheet were NOT restated; the adjustment was taken to opening 2024 equity only. Therefore closing FY2023 total equity of AED 3,795,833 thousand does not equal adjusted opening FY2024 total equity of AED 3,727,872 thousand. Both recorded. FY2023 balance sheet figures in this file are as reported/comparative (unchanged between the FY2023 and FY2024 filings).</w:t>
            </w:r>
          </w:p>
        </w:tc>
      </w:tr>
      <w:tr>
        <w:trPr>
          <w:cantSplit/>
        </w:trPr>
        <w:tc>
          <w:tcPr>
            <w:tcW w:type="dxa" w:w="2160"/>
          </w:tcPr>
          <w:p>
            <w:pPr>
              <w:spacing w:after="20"/>
            </w:pPr>
            <w:r>
              <w:rPr>
                <w:color w:val="1C3A36"/>
                <w:sz w:val="14"/>
              </w:rPr>
              <w:t>FY2023 income-statement presentation of impairment losses</w:t>
            </w:r>
          </w:p>
        </w:tc>
        <w:tc>
          <w:tcPr>
            <w:tcW w:type="dxa" w:w="4464"/>
          </w:tcPr>
          <w:p>
            <w:pPr>
              <w:spacing w:after="20"/>
              <w:jc w:val="right"/>
            </w:pPr>
            <w:r>
              <w:rPr>
                <w:color w:val="1C3A36"/>
                <w:sz w:val="14"/>
              </w:rPr>
              <w:t>The FY2023 filing presents two separate lines: 'Impairment losses on trade and other receivables' AED (27,766) thousand and 'Other impairment losses and expenses' AED (54,377) thousand. The FY2024 filing re-presents the FY2023 comparative as a single line 'Impairment losses and other operating expenses' AED (90,254)/(82,143) thousand.</w:t>
            </w:r>
          </w:p>
        </w:tc>
        <w:tc>
          <w:tcPr>
            <w:tcW w:type="dxa" w:w="3456"/>
          </w:tcPr>
          <w:p>
            <w:pPr>
              <w:spacing w:after="20"/>
              <w:jc w:val="right"/>
            </w:pPr>
            <w:r>
              <w:rPr>
                <w:color w:val="1C3A36"/>
                <w:sz w:val="14"/>
              </w:rPr>
              <w:t>Presentational only — 27,766 + 54,377 = 82,143. No change to operating profit or net profit. The FY2024 filing's single-line comparative (82,143) is used as the primary FY2023 figure; both original lines are also recorded.</w:t>
            </w:r>
          </w:p>
        </w:tc>
      </w:tr>
      <w:tr>
        <w:trPr>
          <w:cantSplit/>
        </w:trPr>
        <w:tc>
          <w:tcPr>
            <w:tcW w:type="dxa" w:w="2160"/>
          </w:tcPr>
          <w:p>
            <w:pPr>
              <w:spacing w:after="20"/>
            </w:pPr>
            <w:r>
              <w:rPr>
                <w:color w:val="1C3A36"/>
                <w:sz w:val="14"/>
              </w:rPr>
              <w:t>FY2023 leverage-ratio table equity figure</w:t>
            </w:r>
          </w:p>
        </w:tc>
        <w:tc>
          <w:tcPr>
            <w:tcW w:type="dxa" w:w="4464"/>
          </w:tcPr>
          <w:p>
            <w:pPr>
              <w:spacing w:after="20"/>
              <w:jc w:val="right"/>
            </w:pPr>
            <w:r>
              <w:rPr>
                <w:color w:val="1C3A36"/>
                <w:sz w:val="14"/>
              </w:rPr>
              <w:t>The FY2023 filing's capital-risk note prints 'Equity 3,472,072' and 'Net debt plus equity 5,970,415' for 31 December 2023, whereas the FY2023 balance sheet (p.14 of the same filing) and the FY2024 filing's version of the same table both show equity attributable to owners of AED 3,472,066 thousand and net debt plus equity of AED 5,970,409 thousand. A AED 6 thousand internal inconsistency in the FY2023 filing.</w:t>
            </w:r>
          </w:p>
        </w:tc>
        <w:tc>
          <w:tcPr>
            <w:tcW w:type="dxa" w:w="3456"/>
          </w:tcPr>
          <w:p>
            <w:pPr>
              <w:spacing w:after="20"/>
              <w:jc w:val="right"/>
            </w:pPr>
            <w:r>
              <w:rPr>
                <w:color w:val="1C3A36"/>
                <w:sz w:val="14"/>
              </w:rPr>
              <w:t>The balance-sheet / FY2024-filing figure (3,472,066).</w:t>
            </w:r>
          </w:p>
        </w:tc>
      </w:tr>
      <w:tr>
        <w:trPr>
          <w:cantSplit/>
        </w:trPr>
        <w:tc>
          <w:tcPr>
            <w:tcW w:type="dxa" w:w="2160"/>
          </w:tcPr>
          <w:p>
            <w:pPr>
              <w:spacing w:after="20"/>
            </w:pPr>
            <w:r>
              <w:rPr>
                <w:color w:val="1C3A36"/>
                <w:sz w:val="14"/>
              </w:rPr>
              <w:t>FY2025 Egypt short-term borrowing — AED translation of the drawn EGP amount</w:t>
            </w:r>
          </w:p>
        </w:tc>
        <w:tc>
          <w:tcPr>
            <w:tcW w:type="dxa" w:w="4464"/>
          </w:tcPr>
          <w:p>
            <w:pPr>
              <w:spacing w:after="20"/>
              <w:jc w:val="right"/>
            </w:pPr>
            <w:r>
              <w:rPr>
                <w:color w:val="1C3A36"/>
                <w:sz w:val="14"/>
              </w:rPr>
              <w:t>The FY2025 borrowings note states EGP 602,387 thousand drawn = 'AED 43,384 thousand', while the balance sheet and the same note's short-term borrowing line show AED 46,384 thousand. A 3,000-thousand difference internal to the FY2025 filing (apparent typo in the note narrative).</w:t>
            </w:r>
          </w:p>
        </w:tc>
        <w:tc>
          <w:tcPr>
            <w:tcW w:type="dxa" w:w="3456"/>
          </w:tcPr>
          <w:p>
            <w:pPr>
              <w:spacing w:after="20"/>
              <w:jc w:val="right"/>
            </w:pPr>
            <w:r>
              <w:rPr>
                <w:color w:val="1C3A36"/>
                <w:sz w:val="14"/>
              </w:rPr>
              <w:t>The balance-sheet figure of AED 46,384 thousand for the reported short-term borrowings balance; the note's narrative figure is recorded verbatim in the borrowings block.</w:t>
            </w:r>
          </w:p>
        </w:tc>
      </w:tr>
      <w:tr>
        <w:trPr>
          <w:cantSplit/>
        </w:trPr>
        <w:tc>
          <w:tcPr>
            <w:tcW w:type="dxa" w:w="2160"/>
          </w:tcPr>
          <w:p>
            <w:pPr>
              <w:spacing w:after="20"/>
            </w:pPr>
            <w:r>
              <w:rPr>
                <w:color w:val="1C3A36"/>
                <w:sz w:val="14"/>
              </w:rPr>
              <w:t>TotalEnergies Marketing Egypt dividend in respect of FY2023 — approval date</w:t>
            </w:r>
          </w:p>
        </w:tc>
        <w:tc>
          <w:tcPr>
            <w:tcW w:type="dxa" w:w="4464"/>
          </w:tcPr>
          <w:p>
            <w:pPr>
              <w:spacing w:after="20"/>
              <w:jc w:val="right"/>
            </w:pPr>
            <w:r>
              <w:rPr>
                <w:color w:val="1C3A36"/>
                <w:sz w:val="14"/>
              </w:rPr>
              <w:t>The FY2024 filing states the AED 41,057 thousand TEME dividend in respect of FY2023 was approved at the General Assembly Meeting held on 23 April 2024. The FY2025 filing states the same AED 41,057 thousand dividend for the same year was approved on 23 April 2023.</w:t>
            </w:r>
          </w:p>
        </w:tc>
        <w:tc>
          <w:tcPr>
            <w:tcW w:type="dxa" w:w="3456"/>
          </w:tcPr>
          <w:p>
            <w:pPr>
              <w:spacing w:after="20"/>
              <w:jc w:val="right"/>
            </w:pPr>
            <w:r>
              <w:rPr>
                <w:color w:val="1C3A36"/>
                <w:sz w:val="14"/>
              </w:rPr>
              <w:t>The FY2024 filing's date (23 April 2024) appears correct on its face (a dividend in respect of FY2023 approved after year end); both recorded.</w:t>
            </w:r>
          </w:p>
        </w:tc>
      </w:tr>
      <w:tr>
        <w:trPr>
          <w:cantSplit/>
        </w:trPr>
        <w:tc>
          <w:tcPr>
            <w:tcW w:type="dxa" w:w="2160"/>
          </w:tcPr>
          <w:p>
            <w:pPr>
              <w:spacing w:after="20"/>
            </w:pPr>
            <w:r>
              <w:rPr>
                <w:color w:val="1C3A36"/>
                <w:sz w:val="14"/>
              </w:rPr>
              <w:t>TotalEnergies Marketing Egypt dividend in respect of FY2024 — amount and date</w:t>
            </w:r>
          </w:p>
        </w:tc>
        <w:tc>
          <w:tcPr>
            <w:tcW w:type="dxa" w:w="4464"/>
          </w:tcPr>
          <w:p>
            <w:pPr>
              <w:spacing w:after="20"/>
              <w:jc w:val="right"/>
            </w:pPr>
            <w:r>
              <w:rPr>
                <w:color w:val="1C3A36"/>
                <w:sz w:val="14"/>
              </w:rPr>
              <w:t>The FY2025 filing states a TEME dividend of AED 55,792 thousand in respect of FY2024, approved at the AGM held on 22 April 2024. The H1-2026 interim states AED 55,793 thousand in respect of FY2024, approved at the AGM held on 22 April 2025.</w:t>
            </w:r>
          </w:p>
        </w:tc>
        <w:tc>
          <w:tcPr>
            <w:tcW w:type="dxa" w:w="3456"/>
          </w:tcPr>
          <w:p>
            <w:pPr>
              <w:spacing w:after="20"/>
              <w:jc w:val="right"/>
            </w:pPr>
            <w:r>
              <w:rPr>
                <w:color w:val="1C3A36"/>
                <w:sz w:val="14"/>
              </w:rPr>
              <w:t>The more recent H1-2026 figure (55,793; AGM 22 April 2025) is the more internally coherent (a FY2024 dividend approved in 2025); both recorded.</w:t>
            </w:r>
          </w:p>
        </w:tc>
      </w:tr>
      <w:tr>
        <w:trPr>
          <w:cantSplit/>
        </w:trPr>
        <w:tc>
          <w:tcPr>
            <w:tcW w:type="dxa" w:w="2160"/>
          </w:tcPr>
          <w:p>
            <w:pPr>
              <w:spacing w:after="20"/>
            </w:pPr>
            <w:r>
              <w:rPr>
                <w:color w:val="1C3A36"/>
                <w:sz w:val="14"/>
              </w:rPr>
              <w:t>FY2024 underlying EBITDA</w:t>
            </w:r>
          </w:p>
        </w:tc>
        <w:tc>
          <w:tcPr>
            <w:tcW w:type="dxa" w:w="4464"/>
          </w:tcPr>
          <w:p>
            <w:pPr>
              <w:spacing w:after="20"/>
              <w:jc w:val="right"/>
            </w:pPr>
            <w:r>
              <w:rPr>
                <w:color w:val="1C3A36"/>
                <w:sz w:val="14"/>
              </w:rPr>
              <w:t>The FY2025 MD&amp;A financial summary prints 2024 underlying EBITDA of AED 3,633 million. The 2025 Integrated Report (p.117) states 2025 underlying EBITDA of AED 4,001 million is '+10.1% compared to AED 3,663 million in 2024'.</w:t>
            </w:r>
          </w:p>
        </w:tc>
        <w:tc>
          <w:tcPr>
            <w:tcW w:type="dxa" w:w="3456"/>
          </w:tcPr>
          <w:p>
            <w:pPr>
              <w:spacing w:after="20"/>
              <w:jc w:val="right"/>
            </w:pPr>
            <w:r>
              <w:rPr>
                <w:color w:val="1C3A36"/>
                <w:sz w:val="14"/>
              </w:rPr>
              <w:t>The MD&amp;A financial-summary figure (3,633) is treated as primary because it sits in the tabulated summary; the Integrated Report figure (3,663) is recorded as the discrepancy. Note 4,001/3,633 = +10.1% and 4,001/3,663 = +9.2%, so the stated +10.1% growth rate is consistent with 3,633.</w:t>
            </w:r>
          </w:p>
        </w:tc>
      </w:tr>
      <w:tr>
        <w:trPr>
          <w:cantSplit/>
        </w:trPr>
        <w:tc>
          <w:tcPr>
            <w:tcW w:type="dxa" w:w="2160"/>
          </w:tcPr>
          <w:p>
            <w:pPr>
              <w:spacing w:after="20"/>
            </w:pPr>
            <w:r>
              <w:rPr>
                <w:color w:val="1C3A36"/>
                <w:sz w:val="14"/>
              </w:rPr>
              <w:t>H1 2026 inventory gains — segment split vs total</w:t>
            </w:r>
          </w:p>
        </w:tc>
        <w:tc>
          <w:tcPr>
            <w:tcW w:type="dxa" w:w="4464"/>
          </w:tcPr>
          <w:p>
            <w:pPr>
              <w:spacing w:after="20"/>
              <w:jc w:val="right"/>
            </w:pPr>
            <w:r>
              <w:rPr>
                <w:color w:val="1C3A36"/>
                <w:sz w:val="14"/>
              </w:rPr>
              <w:t>Published as total AED 762 million with a split of AED 528 million fuel retail and AED 233 million commercial (sum 761). A 1-unit rounding difference in the company's own printed figures.</w:t>
            </w:r>
          </w:p>
        </w:tc>
        <w:tc>
          <w:tcPr>
            <w:tcW w:type="dxa" w:w="3456"/>
          </w:tcPr>
          <w:p>
            <w:pPr>
              <w:spacing w:after="20"/>
              <w:jc w:val="right"/>
            </w:pPr>
            <w:r>
              <w:rPr>
                <w:color w:val="1C3A36"/>
                <w:sz w:val="14"/>
              </w:rPr>
              <w:t>Both recorded verbatim; not reconciled.</w:t>
            </w:r>
          </w:p>
        </w:tc>
      </w:tr>
      <w:tr>
        <w:trPr>
          <w:cantSplit/>
        </w:trPr>
        <w:tc>
          <w:tcPr>
            <w:tcW w:type="dxa" w:w="2160"/>
          </w:tcPr>
          <w:p>
            <w:pPr>
              <w:spacing w:after="20"/>
            </w:pPr>
            <w:r>
              <w:rPr>
                <w:color w:val="1C3A36"/>
                <w:sz w:val="14"/>
              </w:rPr>
              <w:t>Convenience-store conversion rate improvement in 2025 — stated base year</w:t>
            </w:r>
          </w:p>
        </w:tc>
        <w:tc>
          <w:tcPr>
            <w:tcW w:type="dxa" w:w="4464"/>
          </w:tcPr>
          <w:p>
            <w:pPr>
              <w:spacing w:after="20"/>
              <w:jc w:val="right"/>
            </w:pPr>
            <w:r>
              <w:rPr>
                <w:color w:val="1C3A36"/>
                <w:sz w:val="14"/>
              </w:rPr>
              <w:t>The FY2025 MD&amp;A states conversion rate 'increased by 50 bps from 26.1% in 2024 to 26.6% in 2025' (and the operational-highlights page shows '+50 bps ... compared to 26.1% in 2024'). The 2025 Integrated Report p.36 states the rate 'increased by 45 basis points to 26.6%' and separately '+45bps compared to 26.1% in 2023'.</w:t>
            </w:r>
          </w:p>
        </w:tc>
        <w:tc>
          <w:tcPr>
            <w:tcW w:type="dxa" w:w="3456"/>
          </w:tcPr>
          <w:p>
            <w:pPr>
              <w:spacing w:after="20"/>
              <w:jc w:val="right"/>
            </w:pPr>
            <w:r>
              <w:rPr>
                <w:color w:val="1C3A36"/>
                <w:sz w:val="14"/>
              </w:rPr>
              <w:t>Both recorded. The 2024 metrics table (MD&amp;A p.20) prints 26.1% for 2024, so the Integrated Report's '2023' label is probably an error, but it is recorded as printed.</w:t>
            </w:r>
          </w:p>
        </w:tc>
      </w:tr>
      <w:tr>
        <w:trPr>
          <w:cantSplit/>
        </w:trPr>
        <w:tc>
          <w:tcPr>
            <w:tcW w:type="dxa" w:w="2160"/>
          </w:tcPr>
          <w:p>
            <w:pPr>
              <w:spacing w:after="20"/>
            </w:pPr>
            <w:r>
              <w:rPr>
                <w:color w:val="1C3A36"/>
                <w:sz w:val="14"/>
              </w:rPr>
              <w:t>FY2025 retail-segment revenue — fuel-retail component</w:t>
            </w:r>
          </w:p>
        </w:tc>
        <w:tc>
          <w:tcPr>
            <w:tcW w:type="dxa" w:w="4464"/>
          </w:tcPr>
          <w:p>
            <w:pPr>
              <w:spacing w:after="20"/>
              <w:jc w:val="right"/>
            </w:pPr>
            <w:r>
              <w:rPr>
                <w:color w:val="1C3A36"/>
                <w:sz w:val="14"/>
              </w:rPr>
              <w:t>The FY2025 MD&amp;A prints 2024 fuel-retail revenue of AED 22,223 million and 2024 retail-segment revenue of AED 23,799 million. The 2025 Integrated Report p.37 key-financials table prints 2024 revenue-fuel of AED 22,225 million, revenue non-fuel AED 1,574 million and total retail revenue AED 23,798 million.</w:t>
            </w:r>
          </w:p>
        </w:tc>
        <w:tc>
          <w:tcPr>
            <w:tcW w:type="dxa" w:w="3456"/>
          </w:tcPr>
          <w:p>
            <w:pPr>
              <w:spacing w:after="20"/>
              <w:jc w:val="right"/>
            </w:pPr>
            <w:r>
              <w:rPr>
                <w:color w:val="1C3A36"/>
                <w:sz w:val="14"/>
              </w:rPr>
              <w:t>MD&amp;A figures (which tie to the audited revenue note: retail fuel 22,223,252 thousand; retail non-fuel 1,575,410 thousand).</w:t>
            </w:r>
          </w:p>
        </w:tc>
      </w:tr>
      <w:tr>
        <w:trPr>
          <w:cantSplit/>
        </w:trPr>
        <w:tc>
          <w:tcPr>
            <w:tcW w:type="dxa" w:w="2160"/>
          </w:tcPr>
          <w:p>
            <w:pPr>
              <w:spacing w:after="20"/>
            </w:pPr>
            <w:r>
              <w:rPr>
                <w:color w:val="1C3A36"/>
                <w:sz w:val="14"/>
              </w:rPr>
              <w:t>Reclassification of comparatives (general)</w:t>
            </w:r>
          </w:p>
        </w:tc>
        <w:tc>
          <w:tcPr>
            <w:tcW w:type="dxa" w:w="4464"/>
          </w:tcPr>
          <w:p>
            <w:pPr>
              <w:spacing w:after="20"/>
              <w:jc w:val="right"/>
            </w:pPr>
            <w:r>
              <w:rPr>
                <w:color w:val="1C3A36"/>
                <w:sz w:val="14"/>
              </w:rPr>
              <w:t>FY2025 note 35 states: 'Certain comparative figures have been reclassified from prior year, wherever necessary, to conform to the presentation adopted in the current year.' No specific reclassifications are itemised.</w:t>
            </w:r>
          </w:p>
        </w:tc>
        <w:tc>
          <w:tcPr>
            <w:tcW w:type="dxa" w:w="3456"/>
          </w:tcPr>
          <w:p>
            <w:pPr>
              <w:spacing w:after="20"/>
              <w:jc w:val="right"/>
            </w:pPr>
            <w:r>
              <w:rPr>
                <w:color w:val="1C3A36"/>
                <w:sz w:val="14"/>
              </w:rPr>
              <w:t>Not applicable — no quantified effect disclosed.</w:t>
            </w:r>
          </w:p>
        </w:tc>
      </w:tr>
    </w:tbl>
    <w:p>
      <w:pPr>
        <w:spacing w:after="40"/>
      </w:pPr>
    </w:p>
    <w:p>
      <w:pPr>
        <w:spacing w:after="200" w:before="0"/>
      </w:pPr>
      <w:r>
        <w:rPr>
          <w:b w:val="0"/>
          <w:i/>
          <w:color w:val="6E7B77"/>
          <w:sz w:val="17"/>
        </w:rPr>
        <w:t>Table 11 — every restatement, re-presentation and internal inconsistency found across the twelve documents. The first is the only one that changes a balance: because the prior year was not restated, closing equity for FY2023 does not equal the adjusted opening equity for FY2024, and the equity roll-forward in this study carries that break rather than smoothing it away.</w:t>
      </w:r>
    </w:p>
    <w:p>
      <w:pPr>
        <w:spacing w:after="80" w:before="200"/>
      </w:pPr>
      <w:r>
        <w:rPr>
          <w:b/>
          <w:i w:val="0"/>
          <w:color w:val="1C3A36"/>
          <w:sz w:val="24"/>
        </w:rPr>
        <w:t>5.2 Outside data services, and where they differ from the filings</w:t>
      </w:r>
    </w:p>
    <w:p>
      <w:pPr>
        <w:spacing w:after="120" w:before="0"/>
      </w:pPr>
      <w:r>
        <w:rPr>
          <w:b w:val="0"/>
          <w:i w:val="0"/>
          <w:color w:val="1C3A36"/>
          <w:sz w:val="21"/>
        </w:rPr>
        <w:t>Nothing in this table is used to build any figure in the study. It is recorded so that a reader who checks the study against a screen and finds a difference knows the difference was noticed, and knows what it is.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4392"/>
        <w:gridCol w:w="3528"/>
      </w:tblGrid>
      <w:tr>
        <w:trPr>
          <w:cantSplit/>
        </w:trPr>
        <w:tc>
          <w:tcPr>
            <w:tcW w:type="dxa" w:w="2160"/>
            <w:shd w:val="clear" w:color="auto" w:fill="EAF0EE"/>
          </w:tcPr>
          <w:p>
            <w:pPr>
              <w:spacing w:after="20"/>
            </w:pPr>
            <w:r>
              <w:rPr>
                <w:b/>
                <w:color w:val="1C3A36"/>
                <w:sz w:val="14"/>
              </w:rPr>
              <w:t>Item</w:t>
            </w:r>
          </w:p>
        </w:tc>
        <w:tc>
          <w:tcPr>
            <w:tcW w:type="dxa" w:w="4392"/>
            <w:shd w:val="clear" w:color="auto" w:fill="EAF0EE"/>
          </w:tcPr>
          <w:p>
            <w:pPr>
              <w:spacing w:after="20"/>
            </w:pPr>
            <w:r>
              <w:rPr>
                <w:b/>
                <w:color w:val="1C3A36"/>
                <w:sz w:val="14"/>
              </w:rPr>
              <w:t>What the outside source says</w:t>
            </w:r>
          </w:p>
        </w:tc>
        <w:tc>
          <w:tcPr>
            <w:tcW w:type="dxa" w:w="3528"/>
            <w:shd w:val="clear" w:color="auto" w:fill="EAF0EE"/>
          </w:tcPr>
          <w:p>
            <w:pPr>
              <w:spacing w:after="20"/>
            </w:pPr>
            <w:r>
              <w:rPr>
                <w:b/>
                <w:color w:val="1C3A36"/>
                <w:sz w:val="14"/>
              </w:rPr>
              <w:t>What this study does</w:t>
            </w:r>
          </w:p>
        </w:tc>
      </w:tr>
      <w:tr>
        <w:trPr>
          <w:cantSplit/>
        </w:trPr>
        <w:tc>
          <w:tcPr>
            <w:tcW w:type="dxa" w:w="2160"/>
          </w:tcPr>
          <w:p>
            <w:pPr>
              <w:spacing w:after="20"/>
            </w:pPr>
            <w:r>
              <w:rPr>
                <w:color w:val="1C3A36"/>
                <w:sz w:val="14"/>
              </w:rPr>
              <w:t>Headline financials on a market-data service</w:t>
            </w:r>
          </w:p>
        </w:tc>
        <w:tc>
          <w:tcPr>
            <w:tcW w:type="dxa" w:w="4392"/>
          </w:tcPr>
          <w:p>
            <w:pPr>
              <w:spacing w:after="20"/>
              <w:jc w:val="right"/>
            </w:pPr>
            <w:r>
              <w:rPr>
                <w:color w:val="1C3A36"/>
                <w:sz w:val="14"/>
              </w:rPr>
              <w:t>Share price AED 4.070 at the close of 07-Aug-2026 (-0.25% on the day). Market capitalisation AED 50.86bn. Enterprise value AED 55.74bn. Shares outstanding 12.50bn. Trailing P/E 14.27; forward P/E 16.83; EV/EBITDA 10.93; EBITDA AED 4.95bn (TTM); dividend yield 5.05%; ROIC 50.74%; profit margin 8.73%. TTM revenue AED 40.82bn; net income AED 3.56bn. Operating cash flow AED 4.72bn TTM; free cash flow AED 3.74bn after capex.</w:t>
            </w:r>
          </w:p>
        </w:tc>
        <w:tc>
          <w:tcPr>
            <w:tcW w:type="dxa" w:w="3528"/>
          </w:tcPr>
          <w:p>
            <w:pPr>
              <w:spacing w:after="20"/>
              <w:jc w:val="right"/>
            </w:pPr>
            <w:r>
              <w:rPr>
                <w:color w:val="1C3A36"/>
                <w:sz w:val="14"/>
              </w:rPr>
              <w:t>Only the share price, the share count and the market value were taken from it. The revenue, earnings and cash-flow figures there are trailing-twelve-month and unaudited, and they do not agree with the audited year because they are not measuring the same period: the audited FY2025 revenue is AED 35,896.617 million and net profit AED 2,851.042 million, while the trailing figures include the first half of 2026, in which the realised price per litre rose sharply with crude. The trailing multiple quoted there likewise differs from this study's own, which is computed as the share price over audited FY2025 earnings per share of AED 0.2240, giving 17.9 times.</w:t>
            </w:r>
          </w:p>
        </w:tc>
      </w:tr>
      <w:tr>
        <w:trPr>
          <w:cantSplit/>
        </w:trPr>
        <w:tc>
          <w:tcPr>
            <w:tcW w:type="dxa" w:w="2160"/>
          </w:tcPr>
          <w:p>
            <w:pPr>
              <w:spacing w:after="20"/>
            </w:pPr>
            <w:r>
              <w:rPr>
                <w:color w:val="1C3A36"/>
                <w:sz w:val="14"/>
              </w:rPr>
              <w:t>The guaranteed minimum margin under the supply agreement</w:t>
            </w:r>
          </w:p>
        </w:tc>
        <w:tc>
          <w:tcPr>
            <w:tcW w:type="dxa" w:w="4392"/>
          </w:tcPr>
          <w:p>
            <w:pPr>
              <w:spacing w:after="20"/>
              <w:jc w:val="right"/>
            </w:pPr>
            <w:r>
              <w:rPr>
                <w:color w:val="1C3A36"/>
                <w:sz w:val="14"/>
              </w:rPr>
              <w:t>ADNOC Distribution's supply agreement with parent ADNOC for refined petroleum products includes a flexible pricing mechanism acting as a backstop guarantee. The agreement sets a fixed MINIMUM margin of approximately 45 fils per litre, guaranteeing a minimum profit level, with NO UPPER LIMIT — the company can earn more as retail prices rise. ADNOC compensates any margin shortfall versus the regulated margin.</w:t>
            </w:r>
          </w:p>
        </w:tc>
        <w:tc>
          <w:tcPr>
            <w:tcW w:type="dxa" w:w="3528"/>
          </w:tcPr>
          <w:p>
            <w:pPr>
              <w:spacing w:after="20"/>
              <w:jc w:val="right"/>
            </w:pPr>
            <w:r>
              <w:rPr>
                <w:color w:val="1C3A36"/>
                <w:sz w:val="14"/>
              </w:rPr>
              <w:t>This is the single most consequential structural feature of the business and it was found first in commentary rather than in the agreement disclosure itself. It is not used as an input. The margin actually earned is computed from the company's own disclosed gross profit and volumes, so the model rests on the realised outcome rather than on the reported floor beneath it; the floor is described in the study as protection, not as a number in the build.</w:t>
            </w:r>
          </w:p>
        </w:tc>
      </w:tr>
      <w:tr>
        <w:trPr>
          <w:cantSplit/>
        </w:trPr>
        <w:tc>
          <w:tcPr>
            <w:tcW w:type="dxa" w:w="2160"/>
          </w:tcPr>
          <w:p>
            <w:pPr>
              <w:spacing w:after="20"/>
            </w:pPr>
            <w:r>
              <w:rPr>
                <w:color w:val="1C3A36"/>
                <w:sz w:val="14"/>
              </w:rPr>
              <w:t>A later version of the country-risk premium file</w:t>
            </w:r>
          </w:p>
        </w:tc>
        <w:tc>
          <w:tcPr>
            <w:tcW w:type="dxa" w:w="4392"/>
          </w:tcPr>
          <w:p>
            <w:pPr>
              <w:spacing w:after="20"/>
              <w:jc w:val="right"/>
            </w:pPr>
            <w:r>
              <w:rPr>
                <w:color w:val="1C3A36"/>
                <w:sz w:val="14"/>
              </w:rPr>
              <w:t>A Damodaran 'Equity Risk Premiums, by country - July 2026 Update' exists, published 03-Jul-2026, covering 157 markets and using a mature-market ERP of 4.17%, a US ERP of 4.45% and an equity volatility multiplier of 1.5545. The update notes state that a lower mature-market premium combined with lower sovereign default spreads pulled equity risk premiums down across the board; the regional 'Middle East' weighted average is quoted at 6.37%.</w:t>
            </w:r>
          </w:p>
        </w:tc>
        <w:tc>
          <w:tcPr>
            <w:tcW w:type="dxa" w:w="3528"/>
          </w:tcPr>
          <w:p>
            <w:pPr>
              <w:spacing w:after="20"/>
              <w:jc w:val="right"/>
            </w:pPr>
            <w:r>
              <w:rPr>
                <w:color w:val="1C3A36"/>
                <w:sz w:val="14"/>
              </w:rPr>
              <w:t>The originally published file, of the vintage stated in the input record, is the one used: a total equity risk premium of 4.87%. The later third-party restatement contradicts the original and could not be verified in the publisher's own file, so it is not used; the difference is small enough to sit inside the study's own sensitivity on the discount rate.</w:t>
            </w:r>
          </w:p>
        </w:tc>
      </w:tr>
      <w:tr>
        <w:trPr>
          <w:cantSplit/>
        </w:trPr>
        <w:tc>
          <w:tcPr>
            <w:tcW w:type="dxa" w:w="2160"/>
          </w:tcPr>
          <w:p>
            <w:pPr>
              <w:spacing w:after="20"/>
            </w:pPr>
            <w:r>
              <w:rPr>
                <w:color w:val="1C3A36"/>
                <w:sz w:val="14"/>
              </w:rPr>
              <w:t>The company's own tax position, as reported in the press</w:t>
            </w:r>
          </w:p>
        </w:tc>
        <w:tc>
          <w:tcPr>
            <w:tcW w:type="dxa" w:w="4392"/>
          </w:tcPr>
          <w:p>
            <w:pPr>
              <w:spacing w:after="20"/>
              <w:jc w:val="right"/>
            </w:pPr>
            <w:r>
              <w:rPr>
                <w:color w:val="1C3A36"/>
                <w:sz w:val="14"/>
              </w:rPr>
              <w:t>ADNOC Distribution is subject to corporate tax and is NOT covered by the upstream extraction carve-out. Secondary reporting on a recent results period notes attributable net profit would have exceeded AED 2bn were it not for AED 183 million of corporate tax obligations.</w:t>
            </w:r>
          </w:p>
        </w:tc>
        <w:tc>
          <w:tcPr>
            <w:tcW w:type="dxa" w:w="3528"/>
          </w:tcPr>
          <w:p>
            <w:pPr>
              <w:spacing w:after="20"/>
              <w:jc w:val="right"/>
            </w:pPr>
            <w:r>
              <w:rPr>
                <w:color w:val="1C3A36"/>
                <w:sz w:val="14"/>
              </w:rPr>
              <w:t>Not used. The tax rate in the model is computed from the audited filings themselves — the income tax charge over profit before tax, an effective 10.17% in FY2025 — and the reconciliation in that same note is what establishes which regime the company is actually paying under.</w:t>
            </w:r>
          </w:p>
        </w:tc>
      </w:tr>
      <w:tr>
        <w:trPr>
          <w:cantSplit/>
        </w:trPr>
        <w:tc>
          <w:tcPr>
            <w:tcW w:type="dxa" w:w="2160"/>
          </w:tcPr>
          <w:p>
            <w:pPr>
              <w:spacing w:after="20"/>
            </w:pPr>
            <w:r>
              <w:rPr>
                <w:color w:val="1C3A36"/>
                <w:sz w:val="14"/>
              </w:rPr>
              <w:t>Peer trading multiples</w:t>
            </w:r>
          </w:p>
        </w:tc>
        <w:tc>
          <w:tcPr>
            <w:tcW w:type="dxa" w:w="4392"/>
          </w:tcPr>
          <w:p>
            <w:pPr>
              <w:spacing w:after="20"/>
              <w:jc w:val="right"/>
            </w:pPr>
            <w:r>
              <w:rPr>
                <w:color w:val="1C3A36"/>
                <w:sz w:val="14"/>
              </w:rPr>
              <w:t>Multiples for seven listed fuel retailers and convenience operators, taken from a public comparables service.</w:t>
            </w:r>
          </w:p>
        </w:tc>
        <w:tc>
          <w:tcPr>
            <w:tcW w:type="dxa" w:w="3528"/>
          </w:tcPr>
          <w:p>
            <w:pPr>
              <w:spacing w:after="20"/>
              <w:jc w:val="right"/>
            </w:pPr>
            <w:r>
              <w:rPr>
                <w:color w:val="1C3A36"/>
                <w:sz w:val="14"/>
              </w:rPr>
              <w:t>Used only in the relative lens, and only as a cross-check on the multiple the company's own economics justify. Every peer figure is labelled as market data. No peer figure is used anywhere in the construction of this company's own reported history.</w:t>
            </w:r>
          </w:p>
        </w:tc>
      </w:tr>
      <w:tr>
        <w:trPr>
          <w:cantSplit/>
        </w:trPr>
        <w:tc>
          <w:tcPr>
            <w:tcW w:type="dxa" w:w="2160"/>
          </w:tcPr>
          <w:p>
            <w:pPr>
              <w:spacing w:after="20"/>
            </w:pPr>
            <w:r>
              <w:rPr>
                <w:color w:val="1C3A36"/>
                <w:sz w:val="14"/>
              </w:rPr>
              <w:t>Two competitors with no traded equity</w:t>
            </w:r>
          </w:p>
        </w:tc>
        <w:tc>
          <w:tcPr>
            <w:tcW w:type="dxa" w:w="4392"/>
          </w:tcPr>
          <w:p>
            <w:pPr>
              <w:spacing w:after="20"/>
              <w:jc w:val="right"/>
            </w:pPr>
            <w:r>
              <w:rPr>
                <w:color w:val="1C3A36"/>
                <w:sz w:val="14"/>
              </w:rPr>
              <w:t>Jio-bp (Reliance BP Mobility Limited) is an unlisted joint venture between Reliance Industries (51%) and BP (49%); BP paid Reliance USD 1bn for its 49% stake.</w:t>
            </w:r>
          </w:p>
        </w:tc>
        <w:tc>
          <w:tcPr>
            <w:tcW w:type="dxa" w:w="3528"/>
          </w:tcPr>
          <w:p>
            <w:pPr>
              <w:spacing w:after="20"/>
              <w:jc w:val="right"/>
            </w:pPr>
            <w:r>
              <w:rPr>
                <w:color w:val="1C3A36"/>
                <w:sz w:val="14"/>
              </w:rPr>
              <w:t>Recorded as a negative result and excluded from the peer table rather than estimated. The peer set is built only from operators with a real traded price.</w:t>
            </w:r>
          </w:p>
        </w:tc>
      </w:tr>
      <w:tr>
        <w:trPr>
          <w:cantSplit/>
        </w:trPr>
        <w:tc>
          <w:tcPr>
            <w:tcW w:type="dxa" w:w="2160"/>
          </w:tcPr>
          <w:p>
            <w:pPr>
              <w:spacing w:after="20"/>
            </w:pPr>
            <w:r>
              <w:rPr>
                <w:color w:val="1C3A36"/>
                <w:sz w:val="14"/>
              </w:rPr>
              <w:t>Sell-side estimates and consensus</w:t>
            </w:r>
          </w:p>
        </w:tc>
        <w:tc>
          <w:tcPr>
            <w:tcW w:type="dxa" w:w="4392"/>
          </w:tcPr>
          <w:p>
            <w:pPr>
              <w:spacing w:after="20"/>
              <w:jc w:val="right"/>
            </w:pPr>
            <w:r>
              <w:rPr>
                <w:color w:val="1C3A36"/>
                <w:sz w:val="14"/>
              </w:rPr>
              <w:t>Sixteen analysts covering ADNOC Distribution carry a consensus 'Buy' rating with an average 12-month price target of AED 4.63, implying ~13.76% upside from the 07-Aug-2026 close of AED 4.070. Comparable consensus reads on peers: Aldrees (4200) consensus 'Buy' from nine analysts with a target of SAR 134.76 (+12.58%);</w:t>
            </w:r>
          </w:p>
        </w:tc>
        <w:tc>
          <w:tcPr>
            <w:tcW w:type="dxa" w:w="3528"/>
          </w:tcPr>
          <w:p>
            <w:pPr>
              <w:spacing w:after="20"/>
              <w:jc w:val="right"/>
            </w:pPr>
            <w:r>
              <w:rPr>
                <w:color w:val="1C3A36"/>
                <w:sz w:val="14"/>
              </w:rPr>
              <w:t>Read, and never used. No consensus figure enters any lens, any driver or any historical line. It is recorded here only so that a reader can see it was looked at.</w:t>
            </w:r>
          </w:p>
        </w:tc>
      </w:tr>
    </w:tbl>
    <w:p>
      <w:pPr>
        <w:spacing w:after="40"/>
      </w:pPr>
    </w:p>
    <w:p>
      <w:pPr>
        <w:spacing w:after="200" w:before="0"/>
      </w:pPr>
      <w:r>
        <w:rPr>
          <w:b w:val="0"/>
          <w:i/>
          <w:color w:val="6E7B77"/>
          <w:sz w:val="17"/>
        </w:rPr>
        <w:t>Table 12 — where an outside source says something, and what the study did about it. In every case the answer is the same in substance: the company's own issued documents are the only source of anything the company reports about itself.</w:t>
      </w:r>
    </w:p>
    <w:p>
      <w:pPr>
        <w:spacing w:after="120" w:before="0"/>
      </w:pPr>
      <w:r>
        <w:rPr>
          <w:b w:val="0"/>
          <w:i w:val="0"/>
          <w:color w:val="1C3A36"/>
          <w:sz w:val="21"/>
        </w:rPr>
        <w:t>To state it once more, plainly, because it is the rule the whole study rests on: every historical figure in the model — every line of the income statement, the balance sheet and the cash-flow statement, every volume, every station count and every per-litre margin — comes from the company's own issued and audited or reviewed documents. Market data, peer multiples and press reporting appear only as cross-checks, are labelled as such wherever they appear, and were never a build source.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