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Where the calibration stands</w:t>
      </w:r>
    </w:p>
    <w:p>
      <w:pPr>
        <w:spacing w:after="200"/>
      </w:pPr>
      <w:r>
        <w:rPr>
          <w:b/>
          <w:i w:val="0"/>
          <w:color w:val="1A1D21"/>
          <w:sz w:val="22"/>
        </w:rPr>
        <w:t>2 calibrated  ·  1 attempted and blocked  ·  87 still to go, of 90 names in the book.</w:t>
      </w:r>
    </w:p>
    <w:p>
      <w:pPr>
        <w:pStyle w:val="Heading2"/>
      </w:pPr>
      <w:r>
        <w:t>Stocks that have been calibrated</w:t>
      </w:r>
    </w:p>
    <w:p>
      <w:pPr>
        <w:spacing w:after="120"/>
      </w:pPr>
      <w:r>
        <w:rPr>
          <w:b w:val="0"/>
          <w:i/>
          <w:color w:val="5B6570"/>
          <w:sz w:val="18"/>
        </w:rPr>
        <w:t>Generated from the fair-value store, never typed — the same figures the fair-value register renders, so the two cannot disagree.</w:t>
      </w:r>
    </w:p>
    <w:tbl>
      <w:tblPr>
        <w:tblStyle w:val="TableGrid"/>
        <w:tblW w:type="auto" w:w="0"/>
        <w:jc w:val="center"/>
        <w:tblLayout w:type="fixed"/>
        <w:tblLook w:firstColumn="1" w:firstRow="1" w:lastColumn="0" w:lastRow="0" w:noHBand="0" w:noVBand="1" w:val="04A0"/>
        <w:tblLayout w:type="fixed"/>
      </w:tblPr>
      <w:tblGrid>
        <w:gridCol w:w="1134"/>
        <w:gridCol w:w="1247"/>
        <w:gridCol w:w="3062"/>
        <w:gridCol w:w="1644"/>
        <w:gridCol w:w="1644"/>
        <w:gridCol w:w="1021"/>
      </w:tblGrid>
      <w:tr>
        <w:tc>
          <w:tcPr>
            <w:tcW w:type="dxa" w:w="1134"/>
          </w:tcPr>
          <w:p>
            <w:r/>
            <w:r>
              <w:rPr>
                <w:b/>
                <w:color w:val="5B6570"/>
                <w:sz w:val="18"/>
              </w:rPr>
              <w:t>Stock</w:t>
            </w:r>
          </w:p>
        </w:tc>
        <w:tc>
          <w:tcPr>
            <w:tcW w:type="dxa" w:w="1247"/>
          </w:tcPr>
          <w:p>
            <w:r/>
            <w:r>
              <w:rPr>
                <w:b/>
                <w:color w:val="5B6570"/>
                <w:sz w:val="18"/>
              </w:rPr>
              <w:t>Market</w:t>
            </w:r>
          </w:p>
        </w:tc>
        <w:tc>
          <w:tcPr>
            <w:tcW w:type="dxa" w:w="3061"/>
          </w:tcPr>
          <w:p>
            <w:r/>
            <w:r>
              <w:rPr>
                <w:b/>
                <w:color w:val="5B6570"/>
                <w:sz w:val="18"/>
              </w:rPr>
              <w:t>Class</w:t>
            </w:r>
          </w:p>
        </w:tc>
        <w:tc>
          <w:tcPr>
            <w:tcW w:type="dxa" w:w="1644"/>
          </w:tcPr>
          <w:p>
            <w:r/>
            <w:r>
              <w:rPr>
                <w:b/>
                <w:color w:val="5B6570"/>
                <w:sz w:val="18"/>
              </w:rPr>
              <w:t>Fair price before</w:t>
            </w:r>
          </w:p>
        </w:tc>
        <w:tc>
          <w:tcPr>
            <w:tcW w:type="dxa" w:w="1644"/>
          </w:tcPr>
          <w:p>
            <w:r/>
            <w:r>
              <w:rPr>
                <w:b/>
                <w:color w:val="5B6570"/>
                <w:sz w:val="18"/>
              </w:rPr>
              <w:t>Fair price after</w:t>
            </w:r>
          </w:p>
        </w:tc>
        <w:tc>
          <w:tcPr>
            <w:tcW w:type="dxa" w:w="1020"/>
          </w:tcPr>
          <w:p>
            <w:r/>
            <w:r>
              <w:rPr>
                <w:b/>
                <w:color w:val="5B6570"/>
                <w:sz w:val="18"/>
              </w:rPr>
              <w:t>Move</w:t>
            </w:r>
          </w:p>
        </w:tc>
      </w:tr>
      <w:tr>
        <w:tc>
          <w:tcPr>
            <w:tcW w:type="dxa" w:w="1134"/>
          </w:tcPr>
          <w:p>
            <w:r/>
            <w:r>
              <w:rPr>
                <w:color w:val="1A1D21"/>
                <w:sz w:val="18"/>
              </w:rPr>
              <w:t>PHDC</w:t>
            </w:r>
          </w:p>
        </w:tc>
        <w:tc>
          <w:tcPr>
            <w:tcW w:type="dxa" w:w="1247"/>
          </w:tcPr>
          <w:p>
            <w:r/>
            <w:r>
              <w:rPr>
                <w:color w:val="1A1D21"/>
                <w:sz w:val="18"/>
              </w:rPr>
              <w:t>EG / EGX</w:t>
            </w:r>
          </w:p>
        </w:tc>
        <w:tc>
          <w:tcPr>
            <w:tcW w:type="dxa" w:w="3061"/>
          </w:tcPr>
          <w:p>
            <w:r/>
            <w:r>
              <w:rPr>
                <w:color w:val="1A1D21"/>
                <w:sz w:val="18"/>
              </w:rPr>
              <w:t>real-estate developer, off-plan, percentage-of-completion</w:t>
            </w:r>
          </w:p>
        </w:tc>
        <w:tc>
          <w:tcPr>
            <w:tcW w:type="dxa" w:w="1644"/>
          </w:tcPr>
          <w:p>
            <w:r/>
            <w:r>
              <w:rPr>
                <w:color w:val="1A1D21"/>
                <w:sz w:val="18"/>
              </w:rPr>
              <w:t>EGP 7.62 – 24.92  (central 15.89)</w:t>
            </w:r>
          </w:p>
        </w:tc>
        <w:tc>
          <w:tcPr>
            <w:tcW w:type="dxa" w:w="1644"/>
          </w:tcPr>
          <w:p>
            <w:r/>
            <w:r>
              <w:rPr>
                <w:color w:val="1A1D21"/>
                <w:sz w:val="18"/>
              </w:rPr>
              <w:t>EGP 4.6 – 23.33  (central 10.94)</w:t>
            </w:r>
          </w:p>
        </w:tc>
        <w:tc>
          <w:tcPr>
            <w:tcW w:type="dxa" w:w="1020"/>
          </w:tcPr>
          <w:p>
            <w:r/>
            <w:r>
              <w:rPr>
                <w:color w:val="1A1D21"/>
                <w:sz w:val="18"/>
              </w:rPr>
              <w:t>-31.2%</w:t>
            </w:r>
          </w:p>
        </w:tc>
      </w:tr>
      <w:tr>
        <w:tc>
          <w:tcPr>
            <w:tcW w:type="dxa" w:w="1134"/>
          </w:tcPr>
          <w:p>
            <w:r/>
            <w:r>
              <w:rPr>
                <w:color w:val="1A1D21"/>
                <w:sz w:val="18"/>
              </w:rPr>
              <w:t>TMGH</w:t>
            </w:r>
          </w:p>
        </w:tc>
        <w:tc>
          <w:tcPr>
            <w:tcW w:type="dxa" w:w="1247"/>
          </w:tcPr>
          <w:p>
            <w:r/>
            <w:r>
              <w:rPr>
                <w:color w:val="1A1D21"/>
                <w:sz w:val="18"/>
              </w:rPr>
              <w:t>EG / EGX</w:t>
            </w:r>
          </w:p>
        </w:tc>
        <w:tc>
          <w:tcPr>
            <w:tcW w:type="dxa" w:w="3061"/>
          </w:tcPr>
          <w:p>
            <w:r/>
            <w:r>
              <w:rPr>
                <w:color w:val="1A1D21"/>
                <w:sz w:val="18"/>
              </w:rPr>
              <w:t>real-estate developer, off-plan, point-in-time on handover</w:t>
            </w:r>
          </w:p>
        </w:tc>
        <w:tc>
          <w:tcPr>
            <w:tcW w:type="dxa" w:w="1644"/>
          </w:tcPr>
          <w:p>
            <w:r/>
            <w:r>
              <w:rPr>
                <w:color w:val="1A1D21"/>
                <w:sz w:val="18"/>
              </w:rPr>
              <w:t>EGP 83.6 – 189.6  (central 147.12)</w:t>
            </w:r>
          </w:p>
        </w:tc>
        <w:tc>
          <w:tcPr>
            <w:tcW w:type="dxa" w:w="1644"/>
          </w:tcPr>
          <w:p>
            <w:r/>
            <w:r>
              <w:rPr>
                <w:color w:val="1A1D21"/>
                <w:sz w:val="18"/>
              </w:rPr>
              <w:t>EGP 22.3 – 59.67  (central 39.33)  **under revision**</w:t>
            </w:r>
          </w:p>
        </w:tc>
        <w:tc>
          <w:tcPr>
            <w:tcW w:type="dxa" w:w="1020"/>
          </w:tcPr>
          <w:p>
            <w:r/>
            <w:r>
              <w:rPr>
                <w:color w:val="1A1D21"/>
                <w:sz w:val="18"/>
              </w:rPr>
              <w:t>-73.3%</w:t>
            </w:r>
          </w:p>
        </w:tc>
      </w:tr>
    </w:tbl>
    <w:p/>
    <w:p>
      <w:pPr>
        <w:spacing w:after="120"/>
      </w:pPr>
      <w:r>
        <w:rPr>
          <w:b w:val="0"/>
          <w:i w:val="0"/>
          <w:color w:val="5B6570"/>
          <w:sz w:val="18"/>
        </w:rPr>
        <w:t>PHDC — before-calibration price recovered from assets/data.js history: unchanged across all 281 commits touching that file between 11-Jun-2026 and 01-Sep-2026. The original record declared it unrecoverable on the evidence of a SHALLOW clone holding 23 commits; unshallowing the repository resolved it. An empty result was read as a clean one..</w:t>
      </w:r>
    </w:p>
    <w:p>
      <w:pPr>
        <w:spacing w:after="120"/>
      </w:pPr>
      <w:r>
        <w:rPr>
          <w:b w:val="0"/>
          <w:i w:val="0"/>
          <w:color w:val="5B6570"/>
          <w:sz w:val="18"/>
        </w:rPr>
        <w:t>TMGH — UNDER REVISION — REJECTED BY THE USER, 01-Sep-2026, and the sanity gate [R-SANITY-01] reproduces the objection on three counts. (1) New sales open at EGP 300,000mn against an FY2025 actual of 382,200mn and then fade 15% a year to 96,173mn by 2033 -- a nominal collapse in an economy near 20% inflation, for a company whose order book is at a record. The fade was added to stop an earlier version's order book exploding and over-corrected past sensible into the opposite error. (2) The model discounts at 35.79% while the study's OWN reverse DCF puts the market's implied rate at 23.09% -- a 12.7 point gap that was computed, printed and not acted on. (3) The result says the market is paying about 2.5 times what the company is worth, which was never put to the user before delivery. The valuation is being rebuilt; this figure is recorded as delivered and NOT as sound..</w:t>
      </w:r>
    </w:p>
    <w:p>
      <w:pPr>
        <w:spacing w:after="120"/>
      </w:pPr>
      <w:r>
        <w:rPr>
          <w:b w:val="0"/>
          <w:i w:val="0"/>
          <w:color w:val="5B6570"/>
          <w:sz w:val="18"/>
        </w:rPr>
        <w:t>The fair price is the central case. Where a study publishes several cases and no single point, this column carries the median of them so the before-and-after can be compared at all; the study's own range is the thing to quote, never this cell.</w:t>
      </w:r>
    </w:p>
    <w:p>
      <w:pPr>
        <w:pStyle w:val="Heading2"/>
      </w:pPr>
      <w:r>
        <w:t>Stocks we tried to calibrate and could not</w:t>
      </w:r>
    </w:p>
    <w:p>
      <w:pPr>
        <w:spacing w:after="120"/>
      </w:pPr>
      <w:r>
        <w:rPr>
          <w:b w:val="0"/>
          <w:i/>
          <w:color w:val="5B6570"/>
          <w:sz w:val="18"/>
        </w:rPr>
        <w:t>A run that stopped is evidence too. Leaving these out would make the list above read as though nothing else was attempted.</w:t>
      </w:r>
    </w:p>
    <w:p>
      <w:pPr>
        <w:spacing w:after="60"/>
      </w:pPr>
      <w:r>
        <w:rPr>
          <w:b/>
          <w:i w:val="0"/>
          <w:color w:val="1A1D21"/>
          <w:sz w:val="22"/>
        </w:rPr>
        <w:t>EMFD — Emaar Misr for Development Company (S.A.E.)</w:t>
      </w:r>
    </w:p>
    <w:p>
      <w:pPr>
        <w:spacing w:after="80"/>
      </w:pPr>
      <w:r>
        <w:rPr>
          <w:b/>
          <w:i w:val="0"/>
          <w:color w:val="B03A2E"/>
          <w:sz w:val="20"/>
        </w:rPr>
        <w:t>Blocked at [R-FCAL-01] section 1 — source integrity. the three most recent fiscal years cannot be obtained from the company's own audited statements or its own investor-relations documents.</w:t>
      </w:r>
    </w:p>
    <w:p>
      <w:pPr>
        <w:spacing w:after="120"/>
      </w:pPr>
      <w:r>
        <w:rPr>
          <w:b w:val="0"/>
          <w:i w:val="0"/>
          <w:color w:val="1A1D21"/>
          <w:sz w:val="20"/>
        </w:rPr>
        <w:t>The company's investor-relations archive publishes financial statements from FY2013 to H1-2021 and then stops. Everything from FY2021 onward — the three most recent fiscal years and every quarter of the current one — is absent from it. The exchange holds the later filings and answers automated requests with an anti-bot page. The company's own embedded IR platform declares its data service on port 8080, which this environment's egress does not carry; the same host answers normally on the standard port, so the restriction is ours and not the company's. Aggregator figures for the missing years are readily available and were deliberately not used, because a data vendor may not be the source of a company's own reported historicals — a training record built on them would measure our method against somebody else's transcription.</w:t>
      </w:r>
    </w:p>
    <w:p>
      <w:pPr>
        <w:spacing w:after="40"/>
      </w:pPr>
      <w:r>
        <w:rPr>
          <w:b/>
          <w:i w:val="0"/>
          <w:color w:val="1A1D21"/>
          <w:sz w:val="19"/>
        </w:rPr>
        <w:t>What would unblock it:</w:t>
      </w:r>
    </w:p>
    <w:p>
      <w:pPr>
        <w:spacing w:after="40"/>
        <w:ind w:left="283"/>
      </w:pPr>
      <w:r>
        <w:rPr>
          <w:b w:val="0"/>
          <w:i w:val="0"/>
          <w:color w:val="1A1D21"/>
          <w:sz w:val="19"/>
        </w:rPr>
        <w:t>•  Audited annual financial statements for FY2023, FY2024 and FY2025</w:t>
      </w:r>
    </w:p>
    <w:p>
      <w:pPr>
        <w:spacing w:after="40"/>
        <w:ind w:left="283"/>
      </w:pPr>
      <w:r>
        <w:rPr>
          <w:b w:val="0"/>
          <w:i w:val="0"/>
          <w:color w:val="1A1D21"/>
          <w:sz w:val="19"/>
        </w:rPr>
        <w:t>•  Every disclosed quarter of FY2026 (reviewed interim statements)</w:t>
      </w:r>
    </w:p>
    <w:p>
      <w:pPr>
        <w:spacing w:after="40"/>
        <w:ind w:left="283"/>
      </w:pPr>
      <w:r>
        <w:rPr>
          <w:b w:val="0"/>
          <w:i w:val="0"/>
          <w:color w:val="1A1D21"/>
          <w:sz w:val="19"/>
        </w:rPr>
        <w:t>•  Results releases or investor presentations for those same periods — the statements carry no unit counts</w:t>
      </w:r>
    </w:p>
    <w:p>
      <w:pPr>
        <w:spacing w:after="120"/>
      </w:pPr>
      <w:r>
        <w:rPr>
          <w:b w:val="0"/>
          <w:i w:val="0"/>
          <w:color w:val="5B6570"/>
          <w:sz w:val="19"/>
        </w:rPr>
        <w:t>And what would still be missing.  Even with those documents the middle of the window stays hollow: delivered-unit counts exist for FY2015-FY2017 and for FY2018, FY2019 and FY2020 they appear nowhere on the company's register, so the three drivers that carry this class are unscoreable across those years and interpolating a count is not permitted.</w:t>
      </w:r>
    </w:p>
    <w:p>
      <w:pPr>
        <w:spacing w:after="120"/>
      </w:pPr>
      <w:r>
        <w:rPr>
          <w:b w:val="0"/>
          <w:i w:val="0"/>
          <w:color w:val="5B6570"/>
          <w:sz w:val="19"/>
        </w:rPr>
        <w:t>What was learned anyway.  The panel that could be built was built and footed — profit or loss FY2012-FY2020, balance sheet FY2016-FY2020 — and eleven lessons came out of it. They are recorded as found while building, not as walk-forward findings, because no forecast was ever scored.  (L-034, L-035, L-036, L-037, L-038, L-039, L-040, L-041, L-042, L-115, L-116)</w:t>
      </w:r>
    </w:p>
    <w:p>
      <w:pPr>
        <w:spacing w:after="120"/>
      </w:pPr>
      <w:r>
        <w:rPr>
          <w:b w:val="0"/>
          <w:i w:val="0"/>
          <w:color w:val="5B6570"/>
          <w:sz w:val="19"/>
        </w:rPr>
        <w:t>What could not be recorded.  Company-specific findings could not be filed at single-company scope, because such a lesson must name a real study directory and engine/emfd_study/ does not exist. They are held in this directory and in the Fundamental Driver Ledger until it does.</w:t>
      </w:r>
    </w:p>
    <w:p>
      <w:pPr>
        <w:pStyle w:val="Heading2"/>
      </w:pPr>
      <w:r>
        <w:t>Stocks still to be calibrated</w:t>
      </w:r>
    </w:p>
    <w:p>
      <w:pPr>
        <w:spacing w:after="120"/>
      </w:pPr>
      <w:r>
        <w:rPr>
          <w:b w:val="0"/>
          <w:i/>
          <w:color w:val="5B6570"/>
          <w:sz w:val="18"/>
        </w:rPr>
        <w:t>Resolved from the campaign queue at the moment this document was built, in the order the campaign runs them — never written down and kept by hand. A name leaves this list the moment its run exists.</w:t>
      </w:r>
    </w:p>
    <w:tbl>
      <w:tblPr>
        <w:tblStyle w:val="TableGrid"/>
        <w:tblW w:type="auto" w:w="0"/>
        <w:jc w:val="center"/>
        <w:tblLayout w:type="fixed"/>
        <w:tblLook w:firstColumn="1" w:firstRow="1" w:lastColumn="0" w:lastRow="0" w:noHBand="0" w:noVBand="1" w:val="04A0"/>
        <w:tblLayout w:type="fixed"/>
      </w:tblPr>
      <w:tblGrid>
        <w:gridCol w:w="2041"/>
        <w:gridCol w:w="794"/>
        <w:gridCol w:w="6917"/>
      </w:tblGrid>
      <w:tr>
        <w:tc>
          <w:tcPr>
            <w:tcW w:type="dxa" w:w="2041"/>
          </w:tcPr>
          <w:p>
            <w:r/>
            <w:r>
              <w:rPr>
                <w:b/>
                <w:color w:val="5B6570"/>
                <w:sz w:val="18"/>
              </w:rPr>
              <w:t>Market</w:t>
            </w:r>
          </w:p>
        </w:tc>
        <w:tc>
          <w:tcPr>
            <w:tcW w:type="dxa" w:w="794"/>
          </w:tcPr>
          <w:p>
            <w:r/>
            <w:r>
              <w:rPr>
                <w:b/>
                <w:color w:val="5B6570"/>
                <w:sz w:val="18"/>
              </w:rPr>
              <w:t>To go</w:t>
            </w:r>
          </w:p>
        </w:tc>
        <w:tc>
          <w:tcPr>
            <w:tcW w:type="dxa" w:w="6917"/>
          </w:tcPr>
          <w:p>
            <w:r/>
            <w:r>
              <w:rPr>
                <w:b/>
                <w:color w:val="5B6570"/>
                <w:sz w:val="18"/>
              </w:rPr>
              <w:t>Names, in queue order</w:t>
            </w:r>
          </w:p>
        </w:tc>
      </w:tr>
      <w:tr>
        <w:tc>
          <w:tcPr>
            <w:tcW w:type="dxa" w:w="2041"/>
          </w:tcPr>
          <w:p>
            <w:r/>
            <w:r>
              <w:rPr>
                <w:color w:val="1A1D21"/>
                <w:sz w:val="18"/>
              </w:rPr>
              <w:t>Egypt / EGX</w:t>
            </w:r>
          </w:p>
        </w:tc>
        <w:tc>
          <w:tcPr>
            <w:tcW w:type="dxa" w:w="794"/>
          </w:tcPr>
          <w:p>
            <w:r/>
            <w:r>
              <w:rPr>
                <w:color w:val="1A1D21"/>
                <w:sz w:val="18"/>
              </w:rPr>
              <w:t>34</w:t>
            </w:r>
          </w:p>
        </w:tc>
        <w:tc>
          <w:tcPr>
            <w:tcW w:type="dxa" w:w="6917"/>
          </w:tcPr>
          <w:p>
            <w:r/>
            <w:r>
              <w:rPr>
                <w:color w:val="1A1D21"/>
                <w:sz w:val="18"/>
              </w:rPr>
              <w:t>AMOC, ARCC, EGCH, ELEC, GBCO, PHAR, SCEM, SWDY, ABUK, ADIB, BTFH, CCAP, CLHO, COMI, DSCW, EFID, EFIH, EGAL, ETEL, FWRY, HELI, HRHO, ISPH, JUFO, KABO, LCSW, OCDI, OIH, ORAS, ORHD, ORWE, PRDC, RAYA, RMDA</w:t>
            </w:r>
          </w:p>
        </w:tc>
      </w:tr>
      <w:tr>
        <w:tc>
          <w:tcPr>
            <w:tcW w:type="dxa" w:w="2041"/>
          </w:tcPr>
          <w:p>
            <w:r/>
            <w:r>
              <w:rPr>
                <w:color w:val="1A1D21"/>
                <w:sz w:val="18"/>
              </w:rPr>
              <w:t>UAE / ADX + DFM</w:t>
            </w:r>
          </w:p>
        </w:tc>
        <w:tc>
          <w:tcPr>
            <w:tcW w:type="dxa" w:w="794"/>
          </w:tcPr>
          <w:p>
            <w:r/>
            <w:r>
              <w:rPr>
                <w:color w:val="1A1D21"/>
                <w:sz w:val="18"/>
              </w:rPr>
              <w:t>28</w:t>
            </w:r>
          </w:p>
        </w:tc>
        <w:tc>
          <w:tcPr>
            <w:tcW w:type="dxa" w:w="6917"/>
          </w:tcPr>
          <w:p>
            <w:r/>
            <w:r>
              <w:rPr>
                <w:color w:val="1A1D21"/>
                <w:sz w:val="18"/>
              </w:rPr>
              <w:t>ADNOCDIST, ADNOCDRILL, ADNOCLS, AIRARABIA, AMR, BOROUGE, DU, EMPOWER, FERTIGLB, MODON, 2POINTZERO, ADCB, ADIBUAE, ADNOCGAS, AGTHIA, ALDAR, ALPHADHABI, BURJEEL, DEWA, DIB, EAND, EMAAR, EMAARDEV, ENBD, FAB, IHC, LULU, SALIK</w:t>
            </w:r>
          </w:p>
        </w:tc>
      </w:tr>
      <w:tr>
        <w:tc>
          <w:tcPr>
            <w:tcW w:type="dxa" w:w="2041"/>
          </w:tcPr>
          <w:p>
            <w:r/>
            <w:r>
              <w:rPr>
                <w:color w:val="1A1D21"/>
                <w:sz w:val="18"/>
              </w:rPr>
              <w:t>Saudi Arabia / Tadawul</w:t>
            </w:r>
          </w:p>
        </w:tc>
        <w:tc>
          <w:tcPr>
            <w:tcW w:type="dxa" w:w="794"/>
          </w:tcPr>
          <w:p>
            <w:r/>
            <w:r>
              <w:rPr>
                <w:color w:val="1A1D21"/>
                <w:sz w:val="18"/>
              </w:rPr>
              <w:t>13</w:t>
            </w:r>
          </w:p>
        </w:tc>
        <w:tc>
          <w:tcPr>
            <w:tcW w:type="dxa" w:w="6917"/>
          </w:tcPr>
          <w:p>
            <w:r/>
            <w:r>
              <w:rPr>
                <w:color w:val="1A1D21"/>
                <w:sz w:val="18"/>
              </w:rPr>
              <w:t>RIYADHCABLE, SAVOLA, STC, ACWA, ALINMA, ALRAJHI, ARAMCO, ELM, EXTRA, MAADEN, RIBL, SABIC, SNB</w:t>
            </w:r>
          </w:p>
        </w:tc>
      </w:tr>
      <w:tr>
        <w:tc>
          <w:tcPr>
            <w:tcW w:type="dxa" w:w="2041"/>
          </w:tcPr>
          <w:p>
            <w:r/>
            <w:r>
              <w:rPr>
                <w:color w:val="1A1D21"/>
                <w:sz w:val="18"/>
              </w:rPr>
              <w:t>Qatar / QSE</w:t>
            </w:r>
          </w:p>
        </w:tc>
        <w:tc>
          <w:tcPr>
            <w:tcW w:type="dxa" w:w="794"/>
          </w:tcPr>
          <w:p>
            <w:r/>
            <w:r>
              <w:rPr>
                <w:color w:val="1A1D21"/>
                <w:sz w:val="18"/>
              </w:rPr>
              <w:t>3</w:t>
            </w:r>
          </w:p>
        </w:tc>
        <w:tc>
          <w:tcPr>
            <w:tcW w:type="dxa" w:w="6917"/>
          </w:tcPr>
          <w:p>
            <w:r/>
            <w:r>
              <w:rPr>
                <w:color w:val="1A1D21"/>
                <w:sz w:val="18"/>
              </w:rPr>
              <w:t>IQCD, QGTS, QNB</w:t>
            </w:r>
          </w:p>
        </w:tc>
      </w:tr>
      <w:tr>
        <w:tc>
          <w:tcPr>
            <w:tcW w:type="dxa" w:w="2041"/>
          </w:tcPr>
          <w:p>
            <w:r/>
            <w:r>
              <w:rPr>
                <w:color w:val="1A1D21"/>
                <w:sz w:val="18"/>
              </w:rPr>
              <w:t>India / NSE</w:t>
            </w:r>
          </w:p>
        </w:tc>
        <w:tc>
          <w:tcPr>
            <w:tcW w:type="dxa" w:w="794"/>
          </w:tcPr>
          <w:p>
            <w:r/>
            <w:r>
              <w:rPr>
                <w:color w:val="1A1D21"/>
                <w:sz w:val="18"/>
              </w:rPr>
              <w:t>3</w:t>
            </w:r>
          </w:p>
        </w:tc>
        <w:tc>
          <w:tcPr>
            <w:tcW w:type="dxa" w:w="6917"/>
          </w:tcPr>
          <w:p>
            <w:r/>
            <w:r>
              <w:rPr>
                <w:color w:val="1A1D21"/>
                <w:sz w:val="18"/>
              </w:rPr>
              <w:t>INFY, RELIANCE, TMPV</w:t>
            </w:r>
          </w:p>
        </w:tc>
      </w:tr>
      <w:tr>
        <w:tc>
          <w:tcPr>
            <w:tcW w:type="dxa" w:w="2041"/>
          </w:tcPr>
          <w:p>
            <w:r/>
            <w:r>
              <w:rPr>
                <w:color w:val="1A1D21"/>
                <w:sz w:val="18"/>
              </w:rPr>
              <w:t>Korea / KRX</w:t>
            </w:r>
          </w:p>
        </w:tc>
        <w:tc>
          <w:tcPr>
            <w:tcW w:type="dxa" w:w="794"/>
          </w:tcPr>
          <w:p>
            <w:r/>
            <w:r>
              <w:rPr>
                <w:color w:val="1A1D21"/>
                <w:sz w:val="18"/>
              </w:rPr>
              <w:t>3</w:t>
            </w:r>
          </w:p>
        </w:tc>
        <w:tc>
          <w:tcPr>
            <w:tcW w:type="dxa" w:w="6917"/>
          </w:tcPr>
          <w:p>
            <w:r/>
            <w:r>
              <w:rPr>
                <w:color w:val="1A1D21"/>
                <w:sz w:val="18"/>
              </w:rPr>
              <w:t>KAKAO, LGES, SAMSUNG</w:t>
            </w:r>
          </w:p>
        </w:tc>
      </w:tr>
      <w:tr>
        <w:tc>
          <w:tcPr>
            <w:tcW w:type="dxa" w:w="2041"/>
          </w:tcPr>
          <w:p>
            <w:r/>
            <w:r>
              <w:rPr>
                <w:color w:val="1A1D21"/>
                <w:sz w:val="18"/>
              </w:rPr>
              <w:t>United States / NASDAQ</w:t>
            </w:r>
          </w:p>
        </w:tc>
        <w:tc>
          <w:tcPr>
            <w:tcW w:type="dxa" w:w="794"/>
          </w:tcPr>
          <w:p>
            <w:r/>
            <w:r>
              <w:rPr>
                <w:color w:val="1A1D21"/>
                <w:sz w:val="18"/>
              </w:rPr>
              <w:t>3</w:t>
            </w:r>
          </w:p>
        </w:tc>
        <w:tc>
          <w:tcPr>
            <w:tcW w:type="dxa" w:w="6917"/>
          </w:tcPr>
          <w:p>
            <w:r/>
            <w:r>
              <w:rPr>
                <w:color w:val="1A1D21"/>
                <w:sz w:val="18"/>
              </w:rPr>
              <w:t>AAPL, NVDA, TSLA</w:t>
            </w:r>
          </w:p>
        </w:tc>
      </w:tr>
    </w:tbl>
    <w:p/>
    <w:p>
      <w:pPr>
        <w:spacing w:after="120"/>
      </w:pPr>
      <w:r>
        <w:rPr>
          <w:b w:val="0"/>
          <w:i w:val="0"/>
          <w:color w:val="5B6570"/>
          <w:sz w:val="18"/>
        </w:rPr>
        <w:t>3 names excluded from the campaign by construction (GOLD, SILVER, PLATINUM): no issuer, no financial statements and no drivers, so there is no forecasting method to test.</w:t>
      </w:r>
    </w:p>
    <w:p>
      <w:pPr>
        <w:spacing w:after="120"/>
      </w:pPr>
      <w:r>
        <w:rPr>
          <w:b w:val="0"/>
          <w:i w:val="0"/>
          <w:color w:val="5B6570"/>
          <w:sz w:val="18"/>
        </w:rPr>
        <w:t>The campaign stops after the first market to review whether the method generalises before the next begins, so this list is an order rather than a schedule.</w:t>
      </w:r>
    </w:p>
    <w:p>
      <w:r>
        <w:br w:type="page"/>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47</w:t>
            </w:r>
          </w:p>
        </w:tc>
      </w:tr>
      <w:tr>
        <w:tc>
          <w:tcPr>
            <w:tcW w:type="dxa" w:w="6236"/>
          </w:tcPr>
          <w:p>
            <w:r/>
            <w:r>
              <w:rPr>
                <w:color w:val="1A1D21"/>
                <w:sz w:val="18"/>
              </w:rPr>
              <w:t>Bind on a class of company (CLASS)</w:t>
            </w:r>
          </w:p>
        </w:tc>
        <w:tc>
          <w:tcPr>
            <w:tcW w:type="dxa" w:w="2721"/>
          </w:tcPr>
          <w:p>
            <w:r/>
            <w:r>
              <w:rPr>
                <w:color w:val="1A1D21"/>
                <w:sz w:val="18"/>
              </w:rPr>
              <w:t>18</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70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21</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2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(23):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