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11.83 a share against a market price of EGP 13.50. Fair value sits 12.3% BELOW the price; equivalently the price stands 14.1% ABOVE fair value. The range across the lenses is EGP 1.59 to 24.97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13.18, -2.3%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10.36%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58%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1.59</w:t>
            </w:r>
          </w:p>
        </w:tc>
        <w:tc>
          <w:tcPr>
            <w:tcW w:type="dxa" w:w="1037"/>
          </w:tcPr>
          <w:p>
            <w:pPr>
              <w:spacing w:after="20"/>
              <w:jc w:val="right"/>
            </w:pPr>
            <w:r>
              <w:rPr>
                <w:color w:val="1C3A36"/>
                <w:sz w:val="18"/>
              </w:rPr>
              <w:t>11.83</w:t>
            </w:r>
          </w:p>
        </w:tc>
        <w:tc>
          <w:tcPr>
            <w:tcW w:type="dxa" w:w="1037"/>
          </w:tcPr>
          <w:p>
            <w:pPr>
              <w:spacing w:after="20"/>
              <w:jc w:val="right"/>
            </w:pPr>
            <w:r>
              <w:rPr>
                <w:color w:val="1C3A36"/>
                <w:sz w:val="18"/>
              </w:rPr>
              <w:t>24.97</w:t>
            </w:r>
          </w:p>
        </w:tc>
        <w:tc>
          <w:tcPr>
            <w:tcW w:type="dxa" w:w="1037"/>
          </w:tcPr>
          <w:p>
            <w:pPr>
              <w:spacing w:after="20"/>
              <w:jc w:val="right"/>
            </w:pPr>
            <w:r>
              <w:rPr>
                <w:color w:val="1C3A36"/>
                <w:sz w:val="18"/>
              </w:rPr>
              <w:t>-12.3%</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9.22</w:t>
            </w:r>
          </w:p>
        </w:tc>
        <w:tc>
          <w:tcPr>
            <w:tcW w:type="dxa" w:w="1037"/>
          </w:tcPr>
          <w:p>
            <w:pPr>
              <w:spacing w:after="20"/>
              <w:jc w:val="right"/>
            </w:pPr>
            <w:r>
              <w:rPr>
                <w:color w:val="1C3A36"/>
                <w:sz w:val="18"/>
              </w:rPr>
              <w:t>11.32</w:t>
            </w:r>
          </w:p>
        </w:tc>
        <w:tc>
          <w:tcPr>
            <w:tcW w:type="dxa" w:w="1037"/>
          </w:tcPr>
          <w:p>
            <w:pPr>
              <w:spacing w:after="20"/>
              <w:jc w:val="right"/>
            </w:pPr>
            <w:r>
              <w:rPr>
                <w:color w:val="1C3A36"/>
                <w:sz w:val="18"/>
              </w:rPr>
              <w:t>-31.7%</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1.59</w:t>
            </w:r>
          </w:p>
        </w:tc>
        <w:tc>
          <w:tcPr>
            <w:tcW w:type="dxa" w:w="1037"/>
            <w:shd w:val="clear" w:color="auto" w:fill="F6F1E6"/>
          </w:tcPr>
          <w:p>
            <w:pPr>
              <w:spacing w:after="20"/>
              <w:jc w:val="right"/>
            </w:pPr>
            <w:r>
              <w:rPr>
                <w:b/>
                <w:color w:val="1C3A36"/>
                <w:sz w:val="18"/>
              </w:rPr>
              <w:t>11.83</w:t>
            </w:r>
          </w:p>
        </w:tc>
        <w:tc>
          <w:tcPr>
            <w:tcW w:type="dxa" w:w="1037"/>
            <w:shd w:val="clear" w:color="auto" w:fill="F6F1E6"/>
          </w:tcPr>
          <w:p>
            <w:pPr>
              <w:spacing w:after="20"/>
              <w:jc w:val="right"/>
            </w:pPr>
            <w:r>
              <w:rPr>
                <w:b/>
                <w:color w:val="1C3A36"/>
                <w:sz w:val="18"/>
              </w:rPr>
              <w:t>24.97</w:t>
            </w:r>
          </w:p>
        </w:tc>
        <w:tc>
          <w:tcPr>
            <w:tcW w:type="dxa" w:w="1037"/>
            <w:shd w:val="clear" w:color="auto" w:fill="F6F1E6"/>
          </w:tcPr>
          <w:p>
            <w:pPr>
              <w:spacing w:after="20"/>
              <w:jc w:val="right"/>
            </w:pPr>
            <w:r>
              <w:rPr>
                <w:b/>
                <w:color w:val="1C3A36"/>
                <w:sz w:val="18"/>
              </w:rPr>
              <w:t>-12.3%</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1.59–24.97; that is reported as an ENVELOPE. The retired 45/20/20/15 blend of these four would read EGP 10.62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Four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12.14  (+2.6%)</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12.61  (+6.5%)</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12.03  (+1.7%)</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47,378</w:t>
            </w:r>
          </w:p>
        </w:tc>
        <w:tc>
          <w:tcPr>
            <w:tcW w:type="dxa" w:w="1238"/>
          </w:tcPr>
          <w:p>
            <w:pPr>
              <w:spacing w:after="20"/>
              <w:jc w:val="right"/>
            </w:pPr>
            <w:r>
              <w:rPr>
                <w:color w:val="1C3A36"/>
                <w:sz w:val="17"/>
              </w:rPr>
              <w:t>52,219</w:t>
            </w:r>
          </w:p>
        </w:tc>
        <w:tc>
          <w:tcPr>
            <w:tcW w:type="dxa" w:w="1238"/>
          </w:tcPr>
          <w:p>
            <w:pPr>
              <w:spacing w:after="20"/>
              <w:jc w:val="right"/>
            </w:pPr>
            <w:r>
              <w:rPr>
                <w:color w:val="1C3A36"/>
                <w:sz w:val="17"/>
              </w:rPr>
              <w:t>56,793</w:t>
            </w:r>
          </w:p>
        </w:tc>
        <w:tc>
          <w:tcPr>
            <w:tcW w:type="dxa" w:w="1238"/>
          </w:tcPr>
          <w:p>
            <w:pPr>
              <w:spacing w:after="20"/>
              <w:jc w:val="right"/>
            </w:pPr>
            <w:r>
              <w:rPr>
                <w:color w:val="1C3A36"/>
                <w:sz w:val="17"/>
              </w:rPr>
              <w:t>60,940</w:t>
            </w:r>
          </w:p>
        </w:tc>
        <w:tc>
          <w:tcPr>
            <w:tcW w:type="dxa" w:w="1238"/>
          </w:tcPr>
          <w:p>
            <w:pPr>
              <w:spacing w:after="20"/>
              <w:jc w:val="right"/>
            </w:pPr>
            <w:r>
              <w:rPr>
                <w:color w:val="1C3A36"/>
                <w:sz w:val="17"/>
              </w:rPr>
              <w:t>65,093</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5,078</w:t>
            </w:r>
          </w:p>
        </w:tc>
        <w:tc>
          <w:tcPr>
            <w:tcW w:type="dxa" w:w="1238"/>
            <w:shd w:val="clear" w:color="auto" w:fill="F6F1E6"/>
          </w:tcPr>
          <w:p>
            <w:pPr>
              <w:spacing w:after="20"/>
              <w:jc w:val="right"/>
            </w:pPr>
            <w:r>
              <w:rPr>
                <w:b/>
                <w:color w:val="1C3A36"/>
                <w:sz w:val="17"/>
              </w:rPr>
              <w:t>5,611</w:t>
            </w:r>
          </w:p>
        </w:tc>
        <w:tc>
          <w:tcPr>
            <w:tcW w:type="dxa" w:w="1238"/>
            <w:shd w:val="clear" w:color="auto" w:fill="F6F1E6"/>
          </w:tcPr>
          <w:p>
            <w:pPr>
              <w:spacing w:after="20"/>
              <w:jc w:val="right"/>
            </w:pPr>
            <w:r>
              <w:rPr>
                <w:b/>
                <w:color w:val="1C3A36"/>
                <w:sz w:val="17"/>
              </w:rPr>
              <w:t>6,115</w:t>
            </w:r>
          </w:p>
        </w:tc>
        <w:tc>
          <w:tcPr>
            <w:tcW w:type="dxa" w:w="1238"/>
            <w:shd w:val="clear" w:color="auto" w:fill="F6F1E6"/>
          </w:tcPr>
          <w:p>
            <w:pPr>
              <w:spacing w:after="20"/>
              <w:jc w:val="right"/>
            </w:pPr>
            <w:r>
              <w:rPr>
                <w:b/>
                <w:color w:val="1C3A36"/>
                <w:sz w:val="17"/>
              </w:rPr>
              <w:t>6,571</w:t>
            </w:r>
          </w:p>
        </w:tc>
        <w:tc>
          <w:tcPr>
            <w:tcW w:type="dxa" w:w="1238"/>
            <w:shd w:val="clear" w:color="auto" w:fill="F6F1E6"/>
          </w:tcPr>
          <w:p>
            <w:pPr>
              <w:spacing w:after="20"/>
              <w:jc w:val="right"/>
            </w:pPr>
            <w:r>
              <w:rPr>
                <w:b/>
                <w:color w:val="1C3A36"/>
                <w:sz w:val="17"/>
              </w:rPr>
              <w:t>7,028</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9.74%</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3,087</w:t>
            </w:r>
          </w:p>
        </w:tc>
        <w:tc>
          <w:tcPr>
            <w:tcW w:type="dxa" w:w="1238"/>
          </w:tcPr>
          <w:p>
            <w:pPr>
              <w:spacing w:after="20"/>
              <w:jc w:val="right"/>
            </w:pPr>
            <w:r>
              <w:rPr>
                <w:color w:val="1C3A36"/>
                <w:sz w:val="17"/>
              </w:rPr>
              <w:t>3,361</w:t>
            </w:r>
          </w:p>
        </w:tc>
        <w:tc>
          <w:tcPr>
            <w:tcW w:type="dxa" w:w="1238"/>
          </w:tcPr>
          <w:p>
            <w:pPr>
              <w:spacing w:after="20"/>
              <w:jc w:val="right"/>
            </w:pPr>
            <w:r>
              <w:rPr>
                <w:color w:val="1C3A36"/>
                <w:sz w:val="17"/>
              </w:rPr>
              <w:t>3,606</w:t>
            </w:r>
          </w:p>
        </w:tc>
        <w:tc>
          <w:tcPr>
            <w:tcW w:type="dxa" w:w="1238"/>
          </w:tcPr>
          <w:p>
            <w:pPr>
              <w:spacing w:after="20"/>
              <w:jc w:val="right"/>
            </w:pPr>
            <w:r>
              <w:rPr>
                <w:color w:val="1C3A36"/>
                <w:sz w:val="17"/>
              </w:rPr>
              <w:t>3,812</w:t>
            </w:r>
          </w:p>
        </w:tc>
        <w:tc>
          <w:tcPr>
            <w:tcW w:type="dxa" w:w="1238"/>
          </w:tcPr>
          <w:p>
            <w:pPr>
              <w:spacing w:after="20"/>
              <w:jc w:val="right"/>
            </w:pPr>
            <w:r>
              <w:rPr>
                <w:color w:val="1C3A36"/>
                <w:sz w:val="17"/>
              </w:rPr>
              <w:t>4,007</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2,907</w:t>
            </w:r>
          </w:p>
        </w:tc>
        <w:tc>
          <w:tcPr>
            <w:tcW w:type="dxa" w:w="1238"/>
          </w:tcPr>
          <w:p>
            <w:pPr>
              <w:spacing w:after="20"/>
              <w:jc w:val="right"/>
            </w:pPr>
            <w:r>
              <w:rPr>
                <w:color w:val="1C3A36"/>
                <w:sz w:val="17"/>
              </w:rPr>
              <w:t>3,171</w:t>
            </w:r>
          </w:p>
        </w:tc>
        <w:tc>
          <w:tcPr>
            <w:tcW w:type="dxa" w:w="1238"/>
          </w:tcPr>
          <w:p>
            <w:pPr>
              <w:spacing w:after="20"/>
              <w:jc w:val="right"/>
            </w:pPr>
            <w:r>
              <w:rPr>
                <w:color w:val="1C3A36"/>
                <w:sz w:val="17"/>
              </w:rPr>
              <w:t>3,404</w:t>
            </w:r>
          </w:p>
        </w:tc>
        <w:tc>
          <w:tcPr>
            <w:tcW w:type="dxa" w:w="1238"/>
          </w:tcPr>
          <w:p>
            <w:pPr>
              <w:spacing w:after="20"/>
              <w:jc w:val="right"/>
            </w:pPr>
            <w:r>
              <w:rPr>
                <w:color w:val="1C3A36"/>
                <w:sz w:val="17"/>
              </w:rPr>
              <w:t>3,597</w:t>
            </w:r>
          </w:p>
        </w:tc>
        <w:tc>
          <w:tcPr>
            <w:tcW w:type="dxa" w:w="1238"/>
          </w:tcPr>
          <w:p>
            <w:pPr>
              <w:spacing w:after="20"/>
              <w:jc w:val="right"/>
            </w:pPr>
            <w:r>
              <w:rPr>
                <w:color w:val="1C3A36"/>
                <w:sz w:val="17"/>
              </w:rPr>
              <w:t>3,778</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2,135</w:t>
            </w:r>
          </w:p>
        </w:tc>
        <w:tc>
          <w:tcPr>
            <w:tcW w:type="dxa" w:w="1238"/>
          </w:tcPr>
          <w:p>
            <w:pPr>
              <w:spacing w:after="20"/>
              <w:jc w:val="right"/>
            </w:pPr>
            <w:r>
              <w:rPr>
                <w:color w:val="1C3A36"/>
                <w:sz w:val="17"/>
              </w:rPr>
              <w:t>2,329</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2,642</w:t>
            </w:r>
          </w:p>
        </w:tc>
        <w:tc>
          <w:tcPr>
            <w:tcW w:type="dxa" w:w="1238"/>
          </w:tcPr>
          <w:p>
            <w:pPr>
              <w:spacing w:after="20"/>
              <w:jc w:val="right"/>
            </w:pPr>
            <w:r>
              <w:rPr>
                <w:color w:val="1C3A36"/>
                <w:sz w:val="17"/>
              </w:rPr>
              <w:t>2,774</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397</w:t>
            </w:r>
          </w:p>
        </w:tc>
        <w:tc>
          <w:tcPr>
            <w:tcW w:type="dxa" w:w="1238"/>
          </w:tcPr>
          <w:p>
            <w:pPr>
              <w:spacing w:after="20"/>
              <w:jc w:val="right"/>
            </w:pPr>
            <w:r>
              <w:rPr>
                <w:color w:val="1C3A36"/>
                <w:sz w:val="17"/>
              </w:rPr>
              <w:t>388</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332</w:t>
            </w:r>
          </w:p>
        </w:tc>
        <w:tc>
          <w:tcPr>
            <w:tcW w:type="dxa" w:w="1238"/>
          </w:tcPr>
          <w:p>
            <w:pPr>
              <w:spacing w:after="20"/>
              <w:jc w:val="right"/>
            </w:pPr>
            <w:r>
              <w:rPr>
                <w:color w:val="1C3A36"/>
                <w:sz w:val="17"/>
              </w:rPr>
              <w:t>333</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1,739</w:t>
            </w:r>
          </w:p>
        </w:tc>
        <w:tc>
          <w:tcPr>
            <w:tcW w:type="dxa" w:w="1238"/>
            <w:shd w:val="clear" w:color="auto" w:fill="F6F1E6"/>
          </w:tcPr>
          <w:p>
            <w:pPr>
              <w:spacing w:after="20"/>
              <w:jc w:val="right"/>
            </w:pPr>
            <w:r>
              <w:rPr>
                <w:b/>
                <w:color w:val="1C3A36"/>
                <w:sz w:val="17"/>
              </w:rPr>
              <w:t>1,929</w:t>
            </w:r>
          </w:p>
        </w:tc>
        <w:tc>
          <w:tcPr>
            <w:tcW w:type="dxa" w:w="1238"/>
            <w:shd w:val="clear" w:color="auto" w:fill="F6F1E6"/>
          </w:tcPr>
          <w:p>
            <w:pPr>
              <w:spacing w:after="20"/>
              <w:jc w:val="right"/>
            </w:pPr>
            <w:r>
              <w:rPr>
                <w:b/>
                <w:color w:val="1C3A36"/>
                <w:sz w:val="17"/>
              </w:rPr>
              <w:t>2,110</w:t>
            </w:r>
          </w:p>
        </w:tc>
        <w:tc>
          <w:tcPr>
            <w:tcW w:type="dxa" w:w="1238"/>
            <w:shd w:val="clear" w:color="auto" w:fill="F6F1E6"/>
          </w:tcPr>
          <w:p>
            <w:pPr>
              <w:spacing w:after="20"/>
              <w:jc w:val="right"/>
            </w:pPr>
            <w:r>
              <w:rPr>
                <w:b/>
                <w:color w:val="1C3A36"/>
                <w:sz w:val="17"/>
              </w:rPr>
              <w:t>2,276</w:t>
            </w:r>
          </w:p>
        </w:tc>
        <w:tc>
          <w:tcPr>
            <w:tcW w:type="dxa" w:w="1238"/>
            <w:shd w:val="clear" w:color="auto" w:fill="F6F1E6"/>
          </w:tcPr>
          <w:p>
            <w:pPr>
              <w:spacing w:after="20"/>
              <w:jc w:val="right"/>
            </w:pPr>
            <w:r>
              <w:rPr>
                <w:b/>
                <w:color w:val="1C3A36"/>
                <w:sz w:val="17"/>
              </w:rPr>
              <w:t>2,399</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1,365</w:t>
            </w:r>
          </w:p>
        </w:tc>
        <w:tc>
          <w:tcPr>
            <w:tcW w:type="dxa" w:w="1238"/>
            <w:shd w:val="clear" w:color="auto" w:fill="F6F1E6"/>
          </w:tcPr>
          <w:p>
            <w:pPr>
              <w:spacing w:after="20"/>
              <w:jc w:val="right"/>
            </w:pPr>
            <w:r>
              <w:rPr>
                <w:b/>
                <w:color w:val="1C3A36"/>
                <w:sz w:val="17"/>
              </w:rPr>
              <w:t>1,234</w:t>
            </w:r>
          </w:p>
        </w:tc>
        <w:tc>
          <w:tcPr>
            <w:tcW w:type="dxa" w:w="1238"/>
            <w:shd w:val="clear" w:color="auto" w:fill="F6F1E6"/>
          </w:tcPr>
          <w:p>
            <w:pPr>
              <w:spacing w:after="20"/>
              <w:jc w:val="right"/>
            </w:pPr>
            <w:r>
              <w:rPr>
                <w:b/>
                <w:color w:val="1C3A36"/>
                <w:sz w:val="17"/>
              </w:rPr>
              <w:t>1,119</w:t>
            </w:r>
          </w:p>
        </w:tc>
        <w:tc>
          <w:tcPr>
            <w:tcW w:type="dxa" w:w="1238"/>
            <w:shd w:val="clear" w:color="auto" w:fill="F6F1E6"/>
          </w:tcPr>
          <w:p>
            <w:pPr>
              <w:spacing w:after="20"/>
              <w:jc w:val="right"/>
            </w:pPr>
            <w:r>
              <w:rPr>
                <w:b/>
                <w:color w:val="1C3A36"/>
                <w:sz w:val="17"/>
              </w:rPr>
              <w:t>1,013</w:t>
            </w:r>
          </w:p>
        </w:tc>
        <w:tc>
          <w:tcPr>
            <w:tcW w:type="dxa" w:w="1238"/>
            <w:shd w:val="clear" w:color="auto" w:fill="F6F1E6"/>
          </w:tcPr>
          <w:p>
            <w:pPr>
              <w:spacing w:after="20"/>
              <w:jc w:val="right"/>
            </w:pPr>
            <w:r>
              <w:rPr>
                <w:b/>
                <w:color w:val="1C3A36"/>
                <w:sz w:val="17"/>
              </w:rPr>
              <w:t>904</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5,635</w:t>
            </w:r>
          </w:p>
        </w:tc>
        <w:tc>
          <w:tcPr>
            <w:tcW w:type="dxa" w:w="1296"/>
          </w:tcPr>
          <w:p>
            <w:pPr>
              <w:spacing w:after="20"/>
              <w:jc w:val="right"/>
            </w:pPr>
            <w:r>
              <w:rPr>
                <w:color w:val="1C3A36"/>
                <w:sz w:val="17"/>
              </w:rPr>
              <w:t>4.36</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7,795</w:t>
            </w:r>
          </w:p>
        </w:tc>
        <w:tc>
          <w:tcPr>
            <w:tcW w:type="dxa" w:w="1296"/>
          </w:tcPr>
          <w:p>
            <w:pPr>
              <w:spacing w:after="20"/>
              <w:jc w:val="right"/>
            </w:pPr>
            <w:r>
              <w:rPr>
                <w:color w:val="1C3A36"/>
                <w:sz w:val="17"/>
              </w:rPr>
              <w:t>6.04</w:t>
            </w:r>
          </w:p>
        </w:tc>
        <w:tc>
          <w:tcPr>
            <w:tcW w:type="dxa" w:w="3600"/>
          </w:tcPr>
          <w:p>
            <w:pPr>
              <w:spacing w:after="20"/>
            </w:pPr>
            <w:r>
              <w:rPr>
                <w:color w:val="1C3A36"/>
                <w:sz w:val="17"/>
              </w:rPr>
              <w:t>58.0%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13,429</w:t>
            </w:r>
          </w:p>
        </w:tc>
        <w:tc>
          <w:tcPr>
            <w:tcW w:type="dxa" w:w="1296"/>
            <w:shd w:val="clear" w:color="auto" w:fill="F6F1E6"/>
          </w:tcPr>
          <w:p>
            <w:pPr>
              <w:spacing w:after="20"/>
              <w:jc w:val="right"/>
            </w:pPr>
            <w:r>
              <w:rPr>
                <w:b/>
                <w:color w:val="1C3A36"/>
                <w:sz w:val="17"/>
              </w:rPr>
              <w:t>10.40</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16,431</w:t>
            </w:r>
          </w:p>
        </w:tc>
        <w:tc>
          <w:tcPr>
            <w:tcW w:type="dxa" w:w="1296"/>
          </w:tcPr>
          <w:p>
            <w:pPr>
              <w:spacing w:after="20"/>
              <w:jc w:val="right"/>
            </w:pPr>
            <w:r>
              <w:rPr>
                <w:color w:val="1C3A36"/>
                <w:sz w:val="17"/>
              </w:rPr>
              <w:t>12.72</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(487)</w:t>
            </w:r>
          </w:p>
        </w:tc>
        <w:tc>
          <w:tcPr>
            <w:tcW w:type="dxa" w:w="1296"/>
          </w:tcPr>
          <w:p>
            <w:pPr>
              <w:spacing w:after="20"/>
              <w:jc w:val="right"/>
            </w:pPr>
            <w:r>
              <w:rPr>
                <w:color w:val="1C3A36"/>
                <w:sz w:val="17"/>
              </w:rPr>
              <w:t>(0.38)</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15,284</w:t>
            </w:r>
          </w:p>
        </w:tc>
        <w:tc>
          <w:tcPr>
            <w:tcW w:type="dxa" w:w="1296"/>
            <w:shd w:val="clear" w:color="auto" w:fill="F6F1E6"/>
          </w:tcPr>
          <w:p>
            <w:pPr>
              <w:spacing w:after="20"/>
              <w:jc w:val="right"/>
            </w:pPr>
            <w:r>
              <w:rPr>
                <w:b/>
                <w:color w:val="1C3A36"/>
                <w:sz w:val="17"/>
              </w:rPr>
              <w:t>11.83</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0.89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31.3%.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31.3% return, the terminal block reinvests 22.4% of profit. That is ABOVE the final explicit year’s 13.5%, so the terminal block is funded rather than flattered — a step of +8.84%, disclosed here because it RAISES nothing and a reader is entitled to see it either way. Terminal value carries 58.0%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6M Jun-2026</w:t>
            </w:r>
          </w:p>
        </w:tc>
        <w:tc>
          <w:tcPr>
            <w:tcW w:type="dxa" w:w="2520"/>
            <w:shd w:val="clear" w:color="auto" w:fill="F6F1E6"/>
          </w:tcPr>
          <w:p>
            <w:pPr>
              <w:spacing w:after="20"/>
              <w:jc w:val="right"/>
            </w:pPr>
            <w:r>
              <w:rPr>
                <w:b/>
                <w:color w:val="1C3A36"/>
                <w:sz w:val="17"/>
              </w:rPr>
              <w:t>81.8%</w:t>
            </w:r>
          </w:p>
        </w:tc>
        <w:tc>
          <w:tcPr>
            <w:tcW w:type="dxa" w:w="2016"/>
            <w:shd w:val="clear" w:color="auto" w:fill="F6F1E6"/>
          </w:tcPr>
          <w:p>
            <w:pPr>
              <w:spacing w:after="20"/>
              <w:jc w:val="right"/>
            </w:pPr>
            <w:r>
              <w:rPr>
                <w:b/>
                <w:color w:val="1C3A36"/>
                <w:sz w:val="17"/>
              </w:rPr>
              <w:t>2.8%</w:t>
            </w:r>
          </w:p>
        </w:tc>
        <w:tc>
          <w:tcPr>
            <w:tcW w:type="dxa" w:w="2664"/>
            <w:shd w:val="clear" w:color="auto" w:fill="F6F1E6"/>
          </w:tcPr>
          <w:p>
            <w:pPr>
              <w:spacing w:after="20"/>
              <w:jc w:val="right"/>
            </w:pPr>
            <w:r>
              <w:rPr>
                <w:b/>
                <w:color w:val="1C3A36"/>
                <w:sz w:val="17"/>
              </w:rPr>
              <w:t>2.25%</w:t>
            </w:r>
          </w:p>
        </w:tc>
      </w:tr>
      <w:tr>
        <w:tc>
          <w:tcPr>
            <w:tcW w:type="dxa" w:w="2736"/>
          </w:tcPr>
          <w:p>
            <w:pPr>
              <w:spacing w:after="20"/>
            </w:pPr>
            <w:r>
              <w:rPr>
                <w:color w:val="1C3A36"/>
                <w:sz w:val="17"/>
              </w:rPr>
              <w:t>Four-period average</w:t>
            </w:r>
          </w:p>
        </w:tc>
        <w:tc>
          <w:tcPr>
            <w:tcW w:type="dxa" w:w="2520"/>
          </w:tcPr>
          <w:p>
            <w:pPr>
              <w:spacing w:after="20"/>
              <w:jc w:val="right"/>
            </w:pPr>
            <w:r>
              <w:rPr>
                <w:color w:val="1C3A36"/>
                <w:sz w:val="17"/>
              </w:rPr>
            </w:r>
          </w:p>
        </w:tc>
        <w:tc>
          <w:tcPr>
            <w:tcW w:type="dxa" w:w="2016"/>
          </w:tcPr>
          <w:p>
            <w:pPr>
              <w:spacing w:after="20"/>
              <w:jc w:val="right"/>
            </w:pPr>
            <w:r>
              <w:rPr>
                <w:color w:val="1C3A36"/>
                <w:sz w:val="17"/>
              </w:rPr>
              <w:t>0.7%</w:t>
            </w:r>
          </w:p>
        </w:tc>
        <w:tc>
          <w:tcPr>
            <w:tcW w:type="dxa" w:w="2664"/>
          </w:tcPr>
          <w:p>
            <w:pPr>
              <w:spacing w:after="20"/>
              <w:jc w:val="right"/>
            </w:pPr>
            <w:r>
              <w:rPr>
                <w:color w:val="1C3A36"/>
                <w:sz w:val="17"/>
              </w:rPr>
              <w:t>0.88%</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6.78%; the four-period average implies far less. The terminal growth sensitivity in section 1.11 shows why the choice barely matters here: because the reinvestment identity FUNDS growth before crediting it, the value moves only from EGP 10.79 at 3% to 11.83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13.02</w:t>
            </w:r>
          </w:p>
        </w:tc>
        <w:tc>
          <w:tcPr>
            <w:tcW w:type="dxa" w:w="1080"/>
          </w:tcPr>
          <w:p>
            <w:pPr>
              <w:spacing w:after="20"/>
              <w:jc w:val="right"/>
            </w:pPr>
            <w:r>
              <w:rPr>
                <w:color w:val="1C3A36"/>
                <w:sz w:val="17"/>
              </w:rPr>
              <w:t>14.21</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7.77</w:t>
            </w:r>
          </w:p>
        </w:tc>
        <w:tc>
          <w:tcPr>
            <w:tcW w:type="dxa" w:w="1080"/>
          </w:tcPr>
          <w:p>
            <w:pPr>
              <w:spacing w:after="20"/>
              <w:jc w:val="right"/>
            </w:pPr>
            <w:r>
              <w:rPr>
                <w:color w:val="1C3A36"/>
                <w:sz w:val="17"/>
              </w:rPr>
              <w:t>9.69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13.75</w:t>
            </w:r>
          </w:p>
        </w:tc>
        <w:tc>
          <w:tcPr>
            <w:tcW w:type="dxa" w:w="1080"/>
          </w:tcPr>
          <w:p>
            <w:pPr>
              <w:spacing w:after="20"/>
              <w:jc w:val="right"/>
            </w:pPr>
            <w:r>
              <w:rPr>
                <w:color w:val="1C3A36"/>
                <w:sz w:val="17"/>
              </w:rPr>
              <w:t>15.87</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11.15</w:t>
            </w:r>
          </w:p>
        </w:tc>
        <w:tc>
          <w:tcPr>
            <w:tcW w:type="dxa" w:w="1080"/>
          </w:tcPr>
          <w:p>
            <w:pPr>
              <w:spacing w:after="20"/>
              <w:jc w:val="right"/>
            </w:pPr>
            <w:r>
              <w:rPr>
                <w:color w:val="1C3A36"/>
                <w:sz w:val="17"/>
              </w:rPr>
              <w:t>11.49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12.18</w:t>
            </w:r>
          </w:p>
        </w:tc>
        <w:tc>
          <w:tcPr>
            <w:tcW w:type="dxa" w:w="1080"/>
          </w:tcPr>
          <w:p>
            <w:pPr>
              <w:spacing w:after="20"/>
              <w:jc w:val="right"/>
            </w:pPr>
            <w:r>
              <w:rPr>
                <w:color w:val="1C3A36"/>
                <w:sz w:val="17"/>
              </w:rPr>
              <w:t>12.54</w:t>
            </w:r>
          </w:p>
        </w:tc>
      </w:tr>
      <w:tr>
        <w:tc>
          <w:tcPr>
            <w:tcW w:type="dxa" w:w="4104"/>
          </w:tcPr>
          <w:p>
            <w:pPr>
              <w:spacing w:after="20"/>
            </w:pPr>
            <w:r>
              <w:rPr>
                <w:color w:val="1C3A36"/>
                <w:sz w:val="17"/>
              </w:rPr>
              <w:t>Beta</w:t>
            </w:r>
          </w:p>
        </w:tc>
        <w:tc>
          <w:tcPr>
            <w:tcW w:type="dxa" w:w="1080"/>
          </w:tcPr>
          <w:p>
            <w:pPr>
              <w:spacing w:after="20"/>
              <w:jc w:val="right"/>
            </w:pPr>
            <w:r>
              <w:rPr>
                <w:color w:val="1C3A36"/>
                <w:sz w:val="17"/>
              </w:rPr>
              <w:t>14.02</w:t>
            </w:r>
          </w:p>
        </w:tc>
        <w:tc>
          <w:tcPr>
            <w:tcW w:type="dxa" w:w="1080"/>
          </w:tcPr>
          <w:p>
            <w:pPr>
              <w:spacing w:after="20"/>
              <w:jc w:val="right"/>
            </w:pPr>
            <w:r>
              <w:rPr>
                <w:color w:val="1C3A36"/>
                <w:sz w:val="17"/>
              </w:rPr>
              <w:t>12.51</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10.58</w:t>
            </w:r>
          </w:p>
        </w:tc>
        <w:tc>
          <w:tcPr>
            <w:tcW w:type="dxa" w:w="1080"/>
          </w:tcPr>
          <w:p>
            <w:pPr>
              <w:spacing w:after="20"/>
              <w:jc w:val="right"/>
            </w:pPr>
            <w:r>
              <w:rPr>
                <w:color w:val="1C3A36"/>
                <w:sz w:val="17"/>
              </w:rPr>
              <w:t>9.95</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13.68</w:t>
            </w:r>
          </w:p>
        </w:tc>
        <w:tc>
          <w:tcPr>
            <w:tcW w:type="dxa" w:w="1080"/>
          </w:tcPr>
          <w:p>
            <w:pPr>
              <w:spacing w:after="20"/>
              <w:jc w:val="right"/>
            </w:pPr>
            <w:r>
              <w:rPr>
                <w:color w:val="1C3A36"/>
                <w:sz w:val="17"/>
              </w:rPr>
              <w:t>12.76</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10.91</w:t>
            </w:r>
          </w:p>
        </w:tc>
        <w:tc>
          <w:tcPr>
            <w:tcW w:type="dxa" w:w="1080"/>
          </w:tcPr>
          <w:p>
            <w:pPr>
              <w:spacing w:after="20"/>
              <w:jc w:val="right"/>
            </w:pPr>
            <w:r>
              <w:rPr>
                <w:color w:val="1C3A36"/>
                <w:sz w:val="17"/>
              </w:rPr>
              <w:t>9.99</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10.79</w:t>
            </w:r>
          </w:p>
        </w:tc>
        <w:tc>
          <w:tcPr>
            <w:tcW w:type="dxa" w:w="1080"/>
          </w:tcPr>
          <w:p>
            <w:pPr>
              <w:spacing w:after="20"/>
              <w:jc w:val="right"/>
            </w:pPr>
            <w:r>
              <w:rPr>
                <w:color w:val="1C3A36"/>
                <w:sz w:val="17"/>
              </w:rPr>
              <w:t>10.99</w:t>
            </w:r>
          </w:p>
        </w:tc>
        <w:tc>
          <w:tcPr>
            <w:tcW w:type="dxa" w:w="1080"/>
          </w:tcPr>
          <w:p>
            <w:pPr>
              <w:spacing w:after="20"/>
              <w:jc w:val="right"/>
            </w:pPr>
            <w:r>
              <w:rPr>
                <w:color w:val="1C3A36"/>
                <w:sz w:val="17"/>
              </w:rPr>
              <w:t>11.23</w:t>
            </w:r>
          </w:p>
        </w:tc>
        <w:tc>
          <w:tcPr>
            <w:tcW w:type="dxa" w:w="1080"/>
          </w:tcPr>
          <w:p>
            <w:pPr>
              <w:spacing w:after="20"/>
              <w:jc w:val="right"/>
            </w:pPr>
            <w:r>
              <w:rPr>
                <w:color w:val="1C3A36"/>
                <w:sz w:val="17"/>
              </w:rPr>
              <w:t>11.51</w:t>
            </w:r>
          </w:p>
        </w:tc>
        <w:tc>
          <w:tcPr>
            <w:tcW w:type="dxa" w:w="1080"/>
          </w:tcPr>
          <w:p>
            <w:pPr>
              <w:spacing w:after="20"/>
              <w:jc w:val="right"/>
            </w:pPr>
            <w:r>
              <w:rPr>
                <w:color w:val="1C3A36"/>
                <w:sz w:val="17"/>
              </w:rPr>
              <w:t>11.83</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1.19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11.91</w:t>
            </w:r>
          </w:p>
        </w:tc>
        <w:tc>
          <w:tcPr>
            <w:tcW w:type="dxa" w:w="1224"/>
          </w:tcPr>
          <w:p>
            <w:pPr>
              <w:spacing w:after="20"/>
              <w:jc w:val="right"/>
            </w:pPr>
            <w:r>
              <w:rPr>
                <w:color w:val="1C3A36"/>
                <w:sz w:val="17"/>
              </w:rPr>
              <w:t>12.23</w:t>
            </w:r>
          </w:p>
        </w:tc>
        <w:tc>
          <w:tcPr>
            <w:tcW w:type="dxa" w:w="1224"/>
          </w:tcPr>
          <w:p>
            <w:pPr>
              <w:spacing w:after="20"/>
              <w:jc w:val="right"/>
            </w:pPr>
            <w:r>
              <w:rPr>
                <w:color w:val="1C3A36"/>
                <w:sz w:val="17"/>
              </w:rPr>
              <w:t>12.60</w:t>
            </w:r>
          </w:p>
        </w:tc>
        <w:tc>
          <w:tcPr>
            <w:tcW w:type="dxa" w:w="1224"/>
          </w:tcPr>
          <w:p>
            <w:pPr>
              <w:spacing w:after="20"/>
              <w:jc w:val="right"/>
            </w:pPr>
            <w:r>
              <w:rPr>
                <w:color w:val="1C3A36"/>
                <w:sz w:val="17"/>
              </w:rPr>
              <w:t>13.05</w:t>
            </w:r>
          </w:p>
        </w:tc>
        <w:tc>
          <w:tcPr>
            <w:tcW w:type="dxa" w:w="1224"/>
          </w:tcPr>
          <w:p>
            <w:pPr>
              <w:spacing w:after="20"/>
              <w:jc w:val="right"/>
            </w:pPr>
            <w:r>
              <w:rPr>
                <w:color w:val="1C3A36"/>
                <w:sz w:val="17"/>
              </w:rPr>
              <w:t>13.59</w:t>
            </w:r>
          </w:p>
        </w:tc>
      </w:tr>
      <w:tr>
        <w:tc>
          <w:tcPr>
            <w:tcW w:type="dxa" w:w="3384"/>
          </w:tcPr>
          <w:p>
            <w:pPr>
              <w:spacing w:after="20"/>
            </w:pPr>
            <w:r>
              <w:rPr>
                <w:color w:val="1C3A36"/>
                <w:sz w:val="17"/>
              </w:rPr>
              <w:t>17.14%</w:t>
            </w:r>
          </w:p>
        </w:tc>
        <w:tc>
          <w:tcPr>
            <w:tcW w:type="dxa" w:w="1224"/>
          </w:tcPr>
          <w:p>
            <w:pPr>
              <w:spacing w:after="20"/>
              <w:jc w:val="right"/>
            </w:pPr>
            <w:r>
              <w:rPr>
                <w:color w:val="1C3A36"/>
                <w:sz w:val="17"/>
              </w:rPr>
              <w:t>11.31</w:t>
            </w:r>
          </w:p>
        </w:tc>
        <w:tc>
          <w:tcPr>
            <w:tcW w:type="dxa" w:w="1224"/>
          </w:tcPr>
          <w:p>
            <w:pPr>
              <w:spacing w:after="20"/>
              <w:jc w:val="right"/>
            </w:pPr>
            <w:r>
              <w:rPr>
                <w:color w:val="1C3A36"/>
                <w:sz w:val="17"/>
              </w:rPr>
              <w:t>11.57</w:t>
            </w:r>
          </w:p>
        </w:tc>
        <w:tc>
          <w:tcPr>
            <w:tcW w:type="dxa" w:w="1224"/>
          </w:tcPr>
          <w:p>
            <w:pPr>
              <w:spacing w:after="20"/>
              <w:jc w:val="right"/>
            </w:pPr>
            <w:r>
              <w:rPr>
                <w:color w:val="1C3A36"/>
                <w:sz w:val="17"/>
              </w:rPr>
              <w:t>11.86</w:t>
            </w:r>
          </w:p>
        </w:tc>
        <w:tc>
          <w:tcPr>
            <w:tcW w:type="dxa" w:w="1224"/>
          </w:tcPr>
          <w:p>
            <w:pPr>
              <w:spacing w:after="20"/>
              <w:jc w:val="right"/>
            </w:pPr>
            <w:r>
              <w:rPr>
                <w:color w:val="1C3A36"/>
                <w:sz w:val="17"/>
              </w:rPr>
              <w:t>12.21</w:t>
            </w:r>
          </w:p>
        </w:tc>
        <w:tc>
          <w:tcPr>
            <w:tcW w:type="dxa" w:w="1224"/>
          </w:tcPr>
          <w:p>
            <w:pPr>
              <w:spacing w:after="20"/>
              <w:jc w:val="right"/>
            </w:pPr>
            <w:r>
              <w:rPr>
                <w:color w:val="1C3A36"/>
                <w:sz w:val="17"/>
              </w:rPr>
              <w:t>12.63</w:t>
            </w:r>
          </w:p>
        </w:tc>
      </w:tr>
      <w:tr>
        <w:tc>
          <w:tcPr>
            <w:tcW w:type="dxa" w:w="3384"/>
          </w:tcPr>
          <w:p>
            <w:pPr>
              <w:spacing w:after="20"/>
            </w:pPr>
            <w:r>
              <w:rPr>
                <w:color w:val="1C3A36"/>
                <w:sz w:val="17"/>
              </w:rPr>
              <w:t>18.14%</w:t>
            </w:r>
          </w:p>
        </w:tc>
        <w:tc>
          <w:tcPr>
            <w:tcW w:type="dxa" w:w="1224"/>
          </w:tcPr>
          <w:p>
            <w:pPr>
              <w:spacing w:after="20"/>
              <w:jc w:val="right"/>
            </w:pPr>
            <w:r>
              <w:rPr>
                <w:color w:val="1C3A36"/>
                <w:sz w:val="17"/>
              </w:rPr>
              <w:t>10.79</w:t>
            </w:r>
          </w:p>
        </w:tc>
        <w:tc>
          <w:tcPr>
            <w:tcW w:type="dxa" w:w="1224"/>
          </w:tcPr>
          <w:p>
            <w:pPr>
              <w:spacing w:after="20"/>
              <w:jc w:val="right"/>
            </w:pPr>
            <w:r>
              <w:rPr>
                <w:color w:val="1C3A36"/>
                <w:sz w:val="17"/>
              </w:rPr>
              <w:t>10.99</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11.83</w:t>
            </w:r>
          </w:p>
        </w:tc>
      </w:tr>
      <w:tr>
        <w:tc>
          <w:tcPr>
            <w:tcW w:type="dxa" w:w="3384"/>
          </w:tcPr>
          <w:p>
            <w:pPr>
              <w:spacing w:after="20"/>
            </w:pPr>
            <w:r>
              <w:rPr>
                <w:color w:val="1C3A36"/>
                <w:sz w:val="17"/>
              </w:rPr>
              <w:t>19.14%</w:t>
            </w:r>
          </w:p>
        </w:tc>
        <w:tc>
          <w:tcPr>
            <w:tcW w:type="dxa" w:w="1224"/>
          </w:tcPr>
          <w:p>
            <w:pPr>
              <w:spacing w:after="20"/>
              <w:jc w:val="right"/>
            </w:pPr>
            <w:r>
              <w:rPr>
                <w:color w:val="1C3A36"/>
                <w:sz w:val="17"/>
              </w:rPr>
              <w:t>10.33</w:t>
            </w:r>
          </w:p>
        </w:tc>
        <w:tc>
          <w:tcPr>
            <w:tcW w:type="dxa" w:w="1224"/>
          </w:tcPr>
          <w:p>
            <w:pPr>
              <w:spacing w:after="20"/>
              <w:jc w:val="right"/>
            </w:pPr>
            <w:r>
              <w:rPr>
                <w:color w:val="1C3A36"/>
                <w:sz w:val="17"/>
              </w:rPr>
              <w:t>10.50</w:t>
            </w:r>
          </w:p>
        </w:tc>
        <w:tc>
          <w:tcPr>
            <w:tcW w:type="dxa" w:w="1224"/>
          </w:tcPr>
          <w:p>
            <w:pPr>
              <w:spacing w:after="20"/>
              <w:jc w:val="right"/>
            </w:pPr>
            <w:r>
              <w:rPr>
                <w:color w:val="1C3A36"/>
                <w:sz w:val="17"/>
              </w:rPr>
              <w:t>10.69</w:t>
            </w:r>
          </w:p>
        </w:tc>
        <w:tc>
          <w:tcPr>
            <w:tcW w:type="dxa" w:w="1224"/>
          </w:tcPr>
          <w:p>
            <w:pPr>
              <w:spacing w:after="20"/>
              <w:jc w:val="right"/>
            </w:pPr>
            <w:r>
              <w:rPr>
                <w:color w:val="1C3A36"/>
                <w:sz w:val="17"/>
              </w:rPr>
              <w:t>10.91</w:t>
            </w:r>
          </w:p>
        </w:tc>
        <w:tc>
          <w:tcPr>
            <w:tcW w:type="dxa" w:w="1224"/>
          </w:tcPr>
          <w:p>
            <w:pPr>
              <w:spacing w:after="20"/>
              <w:jc w:val="right"/>
            </w:pPr>
            <w:r>
              <w:rPr>
                <w:color w:val="1C3A36"/>
                <w:sz w:val="17"/>
              </w:rPr>
              <w:t>11.17</w:t>
            </w:r>
          </w:p>
        </w:tc>
      </w:tr>
      <w:tr>
        <w:tc>
          <w:tcPr>
            <w:tcW w:type="dxa" w:w="3384"/>
          </w:tcPr>
          <w:p>
            <w:pPr>
              <w:spacing w:after="20"/>
            </w:pPr>
            <w:r>
              <w:rPr>
                <w:color w:val="1C3A36"/>
                <w:sz w:val="17"/>
              </w:rPr>
              <w:t>20.14%</w:t>
            </w:r>
          </w:p>
        </w:tc>
        <w:tc>
          <w:tcPr>
            <w:tcW w:type="dxa" w:w="1224"/>
          </w:tcPr>
          <w:p>
            <w:pPr>
              <w:spacing w:after="20"/>
              <w:jc w:val="right"/>
            </w:pPr>
            <w:r>
              <w:rPr>
                <w:color w:val="1C3A36"/>
                <w:sz w:val="17"/>
              </w:rPr>
              <w:t>9.93</w:t>
            </w:r>
          </w:p>
        </w:tc>
        <w:tc>
          <w:tcPr>
            <w:tcW w:type="dxa" w:w="1224"/>
          </w:tcPr>
          <w:p>
            <w:pPr>
              <w:spacing w:after="20"/>
              <w:jc w:val="right"/>
            </w:pPr>
            <w:r>
              <w:rPr>
                <w:color w:val="1C3A36"/>
                <w:sz w:val="17"/>
              </w:rPr>
              <w:t>10.06</w:t>
            </w:r>
          </w:p>
        </w:tc>
        <w:tc>
          <w:tcPr>
            <w:tcW w:type="dxa" w:w="1224"/>
          </w:tcPr>
          <w:p>
            <w:pPr>
              <w:spacing w:after="20"/>
              <w:jc w:val="right"/>
            </w:pPr>
            <w:r>
              <w:rPr>
                <w:color w:val="1C3A36"/>
                <w:sz w:val="17"/>
              </w:rPr>
              <w:t>10.22</w:t>
            </w:r>
          </w:p>
        </w:tc>
        <w:tc>
          <w:tcPr>
            <w:tcW w:type="dxa" w:w="1224"/>
          </w:tcPr>
          <w:p>
            <w:pPr>
              <w:spacing w:after="20"/>
              <w:jc w:val="right"/>
            </w:pPr>
            <w:r>
              <w:rPr>
                <w:color w:val="1C3A36"/>
                <w:sz w:val="17"/>
              </w:rPr>
              <w:t>10.40</w:t>
            </w:r>
          </w:p>
        </w:tc>
        <w:tc>
          <w:tcPr>
            <w:tcW w:type="dxa" w:w="1224"/>
          </w:tcPr>
          <w:p>
            <w:pPr>
              <w:spacing w:after="20"/>
              <w:jc w:val="right"/>
            </w:pPr>
            <w:r>
              <w:rPr>
                <w:color w:val="1C3A36"/>
                <w:sz w:val="17"/>
              </w:rPr>
              <w:t>10.60</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1.59</w:t>
            </w:r>
          </w:p>
        </w:tc>
        <w:tc>
          <w:tcPr>
            <w:tcW w:type="dxa" w:w="1512"/>
          </w:tcPr>
          <w:p>
            <w:pPr>
              <w:spacing w:after="20"/>
              <w:jc w:val="right"/>
            </w:pPr>
            <w:r>
              <w:rPr>
                <w:color w:val="1C3A36"/>
                <w:sz w:val="17"/>
              </w:rPr>
              <w:t>11.83</w:t>
            </w:r>
          </w:p>
        </w:tc>
        <w:tc>
          <w:tcPr>
            <w:tcW w:type="dxa" w:w="1512"/>
          </w:tcPr>
          <w:p>
            <w:pPr>
              <w:spacing w:after="20"/>
              <w:jc w:val="right"/>
            </w:pPr>
            <w:r>
              <w:rPr>
                <w:color w:val="1C3A36"/>
                <w:sz w:val="17"/>
              </w:rPr>
              <w:t>24.97</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1.878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9.22.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11.83</w:t>
            </w:r>
          </w:p>
        </w:tc>
        <w:tc>
          <w:tcPr>
            <w:tcW w:type="dxa" w:w="1224"/>
          </w:tcPr>
          <w:p>
            <w:pPr>
              <w:spacing w:after="20"/>
              <w:jc w:val="right"/>
            </w:pPr>
            <w:r>
              <w:rPr>
                <w:color w:val="1C3A36"/>
                <w:sz w:val="17"/>
              </w:rPr>
              <w:t>-12.3%</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12.61</w:t>
            </w:r>
          </w:p>
        </w:tc>
        <w:tc>
          <w:tcPr>
            <w:tcW w:type="dxa" w:w="1224"/>
          </w:tcPr>
          <w:p>
            <w:pPr>
              <w:spacing w:after="20"/>
              <w:jc w:val="right"/>
            </w:pPr>
            <w:r>
              <w:rPr>
                <w:color w:val="1C3A36"/>
                <w:sz w:val="17"/>
              </w:rPr>
              <w:t>-6.6%</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12.03</w:t>
            </w:r>
          </w:p>
        </w:tc>
        <w:tc>
          <w:tcPr>
            <w:tcW w:type="dxa" w:w="1224"/>
          </w:tcPr>
          <w:p>
            <w:pPr>
              <w:spacing w:after="20"/>
              <w:jc w:val="right"/>
            </w:pPr>
            <w:r>
              <w:rPr>
                <w:color w:val="1C3A36"/>
                <w:sz w:val="17"/>
              </w:rPr>
              <w:t>-10.9%</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-10.1%</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-16.8%</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11.83</w:t>
            </w:r>
          </w:p>
        </w:tc>
        <w:tc>
          <w:tcPr>
            <w:tcW w:type="dxa" w:w="1224"/>
          </w:tcPr>
          <w:p>
            <w:pPr>
              <w:spacing w:after="20"/>
              <w:jc w:val="right"/>
            </w:pPr>
            <w:r>
              <w:rPr>
                <w:color w:val="1C3A36"/>
                <w:sz w:val="17"/>
              </w:rPr>
              <w:t>-12.3%</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13.18</w:t>
            </w:r>
          </w:p>
        </w:tc>
        <w:tc>
          <w:tcPr>
            <w:tcW w:type="dxa" w:w="1224"/>
            <w:shd w:val="clear" w:color="auto" w:fill="F6F1E6"/>
          </w:tcPr>
          <w:p>
            <w:pPr>
              <w:spacing w:after="20"/>
              <w:jc w:val="right"/>
            </w:pPr>
            <w:r>
              <w:rPr>
                <w:b/>
                <w:color w:val="1C3A36"/>
                <w:sz w:val="17"/>
              </w:rPr>
              <w:t>-2.3%</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2.3%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9.49;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12.23.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10.36% sustained in EVERY forecast year and in perpetuity, against a base year of 9.65% — that is a REDUCTION of -0.70%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10.36%.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11.83</w:t>
            </w:r>
          </w:p>
        </w:tc>
        <w:tc>
          <w:tcPr>
            <w:tcW w:type="dxa" w:w="2376"/>
          </w:tcPr>
          <w:p>
            <w:pPr>
              <w:spacing w:after="20"/>
              <w:jc w:val="right"/>
            </w:pPr>
            <w:r>
              <w:rPr>
                <w:color w:val="1C3A36"/>
                <w:sz w:val="17"/>
              </w:rPr>
              <w:t>2.1%</w:t>
            </w:r>
          </w:p>
        </w:tc>
        <w:tc>
          <w:tcPr>
            <w:tcW w:type="dxa" w:w="2376"/>
          </w:tcPr>
          <w:p>
            <w:pPr>
              <w:spacing w:after="20"/>
              <w:jc w:val="right"/>
            </w:pPr>
            <w:r>
              <w:rPr>
                <w:color w:val="1C3A36"/>
                <w:sz w:val="17"/>
              </w:rPr>
              <w:t>20.0%</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11.83  (range 1.59–24.97)</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1.19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11.83 (fair value)</w:t>
            </w:r>
          </w:p>
        </w:tc>
        <w:tc>
          <w:tcPr>
            <w:tcW w:type="dxa" w:w="2736"/>
          </w:tcPr>
          <w:p>
            <w:pPr>
              <w:spacing w:after="20"/>
              <w:jc w:val="right"/>
            </w:pPr>
            <w:r>
              <w:rPr>
                <w:color w:val="1C3A36"/>
                <w:sz w:val="18"/>
              </w:rPr>
              <w:t>7.7%</w:t>
            </w:r>
          </w:p>
        </w:tc>
      </w:tr>
      <w:tr>
        <w:tc>
          <w:tcPr>
            <w:tcW w:type="dxa" w:w="6048"/>
          </w:tcPr>
          <w:p>
            <w:pPr>
              <w:spacing w:after="20"/>
            </w:pPr>
            <w:r>
              <w:rPr>
                <w:color w:val="1C3A36"/>
                <w:sz w:val="18"/>
              </w:rPr>
              <w:t>EGP 11.83 (fair value) to EGP 13.50 (the traded price)</w:t>
            </w:r>
          </w:p>
        </w:tc>
        <w:tc>
          <w:tcPr>
            <w:tcW w:type="dxa" w:w="2736"/>
          </w:tcPr>
          <w:p>
            <w:pPr>
              <w:spacing w:after="20"/>
              <w:jc w:val="right"/>
            </w:pPr>
            <w:r>
              <w:rPr>
                <w:color w:val="1C3A36"/>
                <w:sz w:val="18"/>
              </w:rPr>
              <w:t>8.3%</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58.0%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52,456</w:t>
            </w:r>
          </w:p>
        </w:tc>
        <w:tc>
          <w:tcPr>
            <w:tcW w:type="dxa" w:w="1224"/>
          </w:tcPr>
          <w:p>
            <w:pPr>
              <w:spacing w:after="20"/>
              <w:jc w:val="right"/>
            </w:pPr>
            <w:r>
              <w:rPr>
                <w:color w:val="1C3A36"/>
                <w:sz w:val="15"/>
              </w:rPr>
              <w:t>57,830</w:t>
            </w:r>
          </w:p>
        </w:tc>
        <w:tc>
          <w:tcPr>
            <w:tcW w:type="dxa" w:w="1224"/>
          </w:tcPr>
          <w:p>
            <w:pPr>
              <w:spacing w:after="20"/>
              <w:jc w:val="right"/>
            </w:pPr>
            <w:r>
              <w:rPr>
                <w:color w:val="1C3A36"/>
                <w:sz w:val="15"/>
              </w:rPr>
              <w:t>62,908</w:t>
            </w:r>
          </w:p>
        </w:tc>
        <w:tc>
          <w:tcPr>
            <w:tcW w:type="dxa" w:w="1224"/>
          </w:tcPr>
          <w:p>
            <w:pPr>
              <w:spacing w:after="20"/>
              <w:jc w:val="right"/>
            </w:pPr>
            <w:r>
              <w:rPr>
                <w:color w:val="1C3A36"/>
                <w:sz w:val="15"/>
              </w:rPr>
              <w:t>67,511</w:t>
            </w:r>
          </w:p>
        </w:tc>
        <w:tc>
          <w:tcPr>
            <w:tcW w:type="dxa" w:w="1224"/>
          </w:tcPr>
          <w:p>
            <w:pPr>
              <w:spacing w:after="20"/>
              <w:jc w:val="right"/>
            </w:pPr>
            <w:r>
              <w:rPr>
                <w:color w:val="1C3A36"/>
                <w:sz w:val="15"/>
              </w:rPr>
              <w:t>72,121</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47,378</w:t>
            </w:r>
          </w:p>
        </w:tc>
        <w:tc>
          <w:tcPr>
            <w:tcW w:type="dxa" w:w="1224"/>
          </w:tcPr>
          <w:p>
            <w:pPr>
              <w:spacing w:after="20"/>
              <w:jc w:val="right"/>
            </w:pPr>
            <w:r>
              <w:rPr>
                <w:color w:val="1C3A36"/>
                <w:sz w:val="15"/>
              </w:rPr>
              <w:t>52,219</w:t>
            </w:r>
          </w:p>
        </w:tc>
        <w:tc>
          <w:tcPr>
            <w:tcW w:type="dxa" w:w="1224"/>
          </w:tcPr>
          <w:p>
            <w:pPr>
              <w:spacing w:after="20"/>
              <w:jc w:val="right"/>
            </w:pPr>
            <w:r>
              <w:rPr>
                <w:color w:val="1C3A36"/>
                <w:sz w:val="15"/>
              </w:rPr>
              <w:t>56,793</w:t>
            </w:r>
          </w:p>
        </w:tc>
        <w:tc>
          <w:tcPr>
            <w:tcW w:type="dxa" w:w="1224"/>
          </w:tcPr>
          <w:p>
            <w:pPr>
              <w:spacing w:after="20"/>
              <w:jc w:val="right"/>
            </w:pPr>
            <w:r>
              <w:rPr>
                <w:color w:val="1C3A36"/>
                <w:sz w:val="15"/>
              </w:rPr>
              <w:t>60,940</w:t>
            </w:r>
          </w:p>
        </w:tc>
        <w:tc>
          <w:tcPr>
            <w:tcW w:type="dxa" w:w="1224"/>
          </w:tcPr>
          <w:p>
            <w:pPr>
              <w:spacing w:after="20"/>
              <w:jc w:val="right"/>
            </w:pPr>
            <w:r>
              <w:rPr>
                <w:color w:val="1C3A36"/>
                <w:sz w:val="15"/>
              </w:rPr>
              <w:t>65,093</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5,078</w:t>
            </w:r>
          </w:p>
        </w:tc>
        <w:tc>
          <w:tcPr>
            <w:tcW w:type="dxa" w:w="1224"/>
          </w:tcPr>
          <w:p>
            <w:pPr>
              <w:spacing w:after="20"/>
              <w:jc w:val="right"/>
            </w:pPr>
            <w:r>
              <w:rPr>
                <w:color w:val="1C3A36"/>
                <w:sz w:val="15"/>
              </w:rPr>
              <w:t>5,611</w:t>
            </w:r>
          </w:p>
        </w:tc>
        <w:tc>
          <w:tcPr>
            <w:tcW w:type="dxa" w:w="1224"/>
          </w:tcPr>
          <w:p>
            <w:pPr>
              <w:spacing w:after="20"/>
              <w:jc w:val="right"/>
            </w:pPr>
            <w:r>
              <w:rPr>
                <w:color w:val="1C3A36"/>
                <w:sz w:val="15"/>
              </w:rPr>
              <w:t>6,115</w:t>
            </w:r>
          </w:p>
        </w:tc>
        <w:tc>
          <w:tcPr>
            <w:tcW w:type="dxa" w:w="1224"/>
          </w:tcPr>
          <w:p>
            <w:pPr>
              <w:spacing w:after="20"/>
              <w:jc w:val="right"/>
            </w:pPr>
            <w:r>
              <w:rPr>
                <w:color w:val="1C3A36"/>
                <w:sz w:val="15"/>
              </w:rPr>
              <w:t>6,571</w:t>
            </w:r>
          </w:p>
        </w:tc>
        <w:tc>
          <w:tcPr>
            <w:tcW w:type="dxa" w:w="1224"/>
          </w:tcPr>
          <w:p>
            <w:pPr>
              <w:spacing w:after="20"/>
              <w:jc w:val="right"/>
            </w:pPr>
            <w:r>
              <w:rPr>
                <w:color w:val="1C3A36"/>
                <w:sz w:val="15"/>
              </w:rPr>
              <w:t>7,028</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9.68%</w:t>
            </w:r>
          </w:p>
        </w:tc>
        <w:tc>
          <w:tcPr>
            <w:tcW w:type="dxa" w:w="1224"/>
          </w:tcPr>
          <w:p>
            <w:pPr>
              <w:spacing w:after="20"/>
              <w:jc w:val="right"/>
            </w:pPr>
            <w:r>
              <w:rPr>
                <w:color w:val="1C3A36"/>
                <w:sz w:val="15"/>
              </w:rPr>
              <w:t>9.70%</w:t>
            </w:r>
          </w:p>
        </w:tc>
        <w:tc>
          <w:tcPr>
            <w:tcW w:type="dxa" w:w="1224"/>
          </w:tcPr>
          <w:p>
            <w:pPr>
              <w:spacing w:after="20"/>
              <w:jc w:val="right"/>
            </w:pPr>
            <w:r>
              <w:rPr>
                <w:color w:val="1C3A36"/>
                <w:sz w:val="15"/>
              </w:rPr>
              <w:t>9.72%</w:t>
            </w:r>
          </w:p>
        </w:tc>
        <w:tc>
          <w:tcPr>
            <w:tcW w:type="dxa" w:w="1224"/>
          </w:tcPr>
          <w:p>
            <w:pPr>
              <w:spacing w:after="20"/>
              <w:jc w:val="right"/>
            </w:pPr>
            <w:r>
              <w:rPr>
                <w:color w:val="1C3A36"/>
                <w:sz w:val="15"/>
              </w:rPr>
              <w:t>9.73%</w:t>
            </w:r>
          </w:p>
        </w:tc>
        <w:tc>
          <w:tcPr>
            <w:tcW w:type="dxa" w:w="1224"/>
          </w:tcPr>
          <w:p>
            <w:pPr>
              <w:spacing w:after="20"/>
              <w:jc w:val="right"/>
            </w:pPr>
            <w:r>
              <w:rPr>
                <w:color w:val="1C3A36"/>
                <w:sz w:val="15"/>
              </w:rPr>
              <w:t>9.74%</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2,907</w:t>
            </w:r>
          </w:p>
        </w:tc>
        <w:tc>
          <w:tcPr>
            <w:tcW w:type="dxa" w:w="1224"/>
          </w:tcPr>
          <w:p>
            <w:pPr>
              <w:spacing w:after="20"/>
              <w:jc w:val="right"/>
            </w:pPr>
            <w:r>
              <w:rPr>
                <w:color w:val="1C3A36"/>
                <w:sz w:val="15"/>
              </w:rPr>
              <w:t>3,171</w:t>
            </w:r>
          </w:p>
        </w:tc>
        <w:tc>
          <w:tcPr>
            <w:tcW w:type="dxa" w:w="1224"/>
          </w:tcPr>
          <w:p>
            <w:pPr>
              <w:spacing w:after="20"/>
              <w:jc w:val="right"/>
            </w:pPr>
            <w:r>
              <w:rPr>
                <w:color w:val="1C3A36"/>
                <w:sz w:val="15"/>
              </w:rPr>
              <w:t>3,404</w:t>
            </w:r>
          </w:p>
        </w:tc>
        <w:tc>
          <w:tcPr>
            <w:tcW w:type="dxa" w:w="1224"/>
          </w:tcPr>
          <w:p>
            <w:pPr>
              <w:spacing w:after="20"/>
              <w:jc w:val="right"/>
            </w:pPr>
            <w:r>
              <w:rPr>
                <w:color w:val="1C3A36"/>
                <w:sz w:val="15"/>
              </w:rPr>
              <w:t>3,597</w:t>
            </w:r>
          </w:p>
        </w:tc>
        <w:tc>
          <w:tcPr>
            <w:tcW w:type="dxa" w:w="1224"/>
          </w:tcPr>
          <w:p>
            <w:pPr>
              <w:spacing w:after="20"/>
              <w:jc w:val="right"/>
            </w:pPr>
            <w:r>
              <w:rPr>
                <w:color w:val="1C3A36"/>
                <w:sz w:val="15"/>
              </w:rPr>
              <w:t>3,778</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375</w:t>
            </w:r>
          </w:p>
        </w:tc>
        <w:tc>
          <w:tcPr>
            <w:tcW w:type="dxa" w:w="1224"/>
          </w:tcPr>
          <w:p>
            <w:pPr>
              <w:spacing w:after="20"/>
              <w:jc w:val="right"/>
            </w:pPr>
            <w:r>
              <w:rPr>
                <w:color w:val="1C3A36"/>
                <w:sz w:val="15"/>
              </w:rPr>
              <w:t>269</w:t>
            </w:r>
          </w:p>
        </w:tc>
        <w:tc>
          <w:tcPr>
            <w:tcW w:type="dxa" w:w="1224"/>
          </w:tcPr>
          <w:p>
            <w:pPr>
              <w:spacing w:after="20"/>
              <w:jc w:val="right"/>
            </w:pPr>
            <w:r>
              <w:rPr>
                <w:color w:val="1C3A36"/>
                <w:sz w:val="15"/>
              </w:rPr>
              <w:t>185</w:t>
            </w:r>
          </w:p>
        </w:tc>
        <w:tc>
          <w:tcPr>
            <w:tcW w:type="dxa" w:w="1224"/>
          </w:tcPr>
          <w:p>
            <w:pPr>
              <w:spacing w:after="20"/>
              <w:jc w:val="right"/>
            </w:pPr>
            <w:r>
              <w:rPr>
                <w:color w:val="1C3A36"/>
                <w:sz w:val="15"/>
              </w:rPr>
              <w:t>117</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2,537</w:t>
            </w:r>
          </w:p>
        </w:tc>
        <w:tc>
          <w:tcPr>
            <w:tcW w:type="dxa" w:w="1224"/>
          </w:tcPr>
          <w:p>
            <w:pPr>
              <w:spacing w:after="20"/>
              <w:jc w:val="right"/>
            </w:pPr>
            <w:r>
              <w:rPr>
                <w:color w:val="1C3A36"/>
                <w:sz w:val="15"/>
              </w:rPr>
              <w:t>2,633</w:t>
            </w:r>
          </w:p>
        </w:tc>
        <w:tc>
          <w:tcPr>
            <w:tcW w:type="dxa" w:w="1224"/>
          </w:tcPr>
          <w:p>
            <w:pPr>
              <w:spacing w:after="20"/>
              <w:jc w:val="right"/>
            </w:pPr>
            <w:r>
              <w:rPr>
                <w:color w:val="1C3A36"/>
                <w:sz w:val="15"/>
              </w:rPr>
              <w:t>2,728</w:t>
            </w:r>
          </w:p>
        </w:tc>
        <w:tc>
          <w:tcPr>
            <w:tcW w:type="dxa" w:w="1224"/>
          </w:tcPr>
          <w:p>
            <w:pPr>
              <w:spacing w:after="20"/>
              <w:jc w:val="right"/>
            </w:pPr>
            <w:r>
              <w:rPr>
                <w:color w:val="1C3A36"/>
                <w:sz w:val="15"/>
              </w:rPr>
              <w:t>2,809</w:t>
            </w:r>
          </w:p>
        </w:tc>
        <w:tc>
          <w:tcPr>
            <w:tcW w:type="dxa" w:w="1224"/>
          </w:tcPr>
          <w:p>
            <w:pPr>
              <w:spacing w:after="20"/>
              <w:jc w:val="right"/>
            </w:pPr>
            <w:r>
              <w:rPr>
                <w:color w:val="1C3A36"/>
                <w:sz w:val="15"/>
              </w:rPr>
              <w:t>2,892</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9.68%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18.35 a share against the published EGP 11.83.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3,786</w:t>
            </w:r>
          </w:p>
        </w:tc>
        <w:tc>
          <w:tcPr>
            <w:tcW w:type="dxa" w:w="1037"/>
          </w:tcPr>
          <w:p>
            <w:pPr>
              <w:spacing w:after="20"/>
              <w:jc w:val="right"/>
            </w:pPr>
            <w:r>
              <w:rPr>
                <w:color w:val="1C3A36"/>
                <w:sz w:val="16"/>
              </w:rPr>
              <w:t>4,174</w:t>
            </w:r>
          </w:p>
        </w:tc>
        <w:tc>
          <w:tcPr>
            <w:tcW w:type="dxa" w:w="1037"/>
          </w:tcPr>
          <w:p>
            <w:pPr>
              <w:spacing w:after="20"/>
              <w:jc w:val="right"/>
            </w:pPr>
            <w:r>
              <w:rPr>
                <w:color w:val="1C3A36"/>
                <w:sz w:val="16"/>
              </w:rPr>
              <w:t>4,540</w:t>
            </w:r>
          </w:p>
        </w:tc>
        <w:tc>
          <w:tcPr>
            <w:tcW w:type="dxa" w:w="1037"/>
          </w:tcPr>
          <w:p>
            <w:pPr>
              <w:spacing w:after="20"/>
              <w:jc w:val="right"/>
            </w:pPr>
            <w:r>
              <w:rPr>
                <w:color w:val="1C3A36"/>
                <w:sz w:val="16"/>
              </w:rPr>
              <w:t>4,872</w:t>
            </w:r>
          </w:p>
        </w:tc>
        <w:tc>
          <w:tcPr>
            <w:tcW w:type="dxa" w:w="1037"/>
          </w:tcPr>
          <w:p>
            <w:pPr>
              <w:spacing w:after="20"/>
              <w:jc w:val="right"/>
            </w:pPr>
            <w:r>
              <w:rPr>
                <w:color w:val="1C3A36"/>
                <w:sz w:val="16"/>
              </w:rPr>
              <w:t>5,204</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5,073</w:t>
            </w:r>
          </w:p>
        </w:tc>
        <w:tc>
          <w:tcPr>
            <w:tcW w:type="dxa" w:w="1037"/>
            <w:shd w:val="clear" w:color="auto" w:fill="F6F1E6"/>
          </w:tcPr>
          <w:p>
            <w:pPr>
              <w:spacing w:after="20"/>
              <w:jc w:val="right"/>
            </w:pPr>
            <w:r>
              <w:rPr>
                <w:b/>
                <w:color w:val="1C3A36"/>
                <w:sz w:val="16"/>
              </w:rPr>
              <w:t>5,472</w:t>
            </w:r>
          </w:p>
        </w:tc>
        <w:tc>
          <w:tcPr>
            <w:tcW w:type="dxa" w:w="1037"/>
            <w:shd w:val="clear" w:color="auto" w:fill="F6F1E6"/>
          </w:tcPr>
          <w:p>
            <w:pPr>
              <w:spacing w:after="20"/>
              <w:jc w:val="right"/>
            </w:pPr>
            <w:r>
              <w:rPr>
                <w:b/>
                <w:color w:val="1C3A36"/>
                <w:sz w:val="16"/>
              </w:rPr>
              <w:t>5,862</w:t>
            </w:r>
          </w:p>
        </w:tc>
        <w:tc>
          <w:tcPr>
            <w:tcW w:type="dxa" w:w="1037"/>
            <w:shd w:val="clear" w:color="auto" w:fill="F6F1E6"/>
          </w:tcPr>
          <w:p>
            <w:pPr>
              <w:spacing w:after="20"/>
              <w:jc w:val="right"/>
            </w:pPr>
            <w:r>
              <w:rPr>
                <w:b/>
                <w:color w:val="1C3A36"/>
                <w:sz w:val="16"/>
              </w:rPr>
              <w:t>6,228</w:t>
            </w:r>
          </w:p>
        </w:tc>
        <w:tc>
          <w:tcPr>
            <w:tcW w:type="dxa" w:w="1037"/>
            <w:shd w:val="clear" w:color="auto" w:fill="F6F1E6"/>
          </w:tcPr>
          <w:p>
            <w:pPr>
              <w:spacing w:after="20"/>
              <w:jc w:val="right"/>
            </w:pPr>
            <w:r>
              <w:rPr>
                <w:b/>
                <w:color w:val="1C3A36"/>
                <w:sz w:val="16"/>
              </w:rPr>
              <w:t>6,603</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2,523</w:t>
            </w:r>
          </w:p>
        </w:tc>
        <w:tc>
          <w:tcPr>
            <w:tcW w:type="dxa" w:w="1037"/>
          </w:tcPr>
          <w:p>
            <w:pPr>
              <w:spacing w:after="20"/>
              <w:jc w:val="right"/>
            </w:pPr>
            <w:r>
              <w:rPr>
                <w:color w:val="1C3A36"/>
                <w:sz w:val="16"/>
              </w:rPr>
              <w:t>2,013</w:t>
            </w:r>
          </w:p>
        </w:tc>
        <w:tc>
          <w:tcPr>
            <w:tcW w:type="dxa" w:w="1037"/>
          </w:tcPr>
          <w:p>
            <w:pPr>
              <w:spacing w:after="20"/>
              <w:jc w:val="right"/>
            </w:pPr>
            <w:r>
              <w:rPr>
                <w:color w:val="1C3A36"/>
                <w:sz w:val="16"/>
              </w:rPr>
              <w:t>1,503</w:t>
            </w:r>
          </w:p>
        </w:tc>
        <w:tc>
          <w:tcPr>
            <w:tcW w:type="dxa" w:w="1037"/>
          </w:tcPr>
          <w:p>
            <w:pPr>
              <w:spacing w:after="20"/>
              <w:jc w:val="right"/>
            </w:pPr>
            <w:r>
              <w:rPr>
                <w:color w:val="1C3A36"/>
                <w:sz w:val="16"/>
              </w:rPr>
              <w:t>1,011</w:t>
            </w:r>
          </w:p>
        </w:tc>
        <w:tc>
          <w:tcPr>
            <w:tcW w:type="dxa" w:w="1037"/>
          </w:tcPr>
          <w:p>
            <w:pPr>
              <w:spacing w:after="20"/>
              <w:jc w:val="right"/>
            </w:pPr>
            <w:r>
              <w:rPr>
                <w:color w:val="1C3A36"/>
                <w:sz w:val="16"/>
              </w:rPr>
              <w:t>501</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-2,506</w:t>
            </w:r>
          </w:p>
        </w:tc>
        <w:tc>
          <w:tcPr>
            <w:tcW w:type="dxa" w:w="1037"/>
          </w:tcPr>
          <w:p>
            <w:pPr>
              <w:spacing w:after="20"/>
              <w:jc w:val="right"/>
            </w:pPr>
            <w:r>
              <w:rPr>
                <w:color w:val="1C3A36"/>
                <w:sz w:val="16"/>
              </w:rPr>
              <w:t>-1,996</w:t>
            </w:r>
          </w:p>
        </w:tc>
        <w:tc>
          <w:tcPr>
            <w:tcW w:type="dxa" w:w="1037"/>
          </w:tcPr>
          <w:p>
            <w:pPr>
              <w:spacing w:after="20"/>
              <w:jc w:val="right"/>
            </w:pPr>
            <w:r>
              <w:rPr>
                <w:color w:val="1C3A36"/>
                <w:sz w:val="16"/>
              </w:rPr>
              <w:t>-1,487</w:t>
            </w:r>
          </w:p>
        </w:tc>
        <w:tc>
          <w:tcPr>
            <w:tcW w:type="dxa" w:w="1037"/>
          </w:tcPr>
          <w:p>
            <w:pPr>
              <w:spacing w:after="20"/>
              <w:jc w:val="right"/>
            </w:pPr>
            <w:r>
              <w:rPr>
                <w:color w:val="1C3A36"/>
                <w:sz w:val="16"/>
              </w:rPr>
              <w:t>-994</w:t>
            </w:r>
          </w:p>
        </w:tc>
        <w:tc>
          <w:tcPr>
            <w:tcW w:type="dxa" w:w="1037"/>
          </w:tcPr>
          <w:p>
            <w:pPr>
              <w:spacing w:after="20"/>
              <w:jc w:val="right"/>
            </w:pPr>
            <w:r>
              <w:rPr>
                <w:color w:val="1C3A36"/>
                <w:sz w:val="16"/>
              </w:rPr>
              <w:t>-484</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5,976</w:t>
            </w:r>
          </w:p>
        </w:tc>
        <w:tc>
          <w:tcPr>
            <w:tcW w:type="dxa" w:w="1037"/>
          </w:tcPr>
          <w:p>
            <w:pPr>
              <w:spacing w:after="20"/>
              <w:jc w:val="right"/>
            </w:pPr>
            <w:r>
              <w:rPr>
                <w:color w:val="1C3A36"/>
                <w:sz w:val="16"/>
              </w:rPr>
              <w:t>5,878</w:t>
            </w:r>
          </w:p>
        </w:tc>
        <w:tc>
          <w:tcPr>
            <w:tcW w:type="dxa" w:w="1037"/>
          </w:tcPr>
          <w:p>
            <w:pPr>
              <w:spacing w:after="20"/>
              <w:jc w:val="right"/>
            </w:pPr>
            <w:r>
              <w:rPr>
                <w:color w:val="1C3A36"/>
                <w:sz w:val="16"/>
              </w:rPr>
              <w:t>5,777</w:t>
            </w:r>
          </w:p>
        </w:tc>
        <w:tc>
          <w:tcPr>
            <w:tcW w:type="dxa" w:w="1037"/>
          </w:tcPr>
          <w:p>
            <w:pPr>
              <w:spacing w:after="20"/>
              <w:jc w:val="right"/>
            </w:pPr>
            <w:r>
              <w:rPr>
                <w:color w:val="1C3A36"/>
                <w:sz w:val="16"/>
              </w:rPr>
              <w:t>5,673</w:t>
            </w:r>
          </w:p>
        </w:tc>
        <w:tc>
          <w:tcPr>
            <w:tcW w:type="dxa" w:w="1037"/>
          </w:tcPr>
          <w:p>
            <w:pPr>
              <w:spacing w:after="20"/>
              <w:jc w:val="right"/>
            </w:pPr>
            <w:r>
              <w:rPr>
                <w:color w:val="1C3A36"/>
                <w:sz w:val="16"/>
              </w:rPr>
              <w:t>5,565</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2,135</w:t>
            </w:r>
          </w:p>
        </w:tc>
        <w:tc>
          <w:tcPr>
            <w:tcW w:type="dxa" w:w="1195"/>
          </w:tcPr>
          <w:p>
            <w:pPr>
              <w:spacing w:after="20"/>
              <w:jc w:val="right"/>
            </w:pPr>
            <w:r>
              <w:rPr>
                <w:color w:val="1C3A36"/>
                <w:sz w:val="16"/>
              </w:rPr>
              <w:t>2,329</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2,642</w:t>
            </w:r>
          </w:p>
        </w:tc>
        <w:tc>
          <w:tcPr>
            <w:tcW w:type="dxa" w:w="1195"/>
          </w:tcPr>
          <w:p>
            <w:pPr>
              <w:spacing w:after="20"/>
              <w:jc w:val="right"/>
            </w:pPr>
            <w:r>
              <w:rPr>
                <w:color w:val="1C3A36"/>
                <w:sz w:val="16"/>
              </w:rPr>
              <w:t>2,774</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(397)</w:t>
            </w:r>
          </w:p>
        </w:tc>
        <w:tc>
          <w:tcPr>
            <w:tcW w:type="dxa" w:w="1195"/>
          </w:tcPr>
          <w:p>
            <w:pPr>
              <w:spacing w:after="20"/>
              <w:jc w:val="right"/>
            </w:pPr>
            <w:r>
              <w:rPr>
                <w:color w:val="1C3A36"/>
                <w:sz w:val="16"/>
              </w:rPr>
              <w:t>(388)</w:t>
            </w:r>
          </w:p>
        </w:tc>
        <w:tc>
          <w:tcPr>
            <w:tcW w:type="dxa" w:w="1195"/>
          </w:tcPr>
          <w:p>
            <w:pPr>
              <w:spacing w:after="20"/>
              <w:jc w:val="right"/>
            </w:pPr>
            <w:r>
              <w:rPr>
                <w:color w:val="1C3A36"/>
                <w:sz w:val="16"/>
              </w:rPr>
              <w:t>(366)</w:t>
            </w:r>
          </w:p>
        </w:tc>
        <w:tc>
          <w:tcPr>
            <w:tcW w:type="dxa" w:w="1195"/>
          </w:tcPr>
          <w:p>
            <w:pPr>
              <w:spacing w:after="20"/>
              <w:jc w:val="right"/>
            </w:pPr>
            <w:r>
              <w:rPr>
                <w:color w:val="1C3A36"/>
                <w:sz w:val="16"/>
              </w:rPr>
              <w:t>(332)</w:t>
            </w:r>
          </w:p>
        </w:tc>
        <w:tc>
          <w:tcPr>
            <w:tcW w:type="dxa" w:w="1195"/>
          </w:tcPr>
          <w:p>
            <w:pPr>
              <w:spacing w:after="20"/>
              <w:jc w:val="right"/>
            </w:pPr>
            <w:r>
              <w:rPr>
                <w:color w:val="1C3A36"/>
                <w:sz w:val="16"/>
              </w:rPr>
              <w:t>(333)</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1,739</w:t>
            </w:r>
          </w:p>
        </w:tc>
        <w:tc>
          <w:tcPr>
            <w:tcW w:type="dxa" w:w="1195"/>
            <w:shd w:val="clear" w:color="auto" w:fill="F6F1E6"/>
          </w:tcPr>
          <w:p>
            <w:pPr>
              <w:spacing w:after="20"/>
              <w:jc w:val="right"/>
            </w:pPr>
            <w:r>
              <w:rPr>
                <w:b/>
                <w:color w:val="1C3A36"/>
                <w:sz w:val="16"/>
              </w:rPr>
              <w:t>1,929</w:t>
            </w:r>
          </w:p>
        </w:tc>
        <w:tc>
          <w:tcPr>
            <w:tcW w:type="dxa" w:w="1195"/>
            <w:shd w:val="clear" w:color="auto" w:fill="F6F1E6"/>
          </w:tcPr>
          <w:p>
            <w:pPr>
              <w:spacing w:after="20"/>
              <w:jc w:val="right"/>
            </w:pPr>
            <w:r>
              <w:rPr>
                <w:b/>
                <w:color w:val="1C3A36"/>
                <w:sz w:val="16"/>
              </w:rPr>
              <w:t>2,110</w:t>
            </w:r>
          </w:p>
        </w:tc>
        <w:tc>
          <w:tcPr>
            <w:tcW w:type="dxa" w:w="1195"/>
            <w:shd w:val="clear" w:color="auto" w:fill="F6F1E6"/>
          </w:tcPr>
          <w:p>
            <w:pPr>
              <w:spacing w:after="20"/>
              <w:jc w:val="right"/>
            </w:pPr>
            <w:r>
              <w:rPr>
                <w:b/>
                <w:color w:val="1C3A36"/>
                <w:sz w:val="16"/>
              </w:rPr>
              <w:t>2,276</w:t>
            </w:r>
          </w:p>
        </w:tc>
        <w:tc>
          <w:tcPr>
            <w:tcW w:type="dxa" w:w="1195"/>
            <w:shd w:val="clear" w:color="auto" w:fill="F6F1E6"/>
          </w:tcPr>
          <w:p>
            <w:pPr>
              <w:spacing w:after="20"/>
              <w:jc w:val="right"/>
            </w:pPr>
            <w:r>
              <w:rPr>
                <w:b/>
                <w:color w:val="1C3A36"/>
                <w:sz w:val="16"/>
              </w:rPr>
              <w:t>2,399</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42.1%</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42.0%</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14.02 to 9.95,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9.49. On GROSS rather than net debt weights — the construction this study rejects, because it counts the cash pile twice — the lens is EGP 11.84.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3,404</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269</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2.112</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14.78</w:t>
            </w:r>
          </w:p>
        </w:tc>
      </w:tr>
    </w:tbl>
    <w:p>
      <w:pPr>
        <w:spacing w:after="40"/>
      </w:pPr>
    </w:p>
    <w:p>
      <w:pPr>
        <w:spacing w:after="200" w:before="0"/>
      </w:pPr>
      <w:r>
        <w:rPr>
          <w:b w:val="0"/>
          <w:i/>
          <w:color w:val="6E7B77"/>
          <w:sz w:val="17"/>
        </w:rPr>
        <w:t>Table C.1 — Expert 1. Range EGP 10.56 to 20.06 on a 5.0x to 9.5x multiple band. This is the HIGHEST of the three and it is still 9.5%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2,037</w:t>
            </w:r>
          </w:p>
        </w:tc>
        <w:tc>
          <w:tcPr>
            <w:tcW w:type="dxa" w:w="1296"/>
          </w:tcPr>
          <w:p>
            <w:pPr>
              <w:spacing w:after="20"/>
              <w:jc w:val="right"/>
            </w:pPr>
            <w:r>
              <w:rPr>
                <w:color w:val="1C3A36"/>
                <w:sz w:val="16"/>
              </w:rPr>
              <w:t>2,118</w:t>
            </w:r>
          </w:p>
        </w:tc>
        <w:tc>
          <w:tcPr>
            <w:tcW w:type="dxa" w:w="1296"/>
          </w:tcPr>
          <w:p>
            <w:pPr>
              <w:spacing w:after="20"/>
              <w:jc w:val="right"/>
            </w:pPr>
            <w:r>
              <w:rPr>
                <w:color w:val="1C3A36"/>
                <w:sz w:val="16"/>
              </w:rPr>
              <w:t>2,212</w:t>
            </w:r>
          </w:p>
        </w:tc>
        <w:tc>
          <w:tcPr>
            <w:tcW w:type="dxa" w:w="1296"/>
          </w:tcPr>
          <w:p>
            <w:pPr>
              <w:spacing w:after="20"/>
              <w:jc w:val="right"/>
            </w:pPr>
            <w:r>
              <w:rPr>
                <w:color w:val="1C3A36"/>
                <w:sz w:val="16"/>
              </w:rPr>
              <w:t>2,308</w:t>
            </w:r>
          </w:p>
        </w:tc>
        <w:tc>
          <w:tcPr>
            <w:tcW w:type="dxa" w:w="1296"/>
          </w:tcPr>
          <w:p>
            <w:pPr>
              <w:spacing w:after="20"/>
              <w:jc w:val="right"/>
            </w:pPr>
            <w:r>
              <w:rPr>
                <w:color w:val="1C3A36"/>
                <w:sz w:val="16"/>
              </w:rPr>
              <w:t>2,374</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1,598</w:t>
            </w:r>
          </w:p>
        </w:tc>
        <w:tc>
          <w:tcPr>
            <w:tcW w:type="dxa" w:w="1296"/>
          </w:tcPr>
          <w:p>
            <w:pPr>
              <w:spacing w:after="20"/>
              <w:jc w:val="right"/>
            </w:pPr>
            <w:r>
              <w:rPr>
                <w:color w:val="1C3A36"/>
                <w:sz w:val="16"/>
              </w:rPr>
              <w:t>1,351</w:t>
            </w:r>
          </w:p>
        </w:tc>
        <w:tc>
          <w:tcPr>
            <w:tcW w:type="dxa" w:w="1296"/>
          </w:tcPr>
          <w:p>
            <w:pPr>
              <w:spacing w:after="20"/>
              <w:jc w:val="right"/>
            </w:pPr>
            <w:r>
              <w:rPr>
                <w:color w:val="1C3A36"/>
                <w:sz w:val="16"/>
              </w:rPr>
              <w:t>1,164</w:t>
            </w:r>
          </w:p>
        </w:tc>
        <w:tc>
          <w:tcPr>
            <w:tcW w:type="dxa" w:w="1296"/>
          </w:tcPr>
          <w:p>
            <w:pPr>
              <w:spacing w:after="20"/>
              <w:jc w:val="right"/>
            </w:pPr>
            <w:r>
              <w:rPr>
                <w:color w:val="1C3A36"/>
                <w:sz w:val="16"/>
              </w:rPr>
              <w:t>1,014</w:t>
            </w:r>
          </w:p>
        </w:tc>
        <w:tc>
          <w:tcPr>
            <w:tcW w:type="dxa" w:w="1296"/>
          </w:tcPr>
          <w:p>
            <w:pPr>
              <w:spacing w:after="20"/>
              <w:jc w:val="right"/>
            </w:pPr>
            <w:r>
              <w:rPr>
                <w:color w:val="1C3A36"/>
                <w:sz w:val="16"/>
              </w:rPr>
              <w:t>878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6,005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6,150</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12,156</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9.41</w:t>
            </w:r>
          </w:p>
        </w:tc>
      </w:tr>
    </w:tbl>
    <w:p>
      <w:pPr>
        <w:spacing w:after="40"/>
      </w:pPr>
    </w:p>
    <w:p>
      <w:pPr>
        <w:spacing w:after="200" w:before="0"/>
      </w:pPr>
      <w:r>
        <w:rPr>
          <w:b w:val="0"/>
          <w:i/>
          <w:color w:val="6E7B77"/>
          <w:sz w:val="17"/>
        </w:rPr>
        <w:t>Table C.2 — Expert 2. Range EGP 7.53 to 9.00. This is the LOWEST of the three at -30.3%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3,446</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5,990</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14,113</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12.74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1,371</w:t>
            </w:r>
          </w:p>
        </w:tc>
        <w:tc>
          <w:tcPr>
            <w:tcW w:type="dxa" w:w="1224"/>
          </w:tcPr>
          <w:p>
            <w:pPr>
              <w:spacing w:after="20"/>
              <w:jc w:val="right"/>
            </w:pPr>
            <w:r>
              <w:rPr>
                <w:color w:val="1C3A36"/>
                <w:sz w:val="17"/>
              </w:rPr>
              <w:t>1,520</w:t>
            </w:r>
          </w:p>
        </w:tc>
        <w:tc>
          <w:tcPr>
            <w:tcW w:type="dxa" w:w="1224"/>
          </w:tcPr>
          <w:p>
            <w:pPr>
              <w:spacing w:after="20"/>
              <w:jc w:val="right"/>
            </w:pPr>
            <w:r>
              <w:rPr>
                <w:color w:val="1C3A36"/>
                <w:sz w:val="17"/>
              </w:rPr>
              <w:t>1,645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14.64%</w:t>
            </w:r>
          </w:p>
        </w:tc>
        <w:tc>
          <w:tcPr>
            <w:tcW w:type="dxa" w:w="1224"/>
          </w:tcPr>
          <w:p>
            <w:pPr>
              <w:spacing w:after="20"/>
              <w:jc w:val="right"/>
            </w:pPr>
            <w:r>
              <w:rPr>
                <w:color w:val="1C3A36"/>
                <w:sz w:val="17"/>
              </w:rPr>
              <w:t>19.91%</w:t>
            </w:r>
          </w:p>
        </w:tc>
        <w:tc>
          <w:tcPr>
            <w:tcW w:type="dxa" w:w="1224"/>
          </w:tcPr>
          <w:p>
            <w:pPr>
              <w:spacing w:after="20"/>
              <w:jc w:val="right"/>
            </w:pPr>
            <w:r>
              <w:rPr>
                <w:color w:val="1C3A36"/>
                <w:sz w:val="17"/>
              </w:rPr>
              <w:t>22.01%</w:t>
            </w:r>
          </w:p>
        </w:tc>
        <w:tc>
          <w:tcPr>
            <w:tcW w:type="dxa" w:w="1224"/>
          </w:tcPr>
          <w:p>
            <w:pPr>
              <w:spacing w:after="20"/>
              <w:jc w:val="right"/>
            </w:pPr>
            <w:r>
              <w:rPr>
                <w:color w:val="1C3A36"/>
                <w:sz w:val="17"/>
              </w:rPr>
              <w:t>23.28%</w:t>
            </w:r>
          </w:p>
        </w:tc>
        <w:tc>
          <w:tcPr>
            <w:tcW w:type="dxa" w:w="1224"/>
          </w:tcPr>
          <w:p>
            <w:pPr>
              <w:spacing w:after="20"/>
              <w:jc w:val="right"/>
            </w:pPr>
            <w:r>
              <w:rPr>
                <w:color w:val="1C3A36"/>
                <w:sz w:val="17"/>
              </w:rPr>
              <w:t>23.88%</w:t>
            </w:r>
          </w:p>
        </w:tc>
      </w:tr>
    </w:tbl>
    <w:p>
      <w:pPr>
        <w:spacing w:after="40"/>
      </w:pPr>
    </w:p>
    <w:p>
      <w:pPr>
        <w:spacing w:after="200" w:before="0"/>
      </w:pPr>
      <w:r>
        <w:rPr>
          <w:b w:val="0"/>
          <w:i/>
          <w:color w:val="6E7B77"/>
          <w:sz w:val="17"/>
        </w:rPr>
        <w:t>Table C.3 — Expert 3. Range EGP 9.74 to 12.23.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14.78</w:t>
            </w:r>
          </w:p>
        </w:tc>
        <w:tc>
          <w:tcPr>
            <w:tcW w:type="dxa" w:w="1728"/>
          </w:tcPr>
          <w:p>
            <w:pPr>
              <w:spacing w:after="20"/>
              <w:jc w:val="right"/>
            </w:pPr>
            <w:r>
              <w:rPr>
                <w:color w:val="1C3A36"/>
                <w:sz w:val="17"/>
              </w:rPr>
              <w:t>10.56–20.06</w:t>
            </w:r>
          </w:p>
        </w:tc>
        <w:tc>
          <w:tcPr>
            <w:tcW w:type="dxa" w:w="1296"/>
          </w:tcPr>
          <w:p>
            <w:pPr>
              <w:spacing w:after="20"/>
              <w:jc w:val="right"/>
            </w:pPr>
            <w:r>
              <w:rPr>
                <w:color w:val="1C3A36"/>
                <w:sz w:val="17"/>
              </w:rPr>
              <w:t>9.5%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9.41</w:t>
            </w:r>
          </w:p>
        </w:tc>
        <w:tc>
          <w:tcPr>
            <w:tcW w:type="dxa" w:w="1728"/>
          </w:tcPr>
          <w:p>
            <w:pPr>
              <w:spacing w:after="20"/>
              <w:jc w:val="right"/>
            </w:pPr>
            <w:r>
              <w:rPr>
                <w:color w:val="1C3A36"/>
                <w:sz w:val="17"/>
              </w:rPr>
              <w:t>7.53–9.00</w:t>
            </w:r>
          </w:p>
        </w:tc>
        <w:tc>
          <w:tcPr>
            <w:tcW w:type="dxa" w:w="1296"/>
          </w:tcPr>
          <w:p>
            <w:pPr>
              <w:spacing w:after="20"/>
              <w:jc w:val="right"/>
            </w:pPr>
            <w:r>
              <w:rPr>
                <w:color w:val="1C3A36"/>
                <w:sz w:val="17"/>
              </w:rPr>
              <w:t>-30.3%</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12.74</w:t>
            </w:r>
          </w:p>
        </w:tc>
        <w:tc>
          <w:tcPr>
            <w:tcW w:type="dxa" w:w="1728"/>
          </w:tcPr>
          <w:p>
            <w:pPr>
              <w:spacing w:after="20"/>
              <w:jc w:val="right"/>
            </w:pPr>
            <w:r>
              <w:rPr>
                <w:color w:val="1C3A36"/>
                <w:sz w:val="17"/>
              </w:rPr>
              <w:t>9.74–12.23</w:t>
            </w:r>
          </w:p>
        </w:tc>
        <w:tc>
          <w:tcPr>
            <w:tcW w:type="dxa" w:w="1296"/>
          </w:tcPr>
          <w:p>
            <w:pPr>
              <w:spacing w:after="20"/>
              <w:jc w:val="right"/>
            </w:pPr>
            <w:r>
              <w:rPr>
                <w:color w:val="1C3A36"/>
                <w:sz w:val="17"/>
              </w:rPr>
              <w:t>-5.6%</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12.74</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-5.6%</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