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130.05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There is no single number, and that is deliberate. Five readings put fair value between EGP 59 and EGP 74 a share. Because the contested judgement below is carried BOTH ways and the two are never averaged, the study publishes TWO weighted centres: EGP 61.68 a share on the permanent-provision reading and EGP 69.15 on the normalising one. The market price is EGP 130.05.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This is the second edition. </w:t>
            </w:r>
            <w:r>
              <w:rPr>
                <w:color w:val="1C3A36"/>
                <w:sz w:val="19"/>
              </w:rPr>
              <w:t>It folds in the reviewed first quarter of 2026 and the separately issued audited FY2023 and FY2024 statements, obtained after the first issue. The first quarter CONFIRMED the study's central mechanism — the construction balance is transferring and the depreciation charge has more than doubled — but it also came in softer than the first edition assumed on revenue, associates and capital spending. The weighted centre moves from a single EGP 79.64 to a PAIR — EGP 61.68 and EGP 69.15 a share. Section 7 lists what changed and by how much.</w:t>
            </w:r>
          </w:p>
          <w:p>
            <w:pPr>
              <w:spacing w:after="100"/>
            </w:pPr>
            <w:r>
              <w:rPr>
                <w:b/>
                <w:color w:val="1C3A36"/>
                <w:sz w:val="19"/>
              </w:rPr>
              <w:t xml:space="preserve">The first-quarter review is QUALIFIED. </w:t>
            </w:r>
            <w:r>
              <w:rPr>
                <w:color w:val="1C3A36"/>
                <w:sz w:val="19"/>
              </w:rPr>
              <w:t>The auditor qualified the conclusion on three matters: the associates' own periodic statements were not received; the active-ingredient company was recognised at cost after loss of control rather than remeasured and equity-accounted; and NO expected-credit-loss charge was recognised in the quarter. The third goes straight to this study's contested judgement and is the reason it is still carried both ways.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 — which is why this edition publishes two weighted centres rather than one. The first edition weighted both frames at a quarter each inside a single centre, and weighting both frames inside one number IS averaging them; that centre has been withdrawn.</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130.05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the charge goes from an audited EGP 117.7 million to EGP 304 million in FY2026E and EGP 446 million at its peak. The finance cost, meanwhile, does NOT rise: the first quarter of 2026 ran at EGP 312.9 million, an annual rate of about EGP 1,251 million against EGP 1,333 million actually borne in FY2025, so the forecast charges LESS interest, not more. The net mechanical change this study carries is therefore EGP 103 million a year of additional pre-tax charge, not the EGP 700 million a first reading of the licensing event suggests. The larger figure would require adding back the EGP 551 million of interest that was being capitalised, and the company's own first quarter says that is not what is happening. Either way the plant contributes no revenue yet.</w:t>
      </w:r>
    </w:p>
    <w:p>
      <w:pPr>
        <w:spacing w:after="120" w:before="0"/>
      </w:pPr>
      <w:r>
        <w:rPr>
          <w:b w:val="0"/>
          <w:i w:val="0"/>
          <w:color w:val="1C3A36"/>
          <w:sz w:val="21"/>
        </w:rPr>
        <w:t>Against that, four methods that do not depend on the new plant at all — discounted cash flow, run on two framings of the provision charge and so giving five readings in total; book value against sustainable return; triangulated multiples; and normalised earnings power — cluster between EGP 59 and EGP 74. The market is above all of them.</w:t>
      </w:r>
    </w:p>
    <w:p>
      <w:pPr>
        <w:spacing w:after="120" w:before="0"/>
      </w:pPr>
      <w:r>
        <w:rPr>
          <w:b w:val="0"/>
          <w:i w:val="0"/>
          <w:color w:val="1C3A36"/>
          <w:sz w:val="21"/>
        </w:rPr>
        <w:t>The first quarter of 2026, reviewed and published in May, settles part of that question and sharpens the rest. Fixed assets rose EGP 1,140 million and the construction balance fell EGP 918 million in three months; depreciation and amortisation went to EGP 56.2 million from EGP 26.6 million a year earlier, more than double. The plant is in service and the charge has arrived, exactly as this study said it would. What has not arrived is the revenue: net sales grew 10.1% and attributable profit FELL 10.9% to EGP 284 million.</w:t>
      </w:r>
    </w:p>
    <w:p>
      <w:pPr>
        <w:spacing w:after="40"/>
        <w:jc w:val="center"/>
      </w:pPr>
      <w:r>
        <w:drawing>
          <wp:inline xmlns:a="http://schemas.openxmlformats.org/drawingml/2006/main" xmlns:pic="http://schemas.openxmlformats.org/drawingml/2006/picture">
            <wp:extent cx="6309360" cy="276419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764191"/>
                    </a:xfrm>
                    <a:prstGeom prst="rect"/>
                  </pic:spPr>
                </pic:pic>
              </a:graphicData>
            </a:graphic>
          </wp:inline>
        </w:drawing>
      </w:r>
    </w:p>
    <w:p>
      <w:pPr>
        <w:spacing w:after="200" w:before="0"/>
      </w:pPr>
      <w:r>
        <w:rPr>
          <w:b w:val="0"/>
          <w:i/>
          <w:color w:val="6E7B77"/>
          <w:sz w:val="17"/>
        </w:rPr>
        <w:t>Figure 1 — five readings and TWO centres. The two provision frames are published side by side and are never averaged into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Reading</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w:t>
            </w:r>
          </w:p>
        </w:tc>
        <w:tc>
          <w:tcPr>
            <w:tcW w:type="dxa" w:w="1512"/>
          </w:tcPr>
          <w:p>
            <w:pPr>
              <w:spacing w:after="20"/>
              <w:jc w:val="right"/>
            </w:pPr>
            <w:r>
              <w:rPr>
                <w:color w:val="1C3A36"/>
                <w:sz w:val="18"/>
              </w:rPr>
              <w:t>58.90</w:t>
            </w:r>
          </w:p>
        </w:tc>
        <w:tc>
          <w:tcPr>
            <w:tcW w:type="dxa" w:w="1224"/>
          </w:tcPr>
          <w:p>
            <w:pPr>
              <w:spacing w:after="20"/>
              <w:jc w:val="right"/>
            </w:pPr>
            <w:r>
              <w:rPr>
                <w:color w:val="1C3A36"/>
                <w:sz w:val="18"/>
              </w:rPr>
              <w:t>-55%</w:t>
            </w:r>
          </w:p>
        </w:tc>
        <w:tc>
          <w:tcPr>
            <w:tcW w:type="dxa" w:w="3960"/>
          </w:tcPr>
          <w:p>
            <w:pPr>
              <w:spacing w:after="20"/>
              <w:jc w:val="right"/>
            </w:pPr>
            <w:r>
              <w:rPr>
                <w:color w:val="1C3A36"/>
                <w:sz w:val="18"/>
              </w:rPr>
              <w:t>terminal value 74% of core enterprise value, 62% of total</w:t>
            </w:r>
          </w:p>
        </w:tc>
      </w:tr>
      <w:tr>
        <w:tc>
          <w:tcPr>
            <w:tcW w:type="dxa" w:w="3384"/>
          </w:tcPr>
          <w:p>
            <w:pPr>
              <w:spacing w:after="20"/>
            </w:pPr>
            <w:r>
              <w:rPr>
                <w:color w:val="1C3A36"/>
                <w:sz w:val="18"/>
              </w:rPr>
              <w:t>Discounted cash flow — Frame B</w:t>
            </w:r>
          </w:p>
        </w:tc>
        <w:tc>
          <w:tcPr>
            <w:tcW w:type="dxa" w:w="1512"/>
          </w:tcPr>
          <w:p>
            <w:pPr>
              <w:spacing w:after="20"/>
              <w:jc w:val="right"/>
            </w:pPr>
            <w:r>
              <w:rPr>
                <w:color w:val="1C3A36"/>
                <w:sz w:val="18"/>
              </w:rPr>
              <w:t>73.83</w:t>
            </w:r>
          </w:p>
        </w:tc>
        <w:tc>
          <w:tcPr>
            <w:tcW w:type="dxa" w:w="1224"/>
          </w:tcPr>
          <w:p>
            <w:pPr>
              <w:spacing w:after="20"/>
              <w:jc w:val="right"/>
            </w:pPr>
            <w:r>
              <w:rPr>
                <w:color w:val="1C3A36"/>
                <w:sz w:val="18"/>
              </w:rPr>
              <w:t>-43%</w:t>
            </w:r>
          </w:p>
        </w:tc>
        <w:tc>
          <w:tcPr>
            <w:tcW w:type="dxa" w:w="3960"/>
          </w:tcPr>
          <w:p>
            <w:pPr>
              <w:spacing w:after="20"/>
              <w:jc w:val="right"/>
            </w:pPr>
            <w:r>
              <w:rPr>
                <w:color w:val="1C3A36"/>
                <w:sz w:val="18"/>
              </w:rPr>
              <w:t>terminal value 75% of core enterprise value, 64% of total</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63.12</w:t>
            </w:r>
          </w:p>
        </w:tc>
        <w:tc>
          <w:tcPr>
            <w:tcW w:type="dxa" w:w="1224"/>
          </w:tcPr>
          <w:p>
            <w:pPr>
              <w:spacing w:after="20"/>
              <w:jc w:val="right"/>
            </w:pPr>
            <w:r>
              <w:rPr>
                <w:color w:val="1C3A36"/>
                <w:sz w:val="18"/>
              </w:rPr>
              <w:t>-51%</w:t>
            </w:r>
          </w:p>
        </w:tc>
        <w:tc>
          <w:tcPr>
            <w:tcW w:type="dxa" w:w="3960"/>
          </w:tcPr>
          <w:p>
            <w:pPr>
              <w:spacing w:after="20"/>
              <w:jc w:val="right"/>
            </w:pPr>
            <w:r>
              <w:rPr>
                <w:color w:val="1C3A36"/>
                <w:sz w:val="18"/>
              </w:rPr>
              <w:t>justified 1.71x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65.47</w:t>
            </w:r>
          </w:p>
        </w:tc>
        <w:tc>
          <w:tcPr>
            <w:tcW w:type="dxa" w:w="1224"/>
          </w:tcPr>
          <w:p>
            <w:pPr>
              <w:spacing w:after="20"/>
              <w:jc w:val="right"/>
            </w:pPr>
            <w:r>
              <w:rPr>
                <w:color w:val="1C3A36"/>
                <w:sz w:val="18"/>
              </w:rPr>
              <w:t>-50%</w:t>
            </w:r>
          </w:p>
        </w:tc>
        <w:tc>
          <w:tcPr>
            <w:tcW w:type="dxa" w:w="3960"/>
          </w:tcPr>
          <w:p>
            <w:pPr>
              <w:spacing w:after="20"/>
              <w:jc w:val="right"/>
            </w:pPr>
            <w:r>
              <w:rPr>
                <w:color w:val="1C3A36"/>
                <w:sz w:val="18"/>
              </w:rPr>
              <w:t>three multiples, each on the earnings of its own period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65.27</w:t>
            </w:r>
          </w:p>
        </w:tc>
        <w:tc>
          <w:tcPr>
            <w:tcW w:type="dxa" w:w="1224"/>
          </w:tcPr>
          <w:p>
            <w:pPr>
              <w:spacing w:after="20"/>
              <w:jc w:val="right"/>
            </w:pPr>
            <w:r>
              <w:rPr>
                <w:color w:val="1C3A36"/>
                <w:sz w:val="18"/>
              </w:rPr>
              <w:t>-50%</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WEIGHTED CENTRE — Frame A</w:t>
            </w:r>
          </w:p>
        </w:tc>
        <w:tc>
          <w:tcPr>
            <w:tcW w:type="dxa" w:w="1512"/>
            <w:shd w:val="clear" w:color="auto" w:fill="F6F1E6"/>
          </w:tcPr>
          <w:p>
            <w:pPr>
              <w:spacing w:after="20"/>
              <w:jc w:val="right"/>
            </w:pPr>
            <w:r>
              <w:rPr>
                <w:b/>
                <w:color w:val="1C3A36"/>
                <w:sz w:val="18"/>
              </w:rPr>
              <w:t>61.68</w:t>
            </w:r>
          </w:p>
        </w:tc>
        <w:tc>
          <w:tcPr>
            <w:tcW w:type="dxa" w:w="1224"/>
            <w:shd w:val="clear" w:color="auto" w:fill="F6F1E6"/>
          </w:tcPr>
          <w:p>
            <w:pPr>
              <w:spacing w:after="20"/>
              <w:jc w:val="right"/>
            </w:pPr>
            <w:r>
              <w:rPr>
                <w:b/>
                <w:color w:val="1C3A36"/>
                <w:sz w:val="18"/>
              </w:rPr>
              <w:t>-53%</w:t>
            </w:r>
          </w:p>
        </w:tc>
        <w:tc>
          <w:tcPr>
            <w:tcW w:type="dxa" w:w="3960"/>
            <w:shd w:val="clear" w:color="auto" w:fill="F6F1E6"/>
          </w:tcPr>
          <w:p>
            <w:pPr>
              <w:spacing w:after="20"/>
              <w:jc w:val="right"/>
            </w:pPr>
            <w:r>
              <w:rPr>
                <w:b/>
                <w:color w:val="1C3A36"/>
                <w:sz w:val="18"/>
              </w:rPr>
              <w:t>Frame A at 50% weight beside the three lenses that do not turn on the judgement</w:t>
            </w:r>
          </w:p>
        </w:tc>
      </w:tr>
      <w:tr>
        <w:tc>
          <w:tcPr>
            <w:tcW w:type="dxa" w:w="3384"/>
            <w:shd w:val="clear" w:color="auto" w:fill="F6F1E6"/>
          </w:tcPr>
          <w:p>
            <w:pPr>
              <w:spacing w:after="20"/>
            </w:pPr>
            <w:r>
              <w:rPr>
                <w:b/>
                <w:color w:val="1C3A36"/>
                <w:sz w:val="18"/>
              </w:rPr>
              <w:t>WEIGHTED CENTRE — Frame B</w:t>
            </w:r>
          </w:p>
        </w:tc>
        <w:tc>
          <w:tcPr>
            <w:tcW w:type="dxa" w:w="1512"/>
            <w:shd w:val="clear" w:color="auto" w:fill="F6F1E6"/>
          </w:tcPr>
          <w:p>
            <w:pPr>
              <w:spacing w:after="20"/>
              <w:jc w:val="right"/>
            </w:pPr>
            <w:r>
              <w:rPr>
                <w:b/>
                <w:color w:val="1C3A36"/>
                <w:sz w:val="18"/>
              </w:rPr>
              <w:t>69.15</w:t>
            </w:r>
          </w:p>
        </w:tc>
        <w:tc>
          <w:tcPr>
            <w:tcW w:type="dxa" w:w="1224"/>
            <w:shd w:val="clear" w:color="auto" w:fill="F6F1E6"/>
          </w:tcPr>
          <w:p>
            <w:pPr>
              <w:spacing w:after="20"/>
              <w:jc w:val="right"/>
            </w:pPr>
            <w:r>
              <w:rPr>
                <w:b/>
                <w:color w:val="1C3A36"/>
                <w:sz w:val="18"/>
              </w:rPr>
              <w:t>-47%</w:t>
            </w:r>
          </w:p>
        </w:tc>
        <w:tc>
          <w:tcPr>
            <w:tcW w:type="dxa" w:w="3960"/>
            <w:shd w:val="clear" w:color="auto" w:fill="F6F1E6"/>
          </w:tcPr>
          <w:p>
            <w:pPr>
              <w:spacing w:after="20"/>
              <w:jc w:val="right"/>
            </w:pPr>
            <w:r>
              <w:rPr>
                <w:b/>
                <w:color w:val="1C3A36"/>
                <w:sz w:val="18"/>
              </w:rPr>
              <w:t>The same three lenses beside Frame B. The two centres are NEVER averaged</w:t>
            </w:r>
          </w:p>
        </w:tc>
      </w:tr>
      <w:tr>
        <w:tc>
          <w:tcPr>
            <w:tcW w:type="dxa" w:w="3384"/>
          </w:tcPr>
          <w:p>
            <w:pPr>
              <w:spacing w:after="20"/>
            </w:pPr>
            <w:r>
              <w:rPr>
                <w:color w:val="1C3A36"/>
                <w:sz w:val="18"/>
              </w:rPr>
              <w:t>Field low to field high</w:t>
            </w:r>
          </w:p>
        </w:tc>
        <w:tc>
          <w:tcPr>
            <w:tcW w:type="dxa" w:w="1512"/>
          </w:tcPr>
          <w:p>
            <w:pPr>
              <w:spacing w:after="20"/>
              <w:jc w:val="right"/>
            </w:pPr>
            <w:r>
              <w:rPr>
                <w:color w:val="1C3A36"/>
                <w:sz w:val="18"/>
              </w:rPr>
              <w:t>58.90 – 73.83</w:t>
            </w:r>
          </w:p>
        </w:tc>
        <w:tc>
          <w:tcPr>
            <w:tcW w:type="dxa" w:w="1224"/>
          </w:tcPr>
          <w:p>
            <w:pPr>
              <w:spacing w:after="20"/>
              <w:jc w:val="right"/>
            </w:pPr>
            <w:r>
              <w:rPr>
                <w:color w:val="1C3A36"/>
                <w:sz w:val="18"/>
              </w:rPr>
            </w:r>
          </w:p>
        </w:tc>
        <w:tc>
          <w:tcPr>
            <w:tcW w:type="dxa" w:w="3960"/>
          </w:tcPr>
          <w:p>
            <w:pPr>
              <w:spacing w:after="20"/>
              <w:jc w:val="right"/>
            </w:pPr>
            <w:r>
              <w:rPr>
                <w:color w:val="1C3A36"/>
                <w:sz w:val="18"/>
              </w:rPr>
              <w:t>The spread between the readings IS the uncertainty</w:t>
            </w:r>
          </w:p>
        </w:tc>
      </w:tr>
      <w:tr>
        <w:tc>
          <w:tcPr>
            <w:tcW w:type="dxa" w:w="3384"/>
            <w:shd w:val="clear" w:color="auto" w:fill="F6F1E6"/>
          </w:tcPr>
          <w:p>
            <w:pPr>
              <w:spacing w:after="20"/>
            </w:pPr>
            <w:r>
              <w:rPr>
                <w:b/>
                <w:color w:val="1C3A36"/>
                <w:sz w:val="18"/>
              </w:rPr>
              <w:t>Market price</w:t>
            </w:r>
          </w:p>
        </w:tc>
        <w:tc>
          <w:tcPr>
            <w:tcW w:type="dxa" w:w="1512"/>
            <w:shd w:val="clear" w:color="auto" w:fill="F6F1E6"/>
          </w:tcPr>
          <w:p>
            <w:pPr>
              <w:spacing w:after="20"/>
              <w:jc w:val="right"/>
            </w:pPr>
            <w:r>
              <w:rPr>
                <w:b/>
                <w:color w:val="1C3A36"/>
                <w:sz w:val="18"/>
              </w:rPr>
              <w:t>130.05</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Close of 6 August 2026</w:t>
            </w:r>
          </w:p>
        </w:tc>
      </w:tr>
    </w:tbl>
    <w:p>
      <w:pPr>
        <w:spacing w:after="40"/>
      </w:pPr>
    </w:p>
    <w:p>
      <w:pPr>
        <w:spacing w:after="200" w:before="0"/>
      </w:pPr>
      <w:r>
        <w:rPr>
          <w:b w:val="0"/>
          <w:i/>
          <w:color w:val="6E7B77"/>
          <w:sz w:val="17"/>
        </w:rPr>
        <w:t>Table 1 — the summary valuation table. TWO centres, never one: the contested judgement is carried both ways and weighting both frames inside a single number would average them. Terminal value is stated beside each cash-flow reading on BOTH bases — as a share of the core operating value and of the total, which also carries the associates and the assets held for sale.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21,947m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29,315m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15.22x on shares in issue, 14.62x on the FY2025 weighted average</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11.8x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25.57%</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22.75%</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13.56%</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 Enterprise value uses the post-deconsolidation non-controlling interest of EGP 4.0 million that the valuation bridge uses, so the enterprise value and the multiple beside it are struck on one basis. The audited 31 December 2025 minority of EGP 288.7 million would give EGP 29,600 million instead; the two are not mixed. Two trailing multiples are shown because the share count rose during FY2025 and both readings are legitimate.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7,364</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t>26%</w:t>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each total SUMMED from its own column. Exports are 32% of the book and are earned in hard currency; the domestic price is set administratively by the Egyptian Drug Authority. The step from this separate-company total to the audited consolidated revenue is the subsidiary's external sales: 1.01 times in FY2025 and 1.03 times in FY2024. The forecast carries the FY2025 reading. Two observations are not a trend, and the FY2024 reading would add about 1.6% to forecast revenue; the range is disclosed rather than the single figure being presented as measured fact.</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512 million in FY2025 — 36%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10,384</w:t>
            </w:r>
          </w:p>
        </w:tc>
        <w:tc>
          <w:tcPr>
            <w:tcW w:type="dxa" w:w="1325"/>
          </w:tcPr>
          <w:p>
            <w:pPr>
              <w:spacing w:after="20"/>
              <w:jc w:val="right"/>
            </w:pPr>
            <w:r>
              <w:rPr>
                <w:color w:val="1C3A36"/>
                <w:sz w:val="17"/>
              </w:rPr>
              <w:t>12,038</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15,638</w:t>
            </w:r>
          </w:p>
        </w:tc>
        <w:tc>
          <w:tcPr>
            <w:tcW w:type="dxa" w:w="1325"/>
          </w:tcPr>
          <w:p>
            <w:pPr>
              <w:spacing w:after="20"/>
              <w:jc w:val="right"/>
            </w:pPr>
            <w:r>
              <w:rPr>
                <w:color w:val="1C3A36"/>
                <w:sz w:val="17"/>
              </w:rPr>
              <w:t>17,404</w:t>
            </w:r>
          </w:p>
        </w:tc>
      </w:tr>
      <w:tr>
        <w:tc>
          <w:tcPr>
            <w:tcW w:type="dxa" w:w="3384"/>
          </w:tcPr>
          <w:p>
            <w:pPr>
              <w:spacing w:after="20"/>
            </w:pPr>
            <w:r>
              <w:rPr>
                <w:color w:val="1C3A36"/>
                <w:sz w:val="17"/>
              </w:rPr>
              <w:t>EBITDA</w:t>
            </w:r>
          </w:p>
        </w:tc>
        <w:tc>
          <w:tcPr>
            <w:tcW w:type="dxa" w:w="1325"/>
          </w:tcPr>
          <w:p>
            <w:pPr>
              <w:spacing w:after="20"/>
              <w:jc w:val="right"/>
            </w:pPr>
            <w:r>
              <w:rPr>
                <w:color w:val="1C3A36"/>
                <w:sz w:val="17"/>
              </w:rPr>
              <w:t>2,576</w:t>
            </w:r>
          </w:p>
        </w:tc>
        <w:tc>
          <w:tcPr>
            <w:tcW w:type="dxa" w:w="1325"/>
          </w:tcPr>
          <w:p>
            <w:pPr>
              <w:spacing w:after="20"/>
              <w:jc w:val="right"/>
            </w:pPr>
            <w:r>
              <w:rPr>
                <w:color w:val="1C3A36"/>
                <w:sz w:val="17"/>
              </w:rPr>
              <w:t>2,978</w:t>
            </w:r>
          </w:p>
        </w:tc>
        <w:tc>
          <w:tcPr>
            <w:tcW w:type="dxa" w:w="1325"/>
          </w:tcPr>
          <w:p>
            <w:pPr>
              <w:spacing w:after="20"/>
              <w:jc w:val="right"/>
            </w:pPr>
            <w:r>
              <w:rPr>
                <w:color w:val="1C3A36"/>
                <w:sz w:val="17"/>
              </w:rPr>
              <w:t>3,447</w:t>
            </w:r>
          </w:p>
        </w:tc>
        <w:tc>
          <w:tcPr>
            <w:tcW w:type="dxa" w:w="1325"/>
          </w:tcPr>
          <w:p>
            <w:pPr>
              <w:spacing w:after="20"/>
              <w:jc w:val="right"/>
            </w:pPr>
            <w:r>
              <w:rPr>
                <w:color w:val="1C3A36"/>
                <w:sz w:val="17"/>
              </w:rPr>
              <w:t>3,905</w:t>
            </w:r>
          </w:p>
        </w:tc>
        <w:tc>
          <w:tcPr>
            <w:tcW w:type="dxa" w:w="1325"/>
          </w:tcPr>
          <w:p>
            <w:pPr>
              <w:spacing w:after="20"/>
              <w:jc w:val="right"/>
            </w:pPr>
            <w:r>
              <w:rPr>
                <w:color w:val="1C3A36"/>
                <w:sz w:val="17"/>
              </w:rPr>
              <w:t>4,335</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24.8%</w:t>
            </w:r>
          </w:p>
        </w:tc>
        <w:tc>
          <w:tcPr>
            <w:tcW w:type="dxa" w:w="1325"/>
          </w:tcPr>
          <w:p>
            <w:pPr>
              <w:spacing w:after="20"/>
              <w:jc w:val="right"/>
            </w:pPr>
            <w:r>
              <w:rPr>
                <w:color w:val="1C3A36"/>
                <w:sz w:val="17"/>
              </w:rPr>
              <w:t>24.7%</w:t>
            </w:r>
          </w:p>
        </w:tc>
        <w:tc>
          <w:tcPr>
            <w:tcW w:type="dxa" w:w="1325"/>
          </w:tcPr>
          <w:p>
            <w:pPr>
              <w:spacing w:after="20"/>
              <w:jc w:val="right"/>
            </w:pPr>
            <w:r>
              <w:rPr>
                <w:color w:val="1C3A36"/>
                <w:sz w:val="17"/>
              </w:rPr>
              <w:t>24.9%</w:t>
            </w:r>
          </w:p>
        </w:tc>
        <w:tc>
          <w:tcPr>
            <w:tcW w:type="dxa" w:w="1325"/>
          </w:tcPr>
          <w:p>
            <w:pPr>
              <w:spacing w:after="20"/>
              <w:jc w:val="right"/>
            </w:pPr>
            <w:r>
              <w:rPr>
                <w:color w:val="1C3A36"/>
                <w:sz w:val="17"/>
              </w:rPr>
              <w:t>25.0%</w:t>
            </w:r>
          </w:p>
        </w:tc>
        <w:tc>
          <w:tcPr>
            <w:tcW w:type="dxa" w:w="1325"/>
          </w:tcPr>
          <w:p>
            <w:pPr>
              <w:spacing w:after="20"/>
              <w:jc w:val="right"/>
            </w:pPr>
            <w:r>
              <w:rPr>
                <w:color w:val="1C3A36"/>
                <w:sz w:val="17"/>
              </w:rPr>
              <w:t>24.9%</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EBIT</w:t>
            </w:r>
          </w:p>
        </w:tc>
        <w:tc>
          <w:tcPr>
            <w:tcW w:type="dxa" w:w="1325"/>
          </w:tcPr>
          <w:p>
            <w:pPr>
              <w:spacing w:after="20"/>
              <w:jc w:val="right"/>
            </w:pPr>
            <w:r>
              <w:rPr>
                <w:color w:val="1C3A36"/>
                <w:sz w:val="17"/>
              </w:rPr>
              <w:t>2,272</w:t>
            </w:r>
          </w:p>
        </w:tc>
        <w:tc>
          <w:tcPr>
            <w:tcW w:type="dxa" w:w="1325"/>
          </w:tcPr>
          <w:p>
            <w:pPr>
              <w:spacing w:after="20"/>
              <w:jc w:val="right"/>
            </w:pPr>
            <w:r>
              <w:rPr>
                <w:color w:val="1C3A36"/>
                <w:sz w:val="17"/>
              </w:rPr>
              <w:t>2,553</w:t>
            </w:r>
          </w:p>
        </w:tc>
        <w:tc>
          <w:tcPr>
            <w:tcW w:type="dxa" w:w="1325"/>
          </w:tcPr>
          <w:p>
            <w:pPr>
              <w:spacing w:after="20"/>
              <w:jc w:val="right"/>
            </w:pPr>
            <w:r>
              <w:rPr>
                <w:color w:val="1C3A36"/>
                <w:sz w:val="17"/>
              </w:rPr>
              <w:t>3,001</w:t>
            </w:r>
          </w:p>
        </w:tc>
        <w:tc>
          <w:tcPr>
            <w:tcW w:type="dxa" w:w="1325"/>
          </w:tcPr>
          <w:p>
            <w:pPr>
              <w:spacing w:after="20"/>
              <w:jc w:val="right"/>
            </w:pPr>
            <w:r>
              <w:rPr>
                <w:color w:val="1C3A36"/>
                <w:sz w:val="17"/>
              </w:rPr>
              <w:t>3,468</w:t>
            </w:r>
          </w:p>
        </w:tc>
        <w:tc>
          <w:tcPr>
            <w:tcW w:type="dxa" w:w="1325"/>
          </w:tcPr>
          <w:p>
            <w:pPr>
              <w:spacing w:after="20"/>
              <w:jc w:val="right"/>
            </w:pPr>
            <w:r>
              <w:rPr>
                <w:color w:val="1C3A36"/>
                <w:sz w:val="17"/>
              </w:rPr>
              <w:t>3,912</w:t>
            </w:r>
          </w:p>
        </w:tc>
      </w:tr>
      <w:tr>
        <w:tc>
          <w:tcPr>
            <w:tcW w:type="dxa" w:w="3384"/>
          </w:tcPr>
          <w:p>
            <w:pPr>
              <w:spacing w:after="20"/>
            </w:pPr>
            <w:r>
              <w:rPr>
                <w:color w:val="1C3A36"/>
                <w:sz w:val="17"/>
              </w:rPr>
              <w:t>Tax rate (the EFFECTIVE rate the business bears)</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c>
          <w:tcPr>
            <w:tcW w:type="dxa" w:w="1325"/>
          </w:tcPr>
          <w:p>
            <w:pPr>
              <w:spacing w:after="20"/>
              <w:jc w:val="right"/>
            </w:pPr>
            <w:r>
              <w:rPr>
                <w:color w:val="1C3A36"/>
                <w:sz w:val="17"/>
              </w:rPr>
              <w:t>23.5%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1,738</w:t>
            </w:r>
          </w:p>
        </w:tc>
        <w:tc>
          <w:tcPr>
            <w:tcW w:type="dxa" w:w="1325"/>
          </w:tcPr>
          <w:p>
            <w:pPr>
              <w:spacing w:after="20"/>
              <w:jc w:val="right"/>
            </w:pPr>
            <w:r>
              <w:rPr>
                <w:color w:val="1C3A36"/>
                <w:sz w:val="17"/>
              </w:rPr>
              <w:t>1,953</w:t>
            </w:r>
          </w:p>
        </w:tc>
        <w:tc>
          <w:tcPr>
            <w:tcW w:type="dxa" w:w="1325"/>
          </w:tcPr>
          <w:p>
            <w:pPr>
              <w:spacing w:after="20"/>
              <w:jc w:val="right"/>
            </w:pPr>
            <w:r>
              <w:rPr>
                <w:color w:val="1C3A36"/>
                <w:sz w:val="17"/>
              </w:rPr>
              <w:t>2,296</w:t>
            </w:r>
          </w:p>
        </w:tc>
        <w:tc>
          <w:tcPr>
            <w:tcW w:type="dxa" w:w="1325"/>
          </w:tcPr>
          <w:p>
            <w:pPr>
              <w:spacing w:after="20"/>
              <w:jc w:val="right"/>
            </w:pPr>
            <w:r>
              <w:rPr>
                <w:color w:val="1C3A36"/>
                <w:sz w:val="17"/>
              </w:rPr>
              <w:t>2,653</w:t>
            </w:r>
          </w:p>
        </w:tc>
        <w:tc>
          <w:tcPr>
            <w:tcW w:type="dxa" w:w="1325"/>
          </w:tcPr>
          <w:p>
            <w:pPr>
              <w:spacing w:after="20"/>
              <w:jc w:val="right"/>
            </w:pPr>
            <w:r>
              <w:rPr>
                <w:color w:val="1C3A36"/>
                <w:sz w:val="17"/>
              </w:rPr>
              <w:t>2,993</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304</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446</w:t>
            </w:r>
          </w:p>
        </w:tc>
        <w:tc>
          <w:tcPr>
            <w:tcW w:type="dxa" w:w="1325"/>
            <w:shd w:val="clear" w:color="auto" w:fill="F6F1E6"/>
          </w:tcPr>
          <w:p>
            <w:pPr>
              <w:spacing w:after="20"/>
              <w:jc w:val="right"/>
            </w:pPr>
            <w:r>
              <w:rPr>
                <w:b/>
                <w:color w:val="1C3A36"/>
                <w:sz w:val="17"/>
              </w:rPr>
              <w:t>437</w:t>
            </w:r>
          </w:p>
        </w:tc>
        <w:tc>
          <w:tcPr>
            <w:tcW w:type="dxa" w:w="1325"/>
            <w:shd w:val="clear" w:color="auto" w:fill="F6F1E6"/>
          </w:tcPr>
          <w:p>
            <w:pPr>
              <w:spacing w:after="20"/>
              <w:jc w:val="right"/>
            </w:pPr>
            <w:r>
              <w:rPr>
                <w:b/>
                <w:color w:val="1C3A36"/>
                <w:sz w:val="17"/>
              </w:rPr>
              <w:t>423</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(1,298)</w:t>
            </w:r>
          </w:p>
        </w:tc>
        <w:tc>
          <w:tcPr>
            <w:tcW w:type="dxa" w:w="1325"/>
          </w:tcPr>
          <w:p>
            <w:pPr>
              <w:spacing w:after="20"/>
              <w:jc w:val="right"/>
            </w:pPr>
            <w:r>
              <w:rPr>
                <w:color w:val="1C3A36"/>
                <w:sz w:val="17"/>
              </w:rPr>
              <w:t>(542)</w:t>
            </w:r>
          </w:p>
        </w:tc>
        <w:tc>
          <w:tcPr>
            <w:tcW w:type="dxa" w:w="1325"/>
          </w:tcPr>
          <w:p>
            <w:pPr>
              <w:spacing w:after="20"/>
              <w:jc w:val="right"/>
            </w:pPr>
            <w:r>
              <w:rPr>
                <w:color w:val="1C3A36"/>
                <w:sz w:val="17"/>
              </w:rPr>
              <w:t>(484)</w:t>
            </w:r>
          </w:p>
        </w:tc>
        <w:tc>
          <w:tcPr>
            <w:tcW w:type="dxa" w:w="1325"/>
          </w:tcPr>
          <w:p>
            <w:pPr>
              <w:spacing w:after="20"/>
              <w:jc w:val="right"/>
            </w:pPr>
            <w:r>
              <w:rPr>
                <w:color w:val="1C3A36"/>
                <w:sz w:val="17"/>
              </w:rPr>
              <w:t>(500)</w:t>
            </w:r>
          </w:p>
        </w:tc>
        <w:tc>
          <w:tcPr>
            <w:tcW w:type="dxa" w:w="1325"/>
          </w:tcPr>
          <w:p>
            <w:pPr>
              <w:spacing w:after="20"/>
              <w:jc w:val="right"/>
            </w:pPr>
            <w:r>
              <w:rPr>
                <w:color w:val="1C3A36"/>
                <w:sz w:val="17"/>
              </w:rPr>
              <w:t>(522)</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(588)</w:t>
            </w:r>
          </w:p>
        </w:tc>
        <w:tc>
          <w:tcPr>
            <w:tcW w:type="dxa" w:w="1325"/>
          </w:tcPr>
          <w:p>
            <w:pPr>
              <w:spacing w:after="20"/>
              <w:jc w:val="right"/>
            </w:pPr>
            <w:r>
              <w:rPr>
                <w:color w:val="1C3A36"/>
                <w:sz w:val="17"/>
              </w:rPr>
              <w:t>(768)</w:t>
            </w:r>
          </w:p>
        </w:tc>
        <w:tc>
          <w:tcPr>
            <w:tcW w:type="dxa" w:w="1325"/>
          </w:tcPr>
          <w:p>
            <w:pPr>
              <w:spacing w:after="20"/>
              <w:jc w:val="right"/>
            </w:pPr>
            <w:r>
              <w:rPr>
                <w:color w:val="1C3A36"/>
                <w:sz w:val="17"/>
              </w:rPr>
              <w:t>(683)</w:t>
            </w:r>
          </w:p>
        </w:tc>
        <w:tc>
          <w:tcPr>
            <w:tcW w:type="dxa" w:w="1325"/>
          </w:tcPr>
          <w:p>
            <w:pPr>
              <w:spacing w:after="20"/>
              <w:jc w:val="right"/>
            </w:pPr>
            <w:r>
              <w:rPr>
                <w:color w:val="1C3A36"/>
                <w:sz w:val="17"/>
              </w:rPr>
              <w:t>(715)</w:t>
            </w:r>
          </w:p>
        </w:tc>
        <w:tc>
          <w:tcPr>
            <w:tcW w:type="dxa" w:w="1325"/>
          </w:tcPr>
          <w:p>
            <w:pPr>
              <w:spacing w:after="20"/>
              <w:jc w:val="right"/>
            </w:pPr>
            <w:r>
              <w:rPr>
                <w:color w:val="1C3A36"/>
                <w:sz w:val="17"/>
              </w:rPr>
              <w:t>(669)</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156</w:t>
            </w:r>
          </w:p>
        </w:tc>
        <w:tc>
          <w:tcPr>
            <w:tcW w:type="dxa" w:w="1325"/>
          </w:tcPr>
          <w:p>
            <w:pPr>
              <w:spacing w:after="20"/>
              <w:jc w:val="right"/>
            </w:pPr>
            <w:r>
              <w:rPr>
                <w:color w:val="1C3A36"/>
                <w:sz w:val="17"/>
              </w:rPr>
              <w:t>1,068</w:t>
            </w:r>
          </w:p>
        </w:tc>
        <w:tc>
          <w:tcPr>
            <w:tcW w:type="dxa" w:w="1325"/>
          </w:tcPr>
          <w:p>
            <w:pPr>
              <w:spacing w:after="20"/>
              <w:jc w:val="right"/>
            </w:pPr>
            <w:r>
              <w:rPr>
                <w:color w:val="1C3A36"/>
                <w:sz w:val="17"/>
              </w:rPr>
              <w:t>1,575</w:t>
            </w:r>
          </w:p>
        </w:tc>
        <w:tc>
          <w:tcPr>
            <w:tcW w:type="dxa" w:w="1325"/>
          </w:tcPr>
          <w:p>
            <w:pPr>
              <w:spacing w:after="20"/>
              <w:jc w:val="right"/>
            </w:pPr>
            <w:r>
              <w:rPr>
                <w:color w:val="1C3A36"/>
                <w:sz w:val="17"/>
              </w:rPr>
              <w:t>1,874</w:t>
            </w:r>
          </w:p>
        </w:tc>
        <w:tc>
          <w:tcPr>
            <w:tcW w:type="dxa" w:w="1325"/>
          </w:tcPr>
          <w:p>
            <w:pPr>
              <w:spacing w:after="20"/>
              <w:jc w:val="right"/>
            </w:pPr>
            <w:r>
              <w:rPr>
                <w:color w:val="1C3A36"/>
                <w:sz w:val="17"/>
              </w:rPr>
              <w:t>2,225</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22.75%</w:t>
            </w:r>
          </w:p>
        </w:tc>
        <w:tc>
          <w:tcPr>
            <w:tcW w:type="dxa" w:w="1325"/>
            <w:shd w:val="clear" w:color="auto" w:fill="F6F1E6"/>
          </w:tcPr>
          <w:p>
            <w:pPr>
              <w:spacing w:after="20"/>
              <w:jc w:val="right"/>
            </w:pPr>
            <w:r>
              <w:rPr>
                <w:b/>
                <w:color w:val="1C3A36"/>
                <w:sz w:val="17"/>
              </w:rPr>
              <w:t>20.29%</w:t>
            </w:r>
          </w:p>
        </w:tc>
        <w:tc>
          <w:tcPr>
            <w:tcW w:type="dxa" w:w="1325"/>
            <w:shd w:val="clear" w:color="auto" w:fill="F6F1E6"/>
          </w:tcPr>
          <w:p>
            <w:pPr>
              <w:spacing w:after="20"/>
              <w:jc w:val="right"/>
            </w:pPr>
            <w:r>
              <w:rPr>
                <w:b/>
                <w:color w:val="1C3A36"/>
                <w:sz w:val="17"/>
              </w:rPr>
              <w:t>17.60%</w:t>
            </w:r>
          </w:p>
        </w:tc>
        <w:tc>
          <w:tcPr>
            <w:tcW w:type="dxa" w:w="1325"/>
            <w:shd w:val="clear" w:color="auto" w:fill="F6F1E6"/>
          </w:tcPr>
          <w:p>
            <w:pPr>
              <w:spacing w:after="20"/>
              <w:jc w:val="right"/>
            </w:pPr>
            <w:r>
              <w:rPr>
                <w:b/>
                <w:color w:val="1C3A36"/>
                <w:sz w:val="17"/>
              </w:rPr>
              <w:t>15.35%</w:t>
            </w:r>
          </w:p>
        </w:tc>
        <w:tc>
          <w:tcPr>
            <w:tcW w:type="dxa" w:w="1325"/>
            <w:shd w:val="clear" w:color="auto" w:fill="F6F1E6"/>
          </w:tcPr>
          <w:p>
            <w:pPr>
              <w:spacing w:after="20"/>
              <w:jc w:val="right"/>
            </w:pPr>
            <w:r>
              <w:rPr>
                <w:b/>
                <w:color w:val="1C3A36"/>
                <w:sz w:val="17"/>
              </w:rPr>
              <w:t>13.56%</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0.8146</w:t>
            </w:r>
          </w:p>
        </w:tc>
        <w:tc>
          <w:tcPr>
            <w:tcW w:type="dxa" w:w="1325"/>
          </w:tcPr>
          <w:p>
            <w:pPr>
              <w:spacing w:after="20"/>
              <w:jc w:val="right"/>
            </w:pPr>
            <w:r>
              <w:rPr>
                <w:color w:val="1C3A36"/>
                <w:sz w:val="17"/>
              </w:rPr>
              <w:t>0.6772</w:t>
            </w:r>
          </w:p>
        </w:tc>
        <w:tc>
          <w:tcPr>
            <w:tcW w:type="dxa" w:w="1325"/>
          </w:tcPr>
          <w:p>
            <w:pPr>
              <w:spacing w:after="20"/>
              <w:jc w:val="right"/>
            </w:pPr>
            <w:r>
              <w:rPr>
                <w:color w:val="1C3A36"/>
                <w:sz w:val="17"/>
              </w:rPr>
              <w:t>0.5759</w:t>
            </w:r>
          </w:p>
        </w:tc>
        <w:tc>
          <w:tcPr>
            <w:tcW w:type="dxa" w:w="1325"/>
          </w:tcPr>
          <w:p>
            <w:pPr>
              <w:spacing w:after="20"/>
              <w:jc w:val="right"/>
            </w:pPr>
            <w:r>
              <w:rPr>
                <w:color w:val="1C3A36"/>
                <w:sz w:val="17"/>
              </w:rPr>
              <w:t>0.4992</w:t>
            </w:r>
          </w:p>
        </w:tc>
        <w:tc>
          <w:tcPr>
            <w:tcW w:type="dxa" w:w="1325"/>
          </w:tcPr>
          <w:p>
            <w:pPr>
              <w:spacing w:after="20"/>
              <w:jc w:val="right"/>
            </w:pPr>
            <w:r>
              <w:rPr>
                <w:color w:val="1C3A36"/>
                <w:sz w:val="17"/>
              </w:rPr>
              <w:t>0.4396</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127</w:t>
            </w:r>
          </w:p>
        </w:tc>
        <w:tc>
          <w:tcPr>
            <w:tcW w:type="dxa" w:w="1325"/>
          </w:tcPr>
          <w:p>
            <w:pPr>
              <w:spacing w:after="20"/>
              <w:jc w:val="right"/>
            </w:pPr>
            <w:r>
              <w:rPr>
                <w:color w:val="1C3A36"/>
                <w:sz w:val="17"/>
              </w:rPr>
              <w:t>724</w:t>
            </w:r>
          </w:p>
        </w:tc>
        <w:tc>
          <w:tcPr>
            <w:tcW w:type="dxa" w:w="1325"/>
          </w:tcPr>
          <w:p>
            <w:pPr>
              <w:spacing w:after="20"/>
              <w:jc w:val="right"/>
            </w:pPr>
            <w:r>
              <w:rPr>
                <w:color w:val="1C3A36"/>
                <w:sz w:val="17"/>
              </w:rPr>
              <w:t>907</w:t>
            </w:r>
          </w:p>
        </w:tc>
        <w:tc>
          <w:tcPr>
            <w:tcW w:type="dxa" w:w="1325"/>
          </w:tcPr>
          <w:p>
            <w:pPr>
              <w:spacing w:after="20"/>
              <w:jc w:val="right"/>
            </w:pPr>
            <w:r>
              <w:rPr>
                <w:color w:val="1C3A36"/>
                <w:sz w:val="17"/>
              </w:rPr>
              <w:t>936</w:t>
            </w:r>
          </w:p>
        </w:tc>
        <w:tc>
          <w:tcPr>
            <w:tcW w:type="dxa" w:w="1325"/>
          </w:tcPr>
          <w:p>
            <w:pPr>
              <w:spacing w:after="20"/>
              <w:jc w:val="right"/>
            </w:pPr>
            <w:r>
              <w:rPr>
                <w:color w:val="1C3A36"/>
                <w:sz w:val="17"/>
              </w:rPr>
              <w:t>978</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3,671</w:t>
            </w:r>
          </w:p>
        </w:tc>
        <w:tc>
          <w:tcPr>
            <w:tcW w:type="dxa" w:w="2232"/>
          </w:tcPr>
          <w:p>
            <w:pPr>
              <w:spacing w:after="20"/>
              <w:jc w:val="right"/>
            </w:pPr>
            <w:r>
              <w:rPr>
                <w:color w:val="1C3A36"/>
                <w:sz w:val="18"/>
              </w:rPr>
              <w:t>21.76</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10,645</w:t>
            </w:r>
          </w:p>
        </w:tc>
        <w:tc>
          <w:tcPr>
            <w:tcW w:type="dxa" w:w="2232"/>
          </w:tcPr>
          <w:p>
            <w:pPr>
              <w:spacing w:after="20"/>
              <w:jc w:val="right"/>
            </w:pPr>
            <w:r>
              <w:rPr>
                <w:color w:val="1C3A36"/>
                <w:sz w:val="18"/>
              </w:rPr>
              <w:t>63.08</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14,316</w:t>
            </w:r>
          </w:p>
        </w:tc>
        <w:tc>
          <w:tcPr>
            <w:tcW w:type="dxa" w:w="2232"/>
          </w:tcPr>
          <w:p>
            <w:pPr>
              <w:spacing w:after="20"/>
              <w:jc w:val="right"/>
            </w:pPr>
            <w:r>
              <w:rPr>
                <w:color w:val="1C3A36"/>
                <w:sz w:val="18"/>
              </w:rPr>
              <w:t>84.83</w:t>
            </w:r>
          </w:p>
        </w:tc>
      </w:tr>
      <w:tr>
        <w:tc>
          <w:tcPr>
            <w:tcW w:type="dxa" w:w="5112"/>
            <w:shd w:val="clear" w:color="auto" w:fill="F6F1E6"/>
          </w:tcPr>
          <w:p>
            <w:pPr>
              <w:spacing w:after="20"/>
            </w:pPr>
            <w:r>
              <w:rPr>
                <w:b/>
                <w:color w:val="1C3A36"/>
                <w:sz w:val="18"/>
              </w:rPr>
              <w:t>Terminal value as a percentage of CORE enterprise value</w:t>
            </w:r>
          </w:p>
        </w:tc>
        <w:tc>
          <w:tcPr>
            <w:tcW w:type="dxa" w:w="2304"/>
            <w:shd w:val="clear" w:color="auto" w:fill="F6F1E6"/>
          </w:tcPr>
          <w:p>
            <w:pPr>
              <w:spacing w:after="20"/>
              <w:jc w:val="right"/>
            </w:pPr>
            <w:r>
              <w:rPr>
                <w:b/>
                <w:color w:val="1C3A36"/>
                <w:sz w:val="18"/>
              </w:rPr>
              <w:t>74%</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earning associates at normalised earnings times the multiple</w:t>
            </w:r>
          </w:p>
        </w:tc>
        <w:tc>
          <w:tcPr>
            <w:tcW w:type="dxa" w:w="2304"/>
          </w:tcPr>
          <w:p>
            <w:pPr>
              <w:spacing w:after="20"/>
              <w:jc w:val="right"/>
            </w:pPr>
            <w:r>
              <w:rPr>
                <w:color w:val="1C3A36"/>
                <w:sz w:val="18"/>
              </w:rPr>
              <w:t>2,750</w:t>
            </w:r>
          </w:p>
        </w:tc>
        <w:tc>
          <w:tcPr>
            <w:tcW w:type="dxa" w:w="2232"/>
          </w:tcPr>
          <w:p>
            <w:pPr>
              <w:spacing w:after="20"/>
              <w:jc w:val="right"/>
            </w:pPr>
            <w:r>
              <w:rPr>
                <w:color w:val="1C3A36"/>
                <w:sz w:val="18"/>
              </w:rPr>
              <w:t>16.30</w:t>
            </w:r>
          </w:p>
        </w:tc>
      </w:tr>
      <w:tr>
        <w:tc>
          <w:tcPr>
            <w:tcW w:type="dxa" w:w="5112"/>
          </w:tcPr>
          <w:p>
            <w:pPr>
              <w:spacing w:after="20"/>
            </w:pPr>
            <w:r>
              <w:rPr>
                <w:color w:val="1C3A36"/>
                <w:sz w:val="18"/>
              </w:rPr>
              <w:t>Add: the pre-revenue active-ingredient company at CARRYING COST</w:t>
            </w:r>
          </w:p>
        </w:tc>
        <w:tc>
          <w:tcPr>
            <w:tcW w:type="dxa" w:w="2304"/>
          </w:tcPr>
          <w:p>
            <w:pPr>
              <w:spacing w:after="20"/>
              <w:jc w:val="right"/>
            </w:pPr>
            <w:r>
              <w:rPr>
                <w:color w:val="1C3A36"/>
                <w:sz w:val="18"/>
              </w:rPr>
              <w:t>228</w:t>
            </w:r>
          </w:p>
        </w:tc>
        <w:tc>
          <w:tcPr>
            <w:tcW w:type="dxa" w:w="2232"/>
          </w:tcPr>
          <w:p>
            <w:pPr>
              <w:spacing w:after="20"/>
              <w:jc w:val="right"/>
            </w:pPr>
            <w:r>
              <w:rPr>
                <w:color w:val="1C3A36"/>
                <w:sz w:val="18"/>
              </w:rPr>
              <w:t>1.35</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17,307</w:t>
            </w:r>
          </w:p>
        </w:tc>
        <w:tc>
          <w:tcPr>
            <w:tcW w:type="dxa" w:w="2232"/>
          </w:tcPr>
          <w:p>
            <w:pPr>
              <w:spacing w:after="20"/>
              <w:jc w:val="right"/>
            </w:pPr>
            <w:r>
              <w:rPr>
                <w:color w:val="1C3A36"/>
                <w:sz w:val="18"/>
              </w:rPr>
              <w:t>102.56</w:t>
            </w:r>
          </w:p>
        </w:tc>
      </w:tr>
      <w:tr>
        <w:tc>
          <w:tcPr>
            <w:tcW w:type="dxa" w:w="5112"/>
            <w:shd w:val="clear" w:color="auto" w:fill="F6F1E6"/>
          </w:tcPr>
          <w:p>
            <w:pPr>
              <w:spacing w:after="20"/>
            </w:pPr>
            <w:r>
              <w:rPr>
                <w:b/>
                <w:color w:val="1C3A36"/>
                <w:sz w:val="18"/>
              </w:rPr>
              <w:t>Terminal value as a percentage of TOTAL enterprise value</w:t>
            </w:r>
          </w:p>
        </w:tc>
        <w:tc>
          <w:tcPr>
            <w:tcW w:type="dxa" w:w="2304"/>
            <w:shd w:val="clear" w:color="auto" w:fill="F6F1E6"/>
          </w:tcPr>
          <w:p>
            <w:pPr>
              <w:spacing w:after="20"/>
              <w:jc w:val="right"/>
            </w:pPr>
            <w:r>
              <w:rPr>
                <w:b/>
                <w:color w:val="1C3A36"/>
                <w:sz w:val="18"/>
              </w:rPr>
              <w:t>62%</w:t>
            </w:r>
          </w:p>
        </w:tc>
        <w:tc>
          <w:tcPr>
            <w:tcW w:type="dxa" w:w="2232"/>
            <w:shd w:val="clear" w:color="auto" w:fill="F6F1E6"/>
          </w:tcPr>
          <w:p>
            <w:pPr>
              <w:spacing w:after="20"/>
              <w:jc w:val="right"/>
            </w:pPr>
            <w:r>
              <w:rPr>
                <w:b/>
                <w:color w:val="1C3A36"/>
                <w:sz w:val="18"/>
              </w:rPr>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(4)</w:t>
            </w:r>
          </w:p>
        </w:tc>
        <w:tc>
          <w:tcPr>
            <w:tcW w:type="dxa" w:w="2232"/>
          </w:tcPr>
          <w:p>
            <w:pPr>
              <w:spacing w:after="20"/>
              <w:jc w:val="right"/>
            </w:pPr>
            <w:r>
              <w:rPr>
                <w:color w:val="1C3A36"/>
                <w:sz w:val="18"/>
              </w:rPr>
              <w:t>(0.02)</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9,939</w:t>
            </w:r>
          </w:p>
        </w:tc>
        <w:tc>
          <w:tcPr>
            <w:tcW w:type="dxa" w:w="2232"/>
          </w:tcPr>
          <w:p>
            <w:pPr>
              <w:spacing w:after="20"/>
              <w:jc w:val="right"/>
            </w:pPr>
            <w:r>
              <w:rPr>
                <w:color w:val="1C3A36"/>
                <w:sz w:val="18"/>
              </w:rPr>
              <w:t>58.90</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12,460</w:t>
            </w:r>
          </w:p>
        </w:tc>
        <w:tc>
          <w:tcPr>
            <w:tcW w:type="dxa" w:w="2232"/>
            <w:shd w:val="clear" w:color="auto" w:fill="F6F1E6"/>
          </w:tcPr>
          <w:p>
            <w:pPr>
              <w:spacing w:after="20"/>
              <w:jc w:val="right"/>
            </w:pPr>
            <w:r>
              <w:rPr>
                <w:b/>
                <w:color w:val="1C3A36"/>
                <w:sz w:val="18"/>
              </w:rPr>
              <w:t>73.83</w:t>
            </w:r>
          </w:p>
        </w:tc>
      </w:tr>
    </w:tbl>
    <w:p>
      <w:pPr>
        <w:spacing w:after="40"/>
      </w:pPr>
    </w:p>
    <w:p>
      <w:pPr>
        <w:spacing w:after="200" w:before="0"/>
      </w:pPr>
      <w:r>
        <w:rPr>
          <w:b w:val="0"/>
          <w:i/>
          <w:color w:val="6E7B77"/>
          <w:sz w:val="17"/>
        </w:rPr>
        <w:t>Table 5 — the enterprise-to-equity bridge. The terminal share is shown on BOTH bases, as a line of the bridge rather than a footnote: it is 74% of the CORE operating value and 62% of the total, which also carries the associates and the assets held for sale. The pre-revenue active-ingredient company sits on its OWN line at carrying cost — it is not earnings, and it is not folded into a line that says it is. The non-controlling interest deducted is the post-deconsolidation figure; the audited 31 December 2025 minority of EGP 288.7 million belonged to the subsidiary that was deconsolidated in the first quarter, and section 7 records that the net debt above is the December balance while this deduction is the March one.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path is 15.5% / 17.4% / 20.3% / 22.3% / 23.1% — it RISES through the window rather than settling, so the sustainable return used here is the mean of its last three years, 21.90%, read off that path rather than chosen. A business earning 21.9% on equity while its perpetual cost of equity is 14.90% is worth more than its book: the multiple that relationship justifies is (return less growth) over (cost of equity less growth), or 1.71 times book — EGP 63.12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8.7 times in 2025 — a four-year mean of 6.57. Each year divides that year's audited attributable profit by that year's own weighted-average share count, so FY2025 uses 162.02 million shares rather than the 168.76 million now in issue: the capital increase completed during that year. At EGP 130.05 the shares trade on 15.22 times trailing attributable earnings on the count in issue today, or 14.62 times on the audited weighted average — both readings are legitimate and both are given — and 11.8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 on FY2026E earnings</w:t>
            </w:r>
          </w:p>
        </w:tc>
        <w:tc>
          <w:tcPr>
            <w:tcW w:type="dxa" w:w="1008"/>
          </w:tcPr>
          <w:p>
            <w:pPr>
              <w:spacing w:after="20"/>
              <w:jc w:val="right"/>
            </w:pPr>
            <w:r>
              <w:rPr>
                <w:color w:val="1C3A36"/>
                <w:sz w:val="17"/>
              </w:rPr>
              <w:t>7.79x</w:t>
            </w:r>
          </w:p>
        </w:tc>
        <w:tc>
          <w:tcPr>
            <w:tcW w:type="dxa" w:w="1368"/>
          </w:tcPr>
          <w:p>
            <w:pPr>
              <w:spacing w:after="20"/>
              <w:jc w:val="right"/>
            </w:pPr>
            <w:r>
              <w:rPr>
                <w:color w:val="1C3A36"/>
                <w:sz w:val="17"/>
              </w:rPr>
              <w:t>48.19</w:t>
            </w:r>
          </w:p>
        </w:tc>
        <w:tc>
          <w:tcPr>
            <w:tcW w:type="dxa" w:w="4320"/>
          </w:tcPr>
          <w:p>
            <w:pPr>
              <w:spacing w:after="20"/>
              <w:jc w:val="right"/>
            </w:pPr>
            <w:r>
              <w:rPr>
                <w:color w:val="1C3A36"/>
                <w:sz w:val="17"/>
              </w:rPr>
              <w:t>a FORWARD multiple on FORWARD earnings of EGP 6.18. Retention must equal growth 5% over sustainable return 21.9%, so payout is 77%</w:t>
            </w:r>
          </w:p>
        </w:tc>
      </w:tr>
      <w:tr>
        <w:tc>
          <w:tcPr>
            <w:tcW w:type="dxa" w:w="2952"/>
          </w:tcPr>
          <w:p>
            <w:pPr>
              <w:spacing w:after="20"/>
            </w:pPr>
            <w:r>
              <w:rPr>
                <w:color w:val="1C3A36"/>
                <w:sz w:val="17"/>
              </w:rPr>
              <w:t>The company's own four-year mean multiple, on trailing earnings</w:t>
            </w:r>
          </w:p>
        </w:tc>
        <w:tc>
          <w:tcPr>
            <w:tcW w:type="dxa" w:w="1008"/>
          </w:tcPr>
          <w:p>
            <w:pPr>
              <w:spacing w:after="20"/>
              <w:jc w:val="right"/>
            </w:pPr>
            <w:r>
              <w:rPr>
                <w:color w:val="1C3A36"/>
                <w:sz w:val="17"/>
              </w:rPr>
              <w:t>6.57x</w:t>
            </w:r>
          </w:p>
        </w:tc>
        <w:tc>
          <w:tcPr>
            <w:tcW w:type="dxa" w:w="1368"/>
          </w:tcPr>
          <w:p>
            <w:pPr>
              <w:spacing w:after="20"/>
              <w:jc w:val="right"/>
            </w:pPr>
            <w:r>
              <w:rPr>
                <w:color w:val="1C3A36"/>
                <w:sz w:val="17"/>
              </w:rPr>
              <w:t>56.15</w:t>
            </w:r>
          </w:p>
        </w:tc>
        <w:tc>
          <w:tcPr>
            <w:tcW w:type="dxa" w:w="4320"/>
          </w:tcPr>
          <w:p>
            <w:pPr>
              <w:spacing w:after="20"/>
              <w:jc w:val="right"/>
            </w:pPr>
            <w:r>
              <w:rPr>
                <w:color w:val="1C3A36"/>
                <w:sz w:val="17"/>
              </w:rPr>
              <w:t>a TRAILING multiple on TRAILING earnings of EGP 8.54 — year-end closes against audited attributable profit</w:t>
            </w:r>
          </w:p>
        </w:tc>
      </w:tr>
      <w:tr>
        <w:tc>
          <w:tcPr>
            <w:tcW w:type="dxa" w:w="2952"/>
          </w:tcPr>
          <w:p>
            <w:pPr>
              <w:spacing w:after="20"/>
            </w:pPr>
            <w:r>
              <w:rPr>
                <w:color w:val="1C3A36"/>
                <w:sz w:val="17"/>
              </w:rPr>
              <w:t>Struck peer reference, cost-of-equity adjusted, on trailing earnings</w:t>
            </w:r>
          </w:p>
        </w:tc>
        <w:tc>
          <w:tcPr>
            <w:tcW w:type="dxa" w:w="1008"/>
          </w:tcPr>
          <w:p>
            <w:pPr>
              <w:spacing w:after="20"/>
              <w:jc w:val="right"/>
            </w:pPr>
            <w:r>
              <w:rPr>
                <w:color w:val="1C3A36"/>
                <w:sz w:val="17"/>
              </w:rPr>
              <w:t>10.78x</w:t>
            </w:r>
          </w:p>
        </w:tc>
        <w:tc>
          <w:tcPr>
            <w:tcW w:type="dxa" w:w="1368"/>
          </w:tcPr>
          <w:p>
            <w:pPr>
              <w:spacing w:after="20"/>
              <w:jc w:val="right"/>
            </w:pPr>
            <w:r>
              <w:rPr>
                <w:color w:val="1C3A36"/>
                <w:sz w:val="17"/>
              </w:rPr>
              <w:t>92.09</w:t>
            </w:r>
          </w:p>
        </w:tc>
        <w:tc>
          <w:tcPr>
            <w:tcW w:type="dxa" w:w="4320"/>
          </w:tcPr>
          <w:p>
            <w:pPr>
              <w:spacing w:after="20"/>
              <w:jc w:val="right"/>
            </w:pPr>
            <w:r>
              <w:rPr>
                <w:color w:val="1C3A36"/>
                <w:sz w:val="17"/>
              </w:rPr>
              <w:t>a TRAILING multiple on TRAILING earnings. The midpoint of the only two disclosed observations, 26.7x and 16.0x — not a median of a peer set. Those companies face a cost of equity near 10%, not 14.9%</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8.38x</w:t>
            </w:r>
          </w:p>
        </w:tc>
        <w:tc>
          <w:tcPr>
            <w:tcW w:type="dxa" w:w="1368"/>
            <w:shd w:val="clear" w:color="auto" w:fill="F6F1E6"/>
          </w:tcPr>
          <w:p>
            <w:pPr>
              <w:spacing w:after="20"/>
              <w:jc w:val="right"/>
            </w:pPr>
            <w:r>
              <w:rPr>
                <w:b/>
                <w:color w:val="1C3A36"/>
                <w:sz w:val="17"/>
              </w:rPr>
              <w:t>65.47</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EACH APPLIED TO THE EARNINGS OF ITS OWN PERIOD. Left unadjusted for the cost-of-equity gap, the struck peer reference alone would give EGP 182.39 a share; the size of that gap IS the country-risk discount, shown rather than hidden. The peers behind the third leg are not named and their financial statements are not published, so that leg cannot be rebuilt from their filings — a stated limitation of the leg, and the reason the lens carries two other legs.</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23.5% in FY2023 and 20.1% in FY2024. This lens deliberately gives part of that back. Applying the three-year average margin of 22.9% to FY2027 revenue, financing it at that year's cost of debt, taxing it at 23.5% and adding the normalised associate contribution gives EGP 8.38 a share of sustainable earnings. Capitalised at the PERPETUAL cost of equity of 14.90% less 5% growth, on the 77% payout that growth rate permits, that is EGP 65.27 a share. Using today's crisis-level cost of equity of 25.57% in a perpetuity would be a category error: a steady-state multiple takes a steady-state rate.</w:t>
      </w:r>
    </w:p>
    <w:p>
      <w:pPr>
        <w:spacing w:after="80" w:before="200"/>
      </w:pPr>
      <w:r>
        <w:rPr>
          <w:b/>
          <w:i w:val="0"/>
          <w:color w:val="1C3A36"/>
          <w:sz w:val="24"/>
        </w:rPr>
        <w:t>1.5 Synthesis — four methods, five readings, two centres</w:t>
      </w:r>
    </w:p>
    <w:p>
      <w:pPr>
        <w:spacing w:after="120" w:before="0"/>
      </w:pPr>
      <w:r>
        <w:rPr>
          <w:b w:val="0"/>
          <w:i w:val="0"/>
          <w:color w:val="1C3A36"/>
          <w:sz w:val="21"/>
        </w:rPr>
        <w:t>Four methods produce five readings, because the cash-flow method is run on both framings of the contested provision judgement. They run from EGP 59 to EGP 74. That spread is not a failure of the methods; it is the honest measure of how much the answer depends on which question you ask.</w:t>
      </w:r>
    </w:p>
    <w:p>
      <w:pPr>
        <w:spacing w:after="120" w:before="0"/>
      </w:pPr>
      <w:r>
        <w:rPr>
          <w:b w:val="0"/>
          <w:i w:val="0"/>
          <w:color w:val="1C3A36"/>
          <w:sz w:val="21"/>
        </w:rPr>
        <w:t>There is no single weighted centre, and the absence is deliberate. The two provision frames are never averaged, and weighting both of them inside one number averages them. So the cash-flow weight of 50% is carried in full on ONE frame at a time, beside the three lenses that do not turn on the judgement at all — book value against sustainable return at 20%, relative multiples at 15%, and normalised earnings power at 15%. That gives EGP 61.68 a share on Frame A and EGP 69.15 on Frame B, against a market price of EGP 130.05. Which of the two a reader uses is a judgement about the debtor book, and it belongs to the reader.</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Each book is built from a volume and a price, both taken from disclosure. The company sold 351.8 million packs of its own preparations in FY2025; the investor presentation puts export volume at 60 million packs. The difference — 291.8 million packs — is the domestic book, carrying EGP 6,286 million of revenue, or EGP 21.54 a pack, against EGP 19.77 in FY2024. Exports realise USD 1.00 a pack.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(million)</w:t>
            </w:r>
          </w:p>
        </w:tc>
        <w:tc>
          <w:tcPr>
            <w:tcW w:type="dxa" w:w="1325"/>
          </w:tcPr>
          <w:p>
            <w:pPr>
              <w:spacing w:after="20"/>
              <w:jc w:val="right"/>
            </w:pPr>
            <w:r>
              <w:rPr>
                <w:color w:val="1C3A36"/>
                <w:sz w:val="17"/>
              </w:rPr>
              <w:t>307.9</w:t>
            </w:r>
          </w:p>
        </w:tc>
        <w:tc>
          <w:tcPr>
            <w:tcW w:type="dxa" w:w="1325"/>
          </w:tcPr>
          <w:p>
            <w:pPr>
              <w:spacing w:after="20"/>
              <w:jc w:val="right"/>
            </w:pPr>
            <w:r>
              <w:rPr>
                <w:color w:val="1C3A36"/>
                <w:sz w:val="17"/>
              </w:rPr>
              <w:t>332.5</w:t>
            </w:r>
          </w:p>
        </w:tc>
        <w:tc>
          <w:tcPr>
            <w:tcW w:type="dxa" w:w="1325"/>
          </w:tcPr>
          <w:p>
            <w:pPr>
              <w:spacing w:after="20"/>
              <w:jc w:val="right"/>
            </w:pPr>
            <w:r>
              <w:rPr>
                <w:color w:val="1C3A36"/>
                <w:sz w:val="17"/>
              </w:rPr>
              <w:t>357.4</w:t>
            </w:r>
          </w:p>
        </w:tc>
        <w:tc>
          <w:tcPr>
            <w:tcW w:type="dxa" w:w="1325"/>
          </w:tcPr>
          <w:p>
            <w:pPr>
              <w:spacing w:after="20"/>
              <w:jc w:val="right"/>
            </w:pPr>
            <w:r>
              <w:rPr>
                <w:color w:val="1C3A36"/>
                <w:sz w:val="17"/>
              </w:rPr>
              <w:t>380.7</w:t>
            </w:r>
          </w:p>
        </w:tc>
        <w:tc>
          <w:tcPr>
            <w:tcW w:type="dxa" w:w="1325"/>
          </w:tcPr>
          <w:p>
            <w:pPr>
              <w:spacing w:after="20"/>
              <w:jc w:val="right"/>
            </w:pPr>
            <w:r>
              <w:rPr>
                <w:color w:val="1C3A36"/>
                <w:sz w:val="17"/>
              </w:rPr>
              <w:t>401.6</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24.43</w:t>
            </w:r>
          </w:p>
        </w:tc>
        <w:tc>
          <w:tcPr>
            <w:tcW w:type="dxa" w:w="1325"/>
          </w:tcPr>
          <w:p>
            <w:pPr>
              <w:spacing w:after="20"/>
              <w:jc w:val="right"/>
            </w:pPr>
            <w:r>
              <w:rPr>
                <w:color w:val="1C3A36"/>
                <w:sz w:val="17"/>
              </w:rPr>
              <w:t>26.26</w:t>
            </w:r>
          </w:p>
        </w:tc>
        <w:tc>
          <w:tcPr>
            <w:tcW w:type="dxa" w:w="1325"/>
          </w:tcPr>
          <w:p>
            <w:pPr>
              <w:spacing w:after="20"/>
              <w:jc w:val="right"/>
            </w:pPr>
            <w:r>
              <w:rPr>
                <w:color w:val="1C3A36"/>
                <w:sz w:val="17"/>
              </w:rPr>
              <w:t>27.97</w:t>
            </w:r>
          </w:p>
        </w:tc>
        <w:tc>
          <w:tcPr>
            <w:tcW w:type="dxa" w:w="1325"/>
          </w:tcPr>
          <w:p>
            <w:pPr>
              <w:spacing w:after="20"/>
              <w:jc w:val="right"/>
            </w:pPr>
            <w:r>
              <w:rPr>
                <w:color w:val="1C3A36"/>
                <w:sz w:val="17"/>
              </w:rPr>
              <w:t>29.50</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63.0</w:t>
            </w:r>
          </w:p>
        </w:tc>
        <w:tc>
          <w:tcPr>
            <w:tcW w:type="dxa" w:w="1325"/>
          </w:tcPr>
          <w:p>
            <w:pPr>
              <w:spacing w:after="20"/>
              <w:jc w:val="right"/>
            </w:pPr>
            <w:r>
              <w:rPr>
                <w:color w:val="1C3A36"/>
                <w:sz w:val="17"/>
              </w:rPr>
              <w:t>68.7</w:t>
            </w:r>
          </w:p>
        </w:tc>
        <w:tc>
          <w:tcPr>
            <w:tcW w:type="dxa" w:w="1325"/>
          </w:tcPr>
          <w:p>
            <w:pPr>
              <w:spacing w:after="20"/>
              <w:jc w:val="right"/>
            </w:pPr>
            <w:r>
              <w:rPr>
                <w:color w:val="1C3A36"/>
                <w:sz w:val="17"/>
              </w:rPr>
              <w:t>74.5</w:t>
            </w:r>
          </w:p>
        </w:tc>
        <w:tc>
          <w:tcPr>
            <w:tcW w:type="dxa" w:w="1325"/>
          </w:tcPr>
          <w:p>
            <w:pPr>
              <w:spacing w:after="20"/>
              <w:jc w:val="right"/>
            </w:pPr>
            <w:r>
              <w:rPr>
                <w:color w:val="1C3A36"/>
                <w:sz w:val="17"/>
              </w:rPr>
              <w:t>80.5</w:t>
            </w:r>
          </w:p>
        </w:tc>
        <w:tc>
          <w:tcPr>
            <w:tcW w:type="dxa" w:w="1325"/>
          </w:tcPr>
          <w:p>
            <w:pPr>
              <w:spacing w:after="20"/>
              <w:jc w:val="right"/>
            </w:pPr>
            <w:r>
              <w:rPr>
                <w:color w:val="1C3A36"/>
                <w:sz w:val="17"/>
              </w:rPr>
              <w:t>86.1</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50.5</w:t>
            </w:r>
          </w:p>
        </w:tc>
        <w:tc>
          <w:tcPr>
            <w:tcW w:type="dxa" w:w="1325"/>
          </w:tcPr>
          <w:p>
            <w:pPr>
              <w:spacing w:after="20"/>
              <w:jc w:val="right"/>
            </w:pPr>
            <w:r>
              <w:rPr>
                <w:color w:val="1C3A36"/>
                <w:sz w:val="17"/>
              </w:rPr>
              <w:t>52.5</w:t>
            </w:r>
          </w:p>
        </w:tc>
        <w:tc>
          <w:tcPr>
            <w:tcW w:type="dxa" w:w="1325"/>
          </w:tcPr>
          <w:p>
            <w:pPr>
              <w:spacing w:after="20"/>
              <w:jc w:val="right"/>
            </w:pPr>
            <w:r>
              <w:rPr>
                <w:color w:val="1C3A36"/>
                <w:sz w:val="17"/>
              </w:rPr>
              <w:t>54.3</w:t>
            </w:r>
          </w:p>
        </w:tc>
        <w:tc>
          <w:tcPr>
            <w:tcW w:type="dxa" w:w="1325"/>
          </w:tcPr>
          <w:p>
            <w:pPr>
              <w:spacing w:after="20"/>
              <w:jc w:val="right"/>
            </w:pPr>
            <w:r>
              <w:rPr>
                <w:color w:val="1C3A36"/>
                <w:sz w:val="17"/>
              </w:rPr>
              <w:t>56.0</w:t>
            </w:r>
          </w:p>
        </w:tc>
        <w:tc>
          <w:tcPr>
            <w:tcW w:type="dxa" w:w="1325"/>
          </w:tcPr>
          <w:p>
            <w:pPr>
              <w:spacing w:after="20"/>
              <w:jc w:val="right"/>
            </w:pPr>
            <w:r>
              <w:rPr>
                <w:color w:val="1C3A36"/>
                <w:sz w:val="17"/>
              </w:rPr>
              <w:t>57.7</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10,384</w:t>
            </w:r>
          </w:p>
        </w:tc>
        <w:tc>
          <w:tcPr>
            <w:tcW w:type="dxa" w:w="1325"/>
          </w:tcPr>
          <w:p>
            <w:pPr>
              <w:spacing w:after="20"/>
              <w:jc w:val="right"/>
            </w:pPr>
            <w:r>
              <w:rPr>
                <w:color w:val="1C3A36"/>
                <w:sz w:val="17"/>
              </w:rPr>
              <w:t>12,038</w:t>
            </w:r>
          </w:p>
        </w:tc>
        <w:tc>
          <w:tcPr>
            <w:tcW w:type="dxa" w:w="1325"/>
          </w:tcPr>
          <w:p>
            <w:pPr>
              <w:spacing w:after="20"/>
              <w:jc w:val="right"/>
            </w:pPr>
            <w:r>
              <w:rPr>
                <w:color w:val="1C3A36"/>
                <w:sz w:val="17"/>
              </w:rPr>
              <w:t>13,825</w:t>
            </w:r>
          </w:p>
        </w:tc>
        <w:tc>
          <w:tcPr>
            <w:tcW w:type="dxa" w:w="1325"/>
          </w:tcPr>
          <w:p>
            <w:pPr>
              <w:spacing w:after="20"/>
              <w:jc w:val="right"/>
            </w:pPr>
            <w:r>
              <w:rPr>
                <w:color w:val="1C3A36"/>
                <w:sz w:val="17"/>
              </w:rPr>
              <w:t>15,638</w:t>
            </w:r>
          </w:p>
        </w:tc>
        <w:tc>
          <w:tcPr>
            <w:tcW w:type="dxa" w:w="1325"/>
          </w:tcPr>
          <w:p>
            <w:pPr>
              <w:spacing w:after="20"/>
              <w:jc w:val="right"/>
            </w:pPr>
            <w:r>
              <w:rPr>
                <w:color w:val="1C3A36"/>
                <w:sz w:val="17"/>
              </w:rPr>
              <w:t>17,404</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41.4%</w:t>
            </w:r>
          </w:p>
        </w:tc>
        <w:tc>
          <w:tcPr>
            <w:tcW w:type="dxa" w:w="1325"/>
            <w:shd w:val="clear" w:color="auto" w:fill="F6F1E6"/>
          </w:tcPr>
          <w:p>
            <w:pPr>
              <w:spacing w:after="20"/>
              <w:jc w:val="right"/>
            </w:pPr>
            <w:r>
              <w:rPr>
                <w:b/>
                <w:color w:val="1C3A36"/>
                <w:sz w:val="17"/>
              </w:rPr>
              <w:t>40.7%</w:t>
            </w:r>
          </w:p>
        </w:tc>
        <w:tc>
          <w:tcPr>
            <w:tcW w:type="dxa" w:w="1325"/>
            <w:shd w:val="clear" w:color="auto" w:fill="F6F1E6"/>
          </w:tcPr>
          <w:p>
            <w:pPr>
              <w:spacing w:after="20"/>
              <w:jc w:val="right"/>
            </w:pPr>
            <w:r>
              <w:rPr>
                <w:b/>
                <w:color w:val="1C3A36"/>
                <w:sz w:val="17"/>
              </w:rPr>
              <w:t>40.9%</w:t>
            </w:r>
          </w:p>
        </w:tc>
        <w:tc>
          <w:tcPr>
            <w:tcW w:type="dxa" w:w="1325"/>
            <w:shd w:val="clear" w:color="auto" w:fill="F6F1E6"/>
          </w:tcPr>
          <w:p>
            <w:pPr>
              <w:spacing w:after="20"/>
              <w:jc w:val="right"/>
            </w:pPr>
            <w:r>
              <w:rPr>
                <w:b/>
                <w:color w:val="1C3A36"/>
                <w:sz w:val="17"/>
              </w:rPr>
              <w:t>41.2%</w:t>
            </w:r>
          </w:p>
        </w:tc>
        <w:tc>
          <w:tcPr>
            <w:tcW w:type="dxa" w:w="1325"/>
            <w:shd w:val="clear" w:color="auto" w:fill="F6F1E6"/>
          </w:tcPr>
          <w:p>
            <w:pPr>
              <w:spacing w:after="20"/>
              <w:jc w:val="right"/>
            </w:pPr>
            <w:r>
              <w:rPr>
                <w:b/>
                <w:color w:val="1C3A36"/>
                <w:sz w:val="17"/>
              </w:rPr>
              <w:t>41.3%</w:t>
            </w:r>
          </w:p>
        </w:tc>
      </w:tr>
    </w:tbl>
    <w:p>
      <w:pPr>
        <w:spacing w:after="40"/>
      </w:pPr>
    </w:p>
    <w:p>
      <w:pPr>
        <w:spacing w:after="200" w:before="0"/>
      </w:pPr>
      <w:r>
        <w:rPr>
          <w:b w:val="0"/>
          <w:i/>
          <w:color w:val="6E7B77"/>
          <w:sz w:val="17"/>
        </w:rPr>
        <w:t>Table 7 — the forecast driver table. Volume and price move separately, in the currency each is actually earned in.</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304 million in FY2026 and EGP 446 million by FY2028. What it does NOT do is add the EGP 551 million of interest capitalised into the construction balance in FY2025 back onto the income statement. That would be the textbook consequence of the asset entering service, and the first cut of this model assumed it — but the company's own first quarter of 2026 says otherwise: financing expense of EGP 312.9 million ran DOWN 6.1% year on year, an annual rate near EGP 1,251 million against EGP 1,333 million actually borne in FY2025. The forecast is calibrated to that observed quarter rather than to the textbook, and the difference is disclosed here rather than left as an unexplained gap.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6,849 million of revenue by FY2030 at a 45% contribution margin closes the gap from EGP 58.90 to EGP 130.05. That is 28% of FY2030 revenue, or about USD 119 million a year — 1.19 times the USD 100 million the company says it invested in the plant.</w:t>
      </w:r>
    </w:p>
    <w:p>
      <w:pPr>
        <w:spacing w:after="120" w:before="0"/>
      </w:pPr>
      <w:r>
        <w:rPr>
          <w:b w:val="0"/>
          <w:i w:val="0"/>
          <w:color w:val="1C3A36"/>
          <w:sz w:val="21"/>
        </w:rPr>
        <w:t>Two things have to be published for that hurdle to be checkable, and they are. THE RAMP: the incremental revenue is not dropped into the final year. It is phased 0% / 10% / 30% / 60% / 100% of the FY2030 level across FY2026E to FY2030E. The same total placed entirely in the final year would be a materially LOWER and easier hurdle, so a reverse valuation that does not state its ramp cannot be audited. THE REINVESTMENT: the incremental revenue is charged capital expenditure at the same share of revenue as the existing business, and working capital on the same day ratios, so it meets the identical reinvestment discipline. Left uncharged — which is how the first cut of this model ran it — the hurdle prices out about USD 115 million a year instead of USD 119 million, which understates what the market is actually asking of the plant.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119 million a year of biosimilar revenue by 2030 is a figure the company will eventually disclose, and a reader can check this study against it. An asset turn of 1.19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120" w:before="0"/>
      </w:pPr>
      <w:r>
        <w:rPr>
          <w:b w:val="0"/>
          <w:i w:val="0"/>
          <w:color w:val="1C3A36"/>
          <w:sz w:val="21"/>
        </w:rPr>
        <w:t>The first quarter of 2026 is the first real test of all this, and it is worth setting the forecast against it line by line rather than claiming a hit.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368"/>
        <w:gridCol w:w="1512"/>
        <w:gridCol w:w="1440"/>
        <w:gridCol w:w="3312"/>
      </w:tblGrid>
      <w:tr>
        <w:tc>
          <w:tcPr>
            <w:tcW w:type="dxa" w:w="2520"/>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Q1-2026 actual</w:t>
            </w:r>
          </w:p>
        </w:tc>
        <w:tc>
          <w:tcPr>
            <w:tcW w:type="dxa" w:w="1512"/>
            <w:shd w:val="clear" w:color="auto" w:fill="EAF0EE"/>
          </w:tcPr>
          <w:p>
            <w:pPr>
              <w:spacing w:after="20"/>
            </w:pPr>
            <w:r>
              <w:rPr>
                <w:b/>
                <w:color w:val="1C3A36"/>
                <w:sz w:val="16"/>
              </w:rPr>
              <w:t>Read into a full year</w:t>
            </w:r>
          </w:p>
        </w:tc>
        <w:tc>
          <w:tcPr>
            <w:tcW w:type="dxa" w:w="1440"/>
            <w:shd w:val="clear" w:color="auto" w:fill="EAF0EE"/>
          </w:tcPr>
          <w:p>
            <w:pPr>
              <w:spacing w:after="20"/>
            </w:pPr>
            <w:r>
              <w:rPr>
                <w:b/>
                <w:color w:val="1C3A36"/>
                <w:sz w:val="16"/>
              </w:rPr>
              <w:t>This study's FY2026</w:t>
            </w:r>
          </w:p>
        </w:tc>
        <w:tc>
          <w:tcPr>
            <w:tcW w:type="dxa" w:w="3312"/>
            <w:shd w:val="clear" w:color="auto" w:fill="EAF0EE"/>
          </w:tcPr>
          <w:p>
            <w:pPr>
              <w:spacing w:after="20"/>
            </w:pPr>
            <w:r>
              <w:rPr>
                <w:b/>
                <w:color w:val="1C3A36"/>
                <w:sz w:val="16"/>
              </w:rPr>
              <w:t>How the forecast stands against it</w:t>
            </w:r>
          </w:p>
        </w:tc>
      </w:tr>
      <w:tr>
        <w:tc>
          <w:tcPr>
            <w:tcW w:type="dxa" w:w="2520"/>
          </w:tcPr>
          <w:p>
            <w:pPr>
              <w:spacing w:after="20"/>
            </w:pPr>
            <w:r>
              <w:rPr>
                <w:color w:val="1C3A36"/>
                <w:sz w:val="16"/>
              </w:rPr>
              <w:t>Net sales (EGP m)</w:t>
            </w:r>
          </w:p>
        </w:tc>
        <w:tc>
          <w:tcPr>
            <w:tcW w:type="dxa" w:w="1368"/>
          </w:tcPr>
          <w:p>
            <w:pPr>
              <w:spacing w:after="20"/>
              <w:jc w:val="right"/>
            </w:pPr>
            <w:r>
              <w:rPr>
                <w:color w:val="1C3A36"/>
                <w:sz w:val="16"/>
              </w:rPr>
              <w:t>2,533</w:t>
            </w:r>
          </w:p>
        </w:tc>
        <w:tc>
          <w:tcPr>
            <w:tcW w:type="dxa" w:w="1512"/>
          </w:tcPr>
          <w:p>
            <w:pPr>
              <w:spacing w:after="20"/>
              <w:jc w:val="right"/>
            </w:pPr>
            <w:r>
              <w:rPr>
                <w:color w:val="1C3A36"/>
                <w:sz w:val="16"/>
              </w:rPr>
              <w:t>10,398</w:t>
            </w:r>
          </w:p>
        </w:tc>
        <w:tc>
          <w:tcPr>
            <w:tcW w:type="dxa" w:w="1440"/>
          </w:tcPr>
          <w:p>
            <w:pPr>
              <w:spacing w:after="20"/>
              <w:jc w:val="right"/>
            </w:pPr>
            <w:r>
              <w:rPr>
                <w:color w:val="1C3A36"/>
                <w:sz w:val="16"/>
              </w:rPr>
              <w:t>10,384</w:t>
            </w:r>
          </w:p>
        </w:tc>
        <w:tc>
          <w:tcPr>
            <w:tcW w:type="dxa" w:w="3312"/>
          </w:tcPr>
          <w:p>
            <w:pPr>
              <w:spacing w:after="20"/>
              <w:jc w:val="right"/>
            </w:pPr>
            <w:r>
              <w:rPr>
                <w:color w:val="1C3A36"/>
                <w:sz w:val="16"/>
              </w:rPr>
              <w:t>-0.1% against the quarter's run-rate</w:t>
            </w:r>
          </w:p>
        </w:tc>
      </w:tr>
      <w:tr>
        <w:tc>
          <w:tcPr>
            <w:tcW w:type="dxa" w:w="2520"/>
          </w:tcPr>
          <w:p>
            <w:pPr>
              <w:spacing w:after="20"/>
            </w:pPr>
            <w:r>
              <w:rPr>
                <w:color w:val="1C3A36"/>
                <w:sz w:val="16"/>
              </w:rPr>
              <w:t>Gross margin</w:t>
            </w:r>
          </w:p>
        </w:tc>
        <w:tc>
          <w:tcPr>
            <w:tcW w:type="dxa" w:w="1368"/>
          </w:tcPr>
          <w:p>
            <w:pPr>
              <w:spacing w:after="20"/>
              <w:jc w:val="right"/>
            </w:pPr>
            <w:r>
              <w:rPr>
                <w:color w:val="1C3A36"/>
                <w:sz w:val="16"/>
              </w:rPr>
              <w:t>42.4%</w:t>
            </w:r>
          </w:p>
        </w:tc>
        <w:tc>
          <w:tcPr>
            <w:tcW w:type="dxa" w:w="1512"/>
          </w:tcPr>
          <w:p>
            <w:pPr>
              <w:spacing w:after="20"/>
              <w:jc w:val="right"/>
            </w:pPr>
            <w:r>
              <w:rPr>
                <w:color w:val="1C3A36"/>
                <w:sz w:val="16"/>
              </w:rPr>
              <w:t>—</w:t>
            </w:r>
          </w:p>
        </w:tc>
        <w:tc>
          <w:tcPr>
            <w:tcW w:type="dxa" w:w="1440"/>
          </w:tcPr>
          <w:p>
            <w:pPr>
              <w:spacing w:after="20"/>
              <w:jc w:val="right"/>
            </w:pPr>
            <w:r>
              <w:rPr>
                <w:color w:val="1C3A36"/>
                <w:sz w:val="16"/>
              </w:rPr>
              <w:t>41.4%</w:t>
            </w:r>
          </w:p>
        </w:tc>
        <w:tc>
          <w:tcPr>
            <w:tcW w:type="dxa" w:w="3312"/>
          </w:tcPr>
          <w:p>
            <w:pPr>
              <w:spacing w:after="20"/>
              <w:jc w:val="right"/>
            </w:pPr>
            <w:r>
              <w:rPr>
                <w:color w:val="1C3A36"/>
                <w:sz w:val="16"/>
              </w:rPr>
              <w:t>within 104 basis points</w:t>
            </w:r>
          </w:p>
        </w:tc>
      </w:tr>
      <w:tr>
        <w:tc>
          <w:tcPr>
            <w:tcW w:type="dxa" w:w="2520"/>
          </w:tcPr>
          <w:p>
            <w:pPr>
              <w:spacing w:after="20"/>
            </w:pPr>
            <w:r>
              <w:rPr>
                <w:color w:val="1C3A36"/>
                <w:sz w:val="16"/>
              </w:rPr>
              <w:t>Depreciation and amortisation (EGP m)</w:t>
            </w:r>
          </w:p>
        </w:tc>
        <w:tc>
          <w:tcPr>
            <w:tcW w:type="dxa" w:w="1368"/>
          </w:tcPr>
          <w:p>
            <w:pPr>
              <w:spacing w:after="20"/>
              <w:jc w:val="right"/>
            </w:pPr>
            <w:r>
              <w:rPr>
                <w:color w:val="1C3A36"/>
                <w:sz w:val="16"/>
              </w:rPr>
              <w:t>56.2</w:t>
            </w:r>
          </w:p>
        </w:tc>
        <w:tc>
          <w:tcPr>
            <w:tcW w:type="dxa" w:w="1512"/>
          </w:tcPr>
          <w:p>
            <w:pPr>
              <w:spacing w:after="20"/>
              <w:jc w:val="right"/>
            </w:pPr>
            <w:r>
              <w:rPr>
                <w:color w:val="1C3A36"/>
                <w:sz w:val="16"/>
              </w:rPr>
              <w:t>225</w:t>
            </w:r>
          </w:p>
        </w:tc>
        <w:tc>
          <w:tcPr>
            <w:tcW w:type="dxa" w:w="1440"/>
          </w:tcPr>
          <w:p>
            <w:pPr>
              <w:spacing w:after="20"/>
              <w:jc w:val="right"/>
            </w:pPr>
            <w:r>
              <w:rPr>
                <w:color w:val="1C3A36"/>
                <w:sz w:val="16"/>
              </w:rPr>
              <w:t>304</w:t>
            </w:r>
          </w:p>
        </w:tc>
        <w:tc>
          <w:tcPr>
            <w:tcW w:type="dxa" w:w="3312"/>
          </w:tcPr>
          <w:p>
            <w:pPr>
              <w:spacing w:after="20"/>
              <w:jc w:val="right"/>
            </w:pPr>
            <w:r>
              <w:rPr>
                <w:color w:val="1C3A36"/>
                <w:sz w:val="16"/>
              </w:rPr>
              <w:t>the step is real; the study is ahead on timing only</w:t>
            </w:r>
          </w:p>
        </w:tc>
      </w:tr>
      <w:tr>
        <w:tc>
          <w:tcPr>
            <w:tcW w:type="dxa" w:w="2520"/>
          </w:tcPr>
          <w:p>
            <w:pPr>
              <w:spacing w:after="20"/>
            </w:pPr>
            <w:r>
              <w:rPr>
                <w:color w:val="1C3A36"/>
                <w:sz w:val="16"/>
              </w:rPr>
              <w:t>Transfers out of construction (EGP m)</w:t>
            </w:r>
          </w:p>
        </w:tc>
        <w:tc>
          <w:tcPr>
            <w:tcW w:type="dxa" w:w="1368"/>
          </w:tcPr>
          <w:p>
            <w:pPr>
              <w:spacing w:after="20"/>
              <w:jc w:val="right"/>
            </w:pPr>
            <w:r>
              <w:rPr>
                <w:color w:val="1C3A36"/>
                <w:sz w:val="16"/>
              </w:rPr>
              <w:t>918</w:t>
            </w:r>
          </w:p>
        </w:tc>
        <w:tc>
          <w:tcPr>
            <w:tcW w:type="dxa" w:w="1512"/>
          </w:tcPr>
          <w:p>
            <w:pPr>
              <w:spacing w:after="20"/>
              <w:jc w:val="right"/>
            </w:pPr>
            <w:r>
              <w:rPr>
                <w:color w:val="1C3A36"/>
                <w:sz w:val="16"/>
              </w:rPr>
              <w:t>3,670</w:t>
            </w:r>
          </w:p>
        </w:tc>
        <w:tc>
          <w:tcPr>
            <w:tcW w:type="dxa" w:w="1440"/>
          </w:tcPr>
          <w:p>
            <w:pPr>
              <w:spacing w:after="20"/>
              <w:jc w:val="right"/>
            </w:pPr>
            <w:r>
              <w:rPr>
                <w:color w:val="1C3A36"/>
                <w:sz w:val="16"/>
              </w:rPr>
              <w:t>3,400</w:t>
            </w:r>
          </w:p>
        </w:tc>
        <w:tc>
          <w:tcPr>
            <w:tcW w:type="dxa" w:w="3312"/>
          </w:tcPr>
          <w:p>
            <w:pPr>
              <w:spacing w:after="20"/>
              <w:jc w:val="right"/>
            </w:pPr>
            <w:r>
              <w:rPr>
                <w:color w:val="1C3A36"/>
                <w:sz w:val="16"/>
              </w:rPr>
              <w:t>confirmed, and the study is if anything conservative</w:t>
            </w:r>
          </w:p>
        </w:tc>
      </w:tr>
      <w:tr>
        <w:tc>
          <w:tcPr>
            <w:tcW w:type="dxa" w:w="2520"/>
          </w:tcPr>
          <w:p>
            <w:pPr>
              <w:spacing w:after="20"/>
            </w:pPr>
            <w:r>
              <w:rPr>
                <w:color w:val="1C3A36"/>
                <w:sz w:val="16"/>
              </w:rPr>
              <w:t>Finance cost (EGP m)</w:t>
            </w:r>
          </w:p>
        </w:tc>
        <w:tc>
          <w:tcPr>
            <w:tcW w:type="dxa" w:w="1368"/>
          </w:tcPr>
          <w:p>
            <w:pPr>
              <w:spacing w:after="20"/>
              <w:jc w:val="right"/>
            </w:pPr>
            <w:r>
              <w:rPr>
                <w:color w:val="1C3A36"/>
                <w:sz w:val="16"/>
              </w:rPr>
              <w:t>313</w:t>
            </w:r>
          </w:p>
        </w:tc>
        <w:tc>
          <w:tcPr>
            <w:tcW w:type="dxa" w:w="1512"/>
          </w:tcPr>
          <w:p>
            <w:pPr>
              <w:spacing w:after="20"/>
              <w:jc w:val="right"/>
            </w:pPr>
            <w:r>
              <w:rPr>
                <w:color w:val="1C3A36"/>
                <w:sz w:val="16"/>
              </w:rPr>
              <w:t>1,251</w:t>
            </w:r>
          </w:p>
        </w:tc>
        <w:tc>
          <w:tcPr>
            <w:tcW w:type="dxa" w:w="1440"/>
          </w:tcPr>
          <w:p>
            <w:pPr>
              <w:spacing w:after="20"/>
              <w:jc w:val="right"/>
            </w:pPr>
            <w:r>
              <w:rPr>
                <w:color w:val="1C3A36"/>
                <w:sz w:val="16"/>
              </w:rPr>
              <w:t>1,250</w:t>
            </w:r>
          </w:p>
        </w:tc>
        <w:tc>
          <w:tcPr>
            <w:tcW w:type="dxa" w:w="3312"/>
          </w:tcPr>
          <w:p>
            <w:pPr>
              <w:spacing w:after="20"/>
              <w:jc w:val="right"/>
            </w:pPr>
            <w:r>
              <w:rPr>
                <w:color w:val="1C3A36"/>
                <w:sz w:val="16"/>
              </w:rPr>
              <w:t>reset to the quarter</w:t>
            </w:r>
          </w:p>
        </w:tc>
      </w:tr>
      <w:tr>
        <w:tc>
          <w:tcPr>
            <w:tcW w:type="dxa" w:w="2520"/>
          </w:tcPr>
          <w:p>
            <w:pPr>
              <w:spacing w:after="20"/>
            </w:pPr>
            <w:r>
              <w:rPr>
                <w:color w:val="1C3A36"/>
                <w:sz w:val="16"/>
              </w:rPr>
              <w:t>Provision charge as a share of sales</w:t>
            </w:r>
          </w:p>
        </w:tc>
        <w:tc>
          <w:tcPr>
            <w:tcW w:type="dxa" w:w="1368"/>
          </w:tcPr>
          <w:p>
            <w:pPr>
              <w:spacing w:after="20"/>
              <w:jc w:val="right"/>
            </w:pPr>
            <w:r>
              <w:rPr>
                <w:color w:val="1C3A36"/>
                <w:sz w:val="16"/>
              </w:rPr>
              <w:t>2.57%</w:t>
            </w:r>
          </w:p>
        </w:tc>
        <w:tc>
          <w:tcPr>
            <w:tcW w:type="dxa" w:w="1512"/>
          </w:tcPr>
          <w:p>
            <w:pPr>
              <w:spacing w:after="20"/>
              <w:jc w:val="right"/>
            </w:pPr>
            <w:r>
              <w:rPr>
                <w:color w:val="1C3A36"/>
                <w:sz w:val="16"/>
              </w:rPr>
              <w:t>—</w:t>
            </w:r>
          </w:p>
        </w:tc>
        <w:tc>
          <w:tcPr>
            <w:tcW w:type="dxa" w:w="1440"/>
          </w:tcPr>
          <w:p>
            <w:pPr>
              <w:spacing w:after="20"/>
              <w:jc w:val="right"/>
            </w:pPr>
            <w:r>
              <w:rPr>
                <w:color w:val="1C3A36"/>
                <w:sz w:val="16"/>
              </w:rPr>
              <w:t>5.25% / 4.50%</w:t>
            </w:r>
          </w:p>
        </w:tc>
        <w:tc>
          <w:tcPr>
            <w:tcW w:type="dxa" w:w="3312"/>
          </w:tcPr>
          <w:p>
            <w:pPr>
              <w:spacing w:after="20"/>
              <w:jc w:val="right"/>
            </w:pPr>
            <w:r>
              <w:rPr>
                <w:color w:val="1C3A36"/>
                <w:sz w:val="16"/>
              </w:rPr>
              <w:t>no credit-loss charge was taken at all — see below</w:t>
            </w:r>
          </w:p>
        </w:tc>
      </w:tr>
      <w:tr>
        <w:tc>
          <w:tcPr>
            <w:tcW w:type="dxa" w:w="2520"/>
          </w:tcPr>
          <w:p>
            <w:pPr>
              <w:spacing w:after="20"/>
            </w:pPr>
            <w:r>
              <w:rPr>
                <w:color w:val="1C3A36"/>
                <w:sz w:val="16"/>
              </w:rPr>
              <w:t>Associates (EGP m)</w:t>
            </w:r>
          </w:p>
        </w:tc>
        <w:tc>
          <w:tcPr>
            <w:tcW w:type="dxa" w:w="1368"/>
          </w:tcPr>
          <w:p>
            <w:pPr>
              <w:spacing w:after="20"/>
              <w:jc w:val="right"/>
            </w:pPr>
            <w:r>
              <w:rPr>
                <w:color w:val="1C3A36"/>
                <w:sz w:val="16"/>
              </w:rPr>
              <w:t>13.1</w:t>
            </w:r>
          </w:p>
        </w:tc>
        <w:tc>
          <w:tcPr>
            <w:tcW w:type="dxa" w:w="1512"/>
          </w:tcPr>
          <w:p>
            <w:pPr>
              <w:spacing w:after="20"/>
              <w:jc w:val="right"/>
            </w:pPr>
            <w:r>
              <w:rPr>
                <w:color w:val="1C3A36"/>
                <w:sz w:val="16"/>
              </w:rPr>
              <w:t>52</w:t>
            </w:r>
          </w:p>
        </w:tc>
        <w:tc>
          <w:tcPr>
            <w:tcW w:type="dxa" w:w="1440"/>
          </w:tcPr>
          <w:p>
            <w:pPr>
              <w:spacing w:after="20"/>
              <w:jc w:val="right"/>
            </w:pPr>
            <w:r>
              <w:rPr>
                <w:color w:val="1C3A36"/>
                <w:sz w:val="16"/>
              </w:rPr>
              <w:t>250</w:t>
            </w:r>
          </w:p>
        </w:tc>
        <w:tc>
          <w:tcPr>
            <w:tcW w:type="dxa" w:w="3312"/>
          </w:tcPr>
          <w:p>
            <w:pPr>
              <w:spacing w:after="20"/>
              <w:jc w:val="right"/>
            </w:pPr>
            <w:r>
              <w:rPr>
                <w:color w:val="1C3A36"/>
                <w:sz w:val="16"/>
              </w:rPr>
              <w:t>the quarter is incomplete by the auditor's own statement</w:t>
            </w:r>
          </w:p>
        </w:tc>
      </w:tr>
      <w:tr>
        <w:tc>
          <w:tcPr>
            <w:tcW w:type="dxa" w:w="2520"/>
          </w:tcPr>
          <w:p>
            <w:pPr>
              <w:spacing w:after="20"/>
            </w:pPr>
            <w:r>
              <w:rPr>
                <w:color w:val="1C3A36"/>
                <w:sz w:val="16"/>
              </w:rPr>
              <w:t>Capital expenditure (EGP m)</w:t>
            </w:r>
          </w:p>
        </w:tc>
        <w:tc>
          <w:tcPr>
            <w:tcW w:type="dxa" w:w="1368"/>
          </w:tcPr>
          <w:p>
            <w:pPr>
              <w:spacing w:after="20"/>
              <w:jc w:val="right"/>
            </w:pPr>
            <w:r>
              <w:rPr>
                <w:color w:val="1C3A36"/>
                <w:sz w:val="16"/>
              </w:rPr>
              <w:t>325</w:t>
            </w:r>
          </w:p>
        </w:tc>
        <w:tc>
          <w:tcPr>
            <w:tcW w:type="dxa" w:w="1512"/>
          </w:tcPr>
          <w:p>
            <w:pPr>
              <w:spacing w:after="20"/>
              <w:jc w:val="right"/>
            </w:pPr>
            <w:r>
              <w:rPr>
                <w:color w:val="1C3A36"/>
                <w:sz w:val="16"/>
              </w:rPr>
              <w:t>1,299</w:t>
            </w:r>
          </w:p>
        </w:tc>
        <w:tc>
          <w:tcPr>
            <w:tcW w:type="dxa" w:w="1440"/>
          </w:tcPr>
          <w:p>
            <w:pPr>
              <w:spacing w:after="20"/>
              <w:jc w:val="right"/>
            </w:pPr>
            <w:r>
              <w:rPr>
                <w:color w:val="1C3A36"/>
                <w:sz w:val="16"/>
              </w:rPr>
              <w:t>1,298</w:t>
            </w:r>
          </w:p>
        </w:tc>
        <w:tc>
          <w:tcPr>
            <w:tcW w:type="dxa" w:w="3312"/>
          </w:tcPr>
          <w:p>
            <w:pPr>
              <w:spacing w:after="20"/>
              <w:jc w:val="right"/>
            </w:pPr>
            <w:r>
              <w:rPr>
                <w:color w:val="1C3A36"/>
                <w:sz w:val="16"/>
              </w:rPr>
              <w:t>reset upward to the quarter</w:t>
            </w:r>
          </w:p>
        </w:tc>
      </w:tr>
      <w:tr>
        <w:tc>
          <w:tcPr>
            <w:tcW w:type="dxa" w:w="2520"/>
          </w:tcPr>
          <w:p>
            <w:pPr>
              <w:spacing w:after="20"/>
            </w:pPr>
            <w:r>
              <w:rPr>
                <w:color w:val="1C3A36"/>
                <w:sz w:val="16"/>
              </w:rPr>
              <w:t>Attributable profit (EGP m)</w:t>
            </w:r>
          </w:p>
        </w:tc>
        <w:tc>
          <w:tcPr>
            <w:tcW w:type="dxa" w:w="1368"/>
          </w:tcPr>
          <w:p>
            <w:pPr>
              <w:spacing w:after="20"/>
              <w:jc w:val="right"/>
            </w:pPr>
            <w:r>
              <w:rPr>
                <w:color w:val="1C3A36"/>
                <w:sz w:val="16"/>
              </w:rPr>
              <w:t>284</w:t>
            </w:r>
          </w:p>
        </w:tc>
        <w:tc>
          <w:tcPr>
            <w:tcW w:type="dxa" w:w="1512"/>
          </w:tcPr>
          <w:p>
            <w:pPr>
              <w:spacing w:after="20"/>
              <w:jc w:val="right"/>
            </w:pPr>
            <w:r>
              <w:rPr>
                <w:color w:val="1C3A36"/>
                <w:sz w:val="16"/>
              </w:rPr>
              <w:t>1,285</w:t>
            </w:r>
          </w:p>
        </w:tc>
        <w:tc>
          <w:tcPr>
            <w:tcW w:type="dxa" w:w="1440"/>
          </w:tcPr>
          <w:p>
            <w:pPr>
              <w:spacing w:after="20"/>
              <w:jc w:val="right"/>
            </w:pPr>
            <w:r>
              <w:rPr>
                <w:color w:val="1C3A36"/>
                <w:sz w:val="16"/>
              </w:rPr>
              <w:t>1,014</w:t>
            </w:r>
          </w:p>
        </w:tc>
        <w:tc>
          <w:tcPr>
            <w:tcW w:type="dxa" w:w="3312"/>
          </w:tcPr>
          <w:p>
            <w:pPr>
              <w:spacing w:after="20"/>
              <w:jc w:val="right"/>
            </w:pPr>
            <w:r>
              <w:rPr>
                <w:color w:val="1C3A36"/>
                <w:sz w:val="16"/>
              </w:rPr>
              <w:t>the study is -21% below the quarter's seasonal read</w:t>
            </w:r>
          </w:p>
        </w:tc>
      </w:tr>
      <w:tr>
        <w:tc>
          <w:tcPr>
            <w:tcW w:type="dxa" w:w="2520"/>
          </w:tcPr>
          <w:p>
            <w:pPr>
              <w:spacing w:after="20"/>
            </w:pPr>
            <w:r>
              <w:rPr>
                <w:color w:val="1C3A36"/>
                <w:sz w:val="16"/>
              </w:rPr>
              <w:t>Attributable earnings per share (EGP)</w:t>
            </w:r>
          </w:p>
        </w:tc>
        <w:tc>
          <w:tcPr>
            <w:tcW w:type="dxa" w:w="1368"/>
          </w:tcPr>
          <w:p>
            <w:pPr>
              <w:spacing w:after="20"/>
              <w:jc w:val="right"/>
            </w:pPr>
            <w:r>
              <w:rPr>
                <w:color w:val="1C3A36"/>
                <w:sz w:val="16"/>
              </w:rPr>
              <w:t>1.68</w:t>
            </w:r>
          </w:p>
        </w:tc>
        <w:tc>
          <w:tcPr>
            <w:tcW w:type="dxa" w:w="1512"/>
          </w:tcPr>
          <w:p>
            <w:pPr>
              <w:spacing w:after="20"/>
              <w:jc w:val="right"/>
            </w:pPr>
            <w:r>
              <w:rPr>
                <w:color w:val="1C3A36"/>
                <w:sz w:val="16"/>
              </w:rPr>
              <w:t>7.61</w:t>
            </w:r>
          </w:p>
        </w:tc>
        <w:tc>
          <w:tcPr>
            <w:tcW w:type="dxa" w:w="1440"/>
          </w:tcPr>
          <w:p>
            <w:pPr>
              <w:spacing w:after="20"/>
              <w:jc w:val="right"/>
            </w:pPr>
            <w:r>
              <w:rPr>
                <w:color w:val="1C3A36"/>
                <w:sz w:val="16"/>
              </w:rPr>
              <w:t>6.01</w:t>
            </w:r>
          </w:p>
        </w:tc>
        <w:tc>
          <w:tcPr>
            <w:tcW w:type="dxa" w:w="3312"/>
          </w:tcPr>
          <w:p>
            <w:pPr>
              <w:spacing w:after="20"/>
              <w:jc w:val="right"/>
            </w:pPr>
            <w:r>
              <w:rPr>
                <w:color w:val="1C3A36"/>
                <w:sz w:val="16"/>
              </w:rPr>
              <w:t>the two lines the appendix must reproduce, checked here</w:t>
            </w:r>
          </w:p>
        </w:tc>
      </w:tr>
    </w:tbl>
    <w:p>
      <w:pPr>
        <w:spacing w:after="40"/>
      </w:pPr>
    </w:p>
    <w:p>
      <w:pPr>
        <w:spacing w:after="200" w:before="0"/>
      </w:pPr>
      <w:r>
        <w:rPr>
          <w:b w:val="0"/>
          <w:i/>
          <w:color w:val="6E7B77"/>
          <w:sz w:val="17"/>
        </w:rPr>
        <w:t>Table 9 — the forecast against the first quarter it can be checked on, INCLUDING the bottom line. The middle column reads the quarter into a year on the FY2025 seasonal shape ONLY for net sales (24.4% of sales) and for attributable profit and earnings per share (22.1% of profit). Every other line in that column is a plain four-times annualisation, because no seasonal shape is disclosed for it — stated rather than implied.</w:t>
      </w:r>
    </w:p>
    <w:p>
      <w:pPr>
        <w:spacing w:after="120" w:before="0"/>
      </w:pPr>
      <w:r>
        <w:rPr>
          <w:b w:val="0"/>
          <w:i w:val="0"/>
          <w:color w:val="1C3A36"/>
          <w:sz w:val="21"/>
        </w:rPr>
        <w:t>Two of those rows carry more weight than the rest. The depreciation line is the study's central claim and it is confirmed: the charge is running at roughly double last year on a plant that has only just entered service, and the model's own depreciation rate reproduces the quarter to within 3%. The provision line is the study's contested judgement, and here the quarter does NOT settle it: the company took EGP 65 million of provisions and inventory write-downs but no credit-loss charge whatsoever, against receivables that grew EGP 798 million in the same three months. The auditor qualified the review on precisely that point. A charge that is omitted in the first quarter is deferred, not avoided, which is why both frames still run.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23.00%. That yield is not riskless: it contains the sovereign's own default risk. Subtracting Egypt's sovereign credit-default-swap spread of 3.42% leaves a normalised risk-free rate of 19.58%. Adding beta times the TOTAL equity risk premium gives the cost of equity. Charging the raw 23.00% yield AND a country-loaded premium would give 28.99%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23.00%</w:t>
            </w:r>
          </w:p>
        </w:tc>
        <w:tc>
          <w:tcPr>
            <w:tcW w:type="dxa" w:w="1368"/>
          </w:tcPr>
          <w:p>
            <w:pPr>
              <w:spacing w:after="20"/>
              <w:jc w:val="right"/>
            </w:pPr>
            <w:r>
              <w:rPr>
                <w:color w:val="1C3A36"/>
                <w:sz w:val="16"/>
              </w:rPr>
              <w:t>23.00%</w:t>
            </w:r>
          </w:p>
        </w:tc>
        <w:tc>
          <w:tcPr>
            <w:tcW w:type="dxa" w:w="4536"/>
          </w:tcPr>
          <w:p>
            <w:pPr>
              <w:spacing w:after="20"/>
              <w:jc w:val="right"/>
            </w:pPr>
            <w:r>
              <w:rPr>
                <w:color w:val="1C3A36"/>
                <w:sz w:val="16"/>
              </w:rPr>
              <w:t>Observable print of 6 August 2026 — the SAME date as the share price used throughout. A market-data series, not an auction print: the central bank auction page could not be read, so the level is indicated rather than proven, and it is sensitised</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3.42%</w:t>
            </w:r>
          </w:p>
        </w:tc>
        <w:tc>
          <w:tcPr>
            <w:tcW w:type="dxa" w:w="1368"/>
          </w:tcPr>
          <w:p>
            <w:pPr>
              <w:spacing w:after="20"/>
              <w:jc w:val="right"/>
            </w:pPr>
            <w:r>
              <w:rPr>
                <w:color w:val="1C3A36"/>
                <w:sz w:val="16"/>
              </w:rPr>
              <w:t>5.97%</w:t>
            </w:r>
          </w:p>
        </w:tc>
        <w:tc>
          <w:tcPr>
            <w:tcW w:type="dxa" w:w="4536"/>
          </w:tcPr>
          <w:p>
            <w:pPr>
              <w:spacing w:after="20"/>
              <w:jc w:val="right"/>
            </w:pPr>
            <w:r>
              <w:rPr>
                <w:color w:val="1C3A36"/>
                <w:sz w:val="16"/>
              </w:rPr>
              <w:t>Country risk-premium dataset, Egypt row, MID-YEAR (July 2026) vintage, spreads measured 30 June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19.58%</w:t>
            </w:r>
          </w:p>
        </w:tc>
        <w:tc>
          <w:tcPr>
            <w:tcW w:type="dxa" w:w="1368"/>
          </w:tcPr>
          <w:p>
            <w:pPr>
              <w:spacing w:after="20"/>
              <w:jc w:val="right"/>
            </w:pPr>
            <w:r>
              <w:rPr>
                <w:color w:val="1C3A36"/>
                <w:sz w:val="16"/>
              </w:rPr>
              <w:t>17.03%</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TOTAL equity risk premium</w:t>
            </w:r>
          </w:p>
        </w:tc>
        <w:tc>
          <w:tcPr>
            <w:tcW w:type="dxa" w:w="1368"/>
          </w:tcPr>
          <w:p>
            <w:pPr>
              <w:spacing w:after="20"/>
              <w:jc w:val="right"/>
            </w:pPr>
            <w:r>
              <w:rPr>
                <w:color w:val="1C3A36"/>
                <w:sz w:val="16"/>
              </w:rPr>
              <w:t>9.52%</w:t>
            </w:r>
          </w:p>
        </w:tc>
        <w:tc>
          <w:tcPr>
            <w:tcW w:type="dxa" w:w="1368"/>
          </w:tcPr>
          <w:p>
            <w:pPr>
              <w:spacing w:after="20"/>
              <w:jc w:val="right"/>
            </w:pPr>
            <w:r>
              <w:rPr>
                <w:color w:val="1C3A36"/>
                <w:sz w:val="16"/>
              </w:rPr>
              <w:t>13.48%</w:t>
            </w:r>
          </w:p>
        </w:tc>
        <w:tc>
          <w:tcPr>
            <w:tcW w:type="dxa" w:w="4536"/>
          </w:tcPr>
          <w:p>
            <w:pPr>
              <w:spacing w:after="20"/>
              <w:jc w:val="right"/>
            </w:pPr>
            <w:r>
              <w:rPr>
                <w:color w:val="1C3A36"/>
                <w:sz w:val="16"/>
              </w:rPr>
              <w:t>Same dataset, same row, its two TOTAL equity risk premium columns. This is the figure that multiplies beta</w:t>
            </w:r>
          </w:p>
        </w:tc>
      </w:tr>
      <w:tr>
        <w:tc>
          <w:tcPr>
            <w:tcW w:type="dxa" w:w="2808"/>
          </w:tcPr>
          <w:p>
            <w:pPr>
              <w:spacing w:after="20"/>
            </w:pPr>
            <w:r>
              <w:rPr>
                <w:color w:val="1C3A36"/>
                <w:sz w:val="16"/>
              </w:rPr>
              <w:t xml:space="preserve">   memorandum: country risk premium</w:t>
            </w:r>
          </w:p>
        </w:tc>
        <w:tc>
          <w:tcPr>
            <w:tcW w:type="dxa" w:w="1368"/>
          </w:tcPr>
          <w:p>
            <w:pPr>
              <w:spacing w:after="20"/>
              <w:jc w:val="right"/>
            </w:pPr>
            <w:r>
              <w:rPr>
                <w:color w:val="1C3A36"/>
                <w:sz w:val="16"/>
              </w:rPr>
              <w:t>5.32%</w:t>
            </w:r>
          </w:p>
        </w:tc>
        <w:tc>
          <w:tcPr>
            <w:tcW w:type="dxa" w:w="1368"/>
          </w:tcPr>
          <w:p>
            <w:pPr>
              <w:spacing w:after="20"/>
              <w:jc w:val="right"/>
            </w:pPr>
            <w:r>
              <w:rPr>
                <w:color w:val="1C3A36"/>
                <w:sz w:val="16"/>
              </w:rPr>
              <w:t>9.28%</w:t>
            </w:r>
          </w:p>
        </w:tc>
        <w:tc>
          <w:tcPr>
            <w:tcW w:type="dxa" w:w="4536"/>
          </w:tcPr>
          <w:p>
            <w:pPr>
              <w:spacing w:after="20"/>
              <w:jc w:val="right"/>
            </w:pPr>
            <w:r>
              <w:rPr>
                <w:color w:val="1C3A36"/>
                <w:sz w:val="16"/>
              </w:rPr>
              <w:t>The dataset's separate COUNTRY risk premium column, shown so a reader checking that column finds the same numbers this study calls by that name. It is NOT added to the cost of equity — the total premium above already contains it</w:t>
            </w:r>
          </w:p>
        </w:tc>
      </w:tr>
      <w:tr>
        <w:tc>
          <w:tcPr>
            <w:tcW w:type="dxa" w:w="2808"/>
          </w:tcPr>
          <w:p>
            <w:pPr>
              <w:spacing w:after="20"/>
            </w:pPr>
            <w:r>
              <w:rPr>
                <w:color w:val="1C3A36"/>
                <w:sz w:val="16"/>
              </w:rPr>
              <w:t>Beta</w:t>
            </w:r>
          </w:p>
        </w:tc>
        <w:tc>
          <w:tcPr>
            <w:tcW w:type="dxa" w:w="1368"/>
          </w:tcPr>
          <w:p>
            <w:pPr>
              <w:spacing w:after="20"/>
              <w:jc w:val="right"/>
            </w:pPr>
            <w:r>
              <w:rPr>
                <w:color w:val="1C3A36"/>
                <w:sz w:val="16"/>
              </w:rPr>
              <w:t>0.629</w:t>
            </w:r>
          </w:p>
        </w:tc>
        <w:tc>
          <w:tcPr>
            <w:tcW w:type="dxa" w:w="1368"/>
          </w:tcPr>
          <w:p>
            <w:pPr>
              <w:spacing w:after="20"/>
              <w:jc w:val="right"/>
            </w:pPr>
            <w:r>
              <w:rPr>
                <w:color w:val="1C3A36"/>
                <w:sz w:val="16"/>
              </w:rPr>
              <w:t>0.629</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25.57%</w:t>
            </w:r>
          </w:p>
        </w:tc>
        <w:tc>
          <w:tcPr>
            <w:tcW w:type="dxa" w:w="1368"/>
            <w:shd w:val="clear" w:color="auto" w:fill="F6F1E6"/>
          </w:tcPr>
          <w:p>
            <w:pPr>
              <w:spacing w:after="20"/>
              <w:jc w:val="right"/>
            </w:pPr>
            <w:r>
              <w:rPr>
                <w:b/>
                <w:color w:val="1C3A36"/>
                <w:sz w:val="16"/>
              </w:rPr>
              <w:t>25.51%</w:t>
            </w:r>
          </w:p>
        </w:tc>
        <w:tc>
          <w:tcPr>
            <w:tcW w:type="dxa" w:w="4536"/>
            <w:shd w:val="clear" w:color="auto" w:fill="F6F1E6"/>
          </w:tcPr>
          <w:p>
            <w:pPr>
              <w:spacing w:after="20"/>
              <w:jc w:val="right"/>
            </w:pPr>
            <w:r>
              <w:rPr>
                <w:b/>
                <w:color w:val="1C3A36"/>
                <w:sz w:val="16"/>
              </w:rPr>
              <w:t>The two bases agree to 6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75% / 25%</w:t>
            </w:r>
          </w:p>
        </w:tc>
        <w:tc>
          <w:tcPr>
            <w:tcW w:type="dxa" w:w="1368"/>
          </w:tcPr>
          <w:p>
            <w:pPr>
              <w:spacing w:after="20"/>
              <w:jc w:val="right"/>
            </w:pPr>
            <w:r>
              <w:rPr>
                <w:color w:val="1C3A36"/>
                <w:sz w:val="16"/>
              </w:rPr>
              <w:t>75% / 25%</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22.75%</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22.36%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13.56%</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14.90%, cost of debt after tax 9.56%, DERIVED debt weight 25.1% on today's market values. The forecast balance sheet, once funded, carries 39.5% on book at FY2030E, which would give 12.79% — both are published and neither is 20%</w:t>
            </w:r>
          </w:p>
        </w:tc>
      </w:tr>
    </w:tbl>
    <w:p>
      <w:pPr>
        <w:spacing w:after="40"/>
      </w:pPr>
    </w:p>
    <w:p>
      <w:pPr>
        <w:spacing w:after="200" w:before="0"/>
      </w:pPr>
      <w:r>
        <w:rPr>
          <w:b w:val="0"/>
          <w:i/>
          <w:color w:val="6E7B77"/>
          <w:sz w:val="17"/>
        </w:rPr>
        <w:t>Table 10 — the cost of capital, built rather than asserted, and published on both bases the source provides.</w:t>
      </w:r>
    </w:p>
    <w:p>
      <w:pPr>
        <w:spacing w:after="120" w:before="0"/>
      </w:pPr>
      <w:r>
        <w:rPr>
          <w:b w:val="0"/>
          <w:i w:val="0"/>
          <w:color w:val="1C3A36"/>
          <w:sz w:val="21"/>
        </w:rPr>
        <w:t>A cost-of-debt cross-check that a reader can run. Two FY2025 figures are in play and they are not the same line: INTEREST ON CREDIT FACILITIES of EGP 1,275.31 million, which is what an interest RATE has to be computed on, and the income statement's FINANCE COSTS of EGP 1,332.95 million, which is that interest plus EGP 57.63 million of bank commissions and charges. Both are in the same note.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22.75% sits close to the 23.00%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120" w:before="0"/>
      </w:pPr>
      <w:r>
        <w:rPr>
          <w:b w:val="0"/>
          <w:i w:val="0"/>
          <w:color w:val="1C3A36"/>
          <w:sz w:val="21"/>
        </w:rPr>
        <w:t>Before the grids, the one input that carries the study's contested judgement, read every way the disclosed statements allow. Frame A carries 5.25% of revenue. That is NOT the three-year average, and this edition no longer calls it one: it is struck marginally above the mean of the two years either side of the FY2024 spike. Every reading, and what each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2664"/>
      </w:tblGrid>
      <w:tr>
        <w:tc>
          <w:tcPr>
            <w:tcW w:type="dxa" w:w="5040"/>
            <w:shd w:val="clear" w:color="auto" w:fill="EAF0EE"/>
          </w:tcPr>
          <w:p>
            <w:pPr>
              <w:spacing w:after="20"/>
            </w:pPr>
            <w:r>
              <w:rPr>
                <w:b/>
                <w:color w:val="1C3A36"/>
                <w:sz w:val="17"/>
              </w:rPr>
              <w:t>Reading of the provision charge</w:t>
            </w:r>
          </w:p>
        </w:tc>
        <w:tc>
          <w:tcPr>
            <w:tcW w:type="dxa" w:w="1944"/>
            <w:shd w:val="clear" w:color="auto" w:fill="EAF0EE"/>
          </w:tcPr>
          <w:p>
            <w:pPr>
              <w:spacing w:after="20"/>
            </w:pPr>
            <w:r>
              <w:rPr>
                <w:b/>
                <w:color w:val="1C3A36"/>
                <w:sz w:val="17"/>
              </w:rPr>
              <w:t>Share of revenue</w:t>
            </w:r>
          </w:p>
        </w:tc>
        <w:tc>
          <w:tcPr>
            <w:tcW w:type="dxa" w:w="2664"/>
            <w:shd w:val="clear" w:color="auto" w:fill="EAF0EE"/>
          </w:tcPr>
          <w:p>
            <w:pPr>
              <w:spacing w:after="20"/>
            </w:pPr>
            <w:r>
              <w:rPr>
                <w:b/>
                <w:color w:val="1C3A36"/>
                <w:sz w:val="17"/>
              </w:rPr>
              <w:t>Frame A value (EGP/share)</w:t>
            </w:r>
          </w:p>
        </w:tc>
      </w:tr>
      <w:tr>
        <w:tc>
          <w:tcPr>
            <w:tcW w:type="dxa" w:w="5040"/>
            <w:shd w:val="clear" w:color="auto" w:fill="F6F1E6"/>
          </w:tcPr>
          <w:p>
            <w:pPr>
              <w:spacing w:after="20"/>
            </w:pPr>
            <w:r>
              <w:rPr>
                <w:b/>
                <w:color w:val="1C3A36"/>
                <w:sz w:val="17"/>
              </w:rPr>
              <w:t>Carried — struck above the two non-outlier years</w:t>
            </w:r>
          </w:p>
        </w:tc>
        <w:tc>
          <w:tcPr>
            <w:tcW w:type="dxa" w:w="1944"/>
            <w:shd w:val="clear" w:color="auto" w:fill="F6F1E6"/>
          </w:tcPr>
          <w:p>
            <w:pPr>
              <w:spacing w:after="20"/>
              <w:jc w:val="right"/>
            </w:pPr>
            <w:r>
              <w:rPr>
                <w:b/>
                <w:color w:val="1C3A36"/>
                <w:sz w:val="17"/>
              </w:rPr>
              <w:t>5.25%</w:t>
            </w:r>
          </w:p>
        </w:tc>
        <w:tc>
          <w:tcPr>
            <w:tcW w:type="dxa" w:w="2664"/>
            <w:shd w:val="clear" w:color="auto" w:fill="F6F1E6"/>
          </w:tcPr>
          <w:p>
            <w:pPr>
              <w:spacing w:after="20"/>
              <w:jc w:val="right"/>
            </w:pPr>
            <w:r>
              <w:rPr>
                <w:b/>
                <w:color w:val="1C3A36"/>
                <w:sz w:val="17"/>
              </w:rPr>
              <w:t>58.90</w:t>
            </w:r>
          </w:p>
        </w:tc>
      </w:tr>
      <w:tr>
        <w:tc>
          <w:tcPr>
            <w:tcW w:type="dxa" w:w="5040"/>
          </w:tcPr>
          <w:p>
            <w:pPr>
              <w:spacing w:after="20"/>
            </w:pPr>
            <w:r>
              <w:rPr>
                <w:color w:val="1C3A36"/>
                <w:sz w:val="17"/>
              </w:rPr>
              <w:t>Mean of the three disclosed years, including the FY2024 spike</w:t>
            </w:r>
          </w:p>
        </w:tc>
        <w:tc>
          <w:tcPr>
            <w:tcW w:type="dxa" w:w="1944"/>
          </w:tcPr>
          <w:p>
            <w:pPr>
              <w:spacing w:after="20"/>
              <w:jc w:val="right"/>
            </w:pPr>
            <w:r>
              <w:rPr>
                <w:color w:val="1C3A36"/>
                <w:sz w:val="17"/>
              </w:rPr>
              <w:t>6.52%</w:t>
            </w:r>
          </w:p>
        </w:tc>
        <w:tc>
          <w:tcPr>
            <w:tcW w:type="dxa" w:w="2664"/>
          </w:tcPr>
          <w:p>
            <w:pPr>
              <w:spacing w:after="20"/>
              <w:jc w:val="right"/>
            </w:pPr>
            <w:r>
              <w:rPr>
                <w:color w:val="1C3A36"/>
                <w:sz w:val="17"/>
              </w:rPr>
              <w:t>51.29</w:t>
            </w:r>
          </w:p>
        </w:tc>
      </w:tr>
      <w:tr>
        <w:tc>
          <w:tcPr>
            <w:tcW w:type="dxa" w:w="5040"/>
          </w:tcPr>
          <w:p>
            <w:pPr>
              <w:spacing w:after="20"/>
            </w:pPr>
            <w:r>
              <w:rPr>
                <w:color w:val="1C3A36"/>
                <w:sz w:val="17"/>
              </w:rPr>
              <w:t>Expected-credit-loss component alone, three-year mean</w:t>
            </w:r>
          </w:p>
        </w:tc>
        <w:tc>
          <w:tcPr>
            <w:tcW w:type="dxa" w:w="1944"/>
          </w:tcPr>
          <w:p>
            <w:pPr>
              <w:spacing w:after="20"/>
              <w:jc w:val="right"/>
            </w:pPr>
            <w:r>
              <w:rPr>
                <w:color w:val="1C3A36"/>
                <w:sz w:val="17"/>
              </w:rPr>
              <w:t>3.03%</w:t>
            </w:r>
          </w:p>
        </w:tc>
        <w:tc>
          <w:tcPr>
            <w:tcW w:type="dxa" w:w="2664"/>
          </w:tcPr>
          <w:p>
            <w:pPr>
              <w:spacing w:after="20"/>
              <w:jc w:val="right"/>
            </w:pPr>
            <w:r>
              <w:rPr>
                <w:color w:val="1C3A36"/>
                <w:sz w:val="17"/>
              </w:rPr>
              <w:t>72.28</w:t>
            </w:r>
          </w:p>
        </w:tc>
      </w:tr>
      <w:tr>
        <w:tc>
          <w:tcPr>
            <w:tcW w:type="dxa" w:w="5040"/>
          </w:tcPr>
          <w:p>
            <w:pPr>
              <w:spacing w:after="20"/>
            </w:pPr>
            <w:r>
              <w:rPr>
                <w:color w:val="1C3A36"/>
                <w:sz w:val="17"/>
              </w:rPr>
              <w:t>The two non-outlier years, FY2023 and FY2025</w:t>
            </w:r>
          </w:p>
        </w:tc>
        <w:tc>
          <w:tcPr>
            <w:tcW w:type="dxa" w:w="1944"/>
          </w:tcPr>
          <w:p>
            <w:pPr>
              <w:spacing w:after="20"/>
              <w:jc w:val="right"/>
            </w:pPr>
            <w:r>
              <w:rPr>
                <w:color w:val="1C3A36"/>
                <w:sz w:val="17"/>
              </w:rPr>
              <w:t>5.15%</w:t>
            </w:r>
          </w:p>
        </w:tc>
        <w:tc>
          <w:tcPr>
            <w:tcW w:type="dxa" w:w="2664"/>
          </w:tcPr>
          <w:p>
            <w:pPr>
              <w:spacing w:after="20"/>
              <w:jc w:val="right"/>
            </w:pPr>
            <w:r>
              <w:rPr>
                <w:color w:val="1C3A36"/>
                <w:sz w:val="17"/>
              </w:rPr>
              <w:t>59.50</w:t>
            </w:r>
          </w:p>
        </w:tc>
      </w:tr>
    </w:tbl>
    <w:p>
      <w:pPr>
        <w:spacing w:after="40"/>
      </w:pPr>
    </w:p>
    <w:p>
      <w:pPr>
        <w:spacing w:after="200" w:before="0"/>
      </w:pPr>
      <w:r>
        <w:rPr>
          <w:b w:val="0"/>
          <w:i/>
          <w:color w:val="6E7B77"/>
          <w:sz w:val="17"/>
        </w:rPr>
        <w:t>Table 11 — the contested judgement, priced on every reading of it the audited statements support. The three-year mean of 6.52% includes the FY2024 spike of 9.25%; the expected-credit-loss component alone averages 3.03% across the same three years. For context that none of these readings carries: the first quarter of 2026 booked NO expected credit loss at all.</w:t>
      </w:r>
    </w:p>
    <w:p>
      <w:pPr>
        <w:spacing w:after="40"/>
        <w:jc w:val="center"/>
      </w:pPr>
      <w:r>
        <w:drawing>
          <wp:inline xmlns:a="http://schemas.openxmlformats.org/drawingml/2006/main" xmlns:pic="http://schemas.openxmlformats.org/drawingml/2006/picture">
            <wp:extent cx="6126480" cy="2631359"/>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31359"/>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74</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84</w:t>
            </w:r>
          </w:p>
        </w:tc>
        <w:tc>
          <w:tcPr>
            <w:tcW w:type="dxa" w:w="1368"/>
          </w:tcPr>
          <w:p>
            <w:pPr>
              <w:spacing w:after="20"/>
              <w:jc w:val="right"/>
            </w:pPr>
            <w:r>
              <w:rPr>
                <w:color w:val="1C3A36"/>
                <w:sz w:val="17"/>
              </w:rPr>
              <w:t>92</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62</w:t>
            </w:r>
          </w:p>
        </w:tc>
        <w:tc>
          <w:tcPr>
            <w:tcW w:type="dxa" w:w="1368"/>
          </w:tcPr>
          <w:p>
            <w:pPr>
              <w:spacing w:after="20"/>
              <w:jc w:val="right"/>
            </w:pPr>
            <w:r>
              <w:rPr>
                <w:color w:val="1C3A36"/>
                <w:sz w:val="17"/>
              </w:rPr>
              <w:t>65</w:t>
            </w:r>
          </w:p>
        </w:tc>
        <w:tc>
          <w:tcPr>
            <w:tcW w:type="dxa" w:w="1368"/>
          </w:tcPr>
          <w:p>
            <w:pPr>
              <w:spacing w:after="20"/>
              <w:jc w:val="right"/>
            </w:pPr>
            <w:r>
              <w:rPr>
                <w:color w:val="1C3A36"/>
                <w:sz w:val="17"/>
              </w:rPr>
              <w:t>68</w:t>
            </w:r>
          </w:p>
        </w:tc>
        <w:tc>
          <w:tcPr>
            <w:tcW w:type="dxa" w:w="1368"/>
          </w:tcPr>
          <w:p>
            <w:pPr>
              <w:spacing w:after="20"/>
              <w:jc w:val="right"/>
            </w:pPr>
            <w:r>
              <w:rPr>
                <w:color w:val="1C3A36"/>
                <w:sz w:val="17"/>
              </w:rPr>
              <w:t>72</w:t>
            </w:r>
          </w:p>
        </w:tc>
        <w:tc>
          <w:tcPr>
            <w:tcW w:type="dxa" w:w="1368"/>
          </w:tcPr>
          <w:p>
            <w:pPr>
              <w:spacing w:after="20"/>
              <w:jc w:val="right"/>
            </w:pPr>
            <w:r>
              <w:rPr>
                <w:color w:val="1C3A36"/>
                <w:sz w:val="17"/>
              </w:rPr>
              <w:t>77</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55</w:t>
            </w:r>
          </w:p>
        </w:tc>
        <w:tc>
          <w:tcPr>
            <w:tcW w:type="dxa" w:w="1368"/>
          </w:tcPr>
          <w:p>
            <w:pPr>
              <w:spacing w:after="20"/>
              <w:jc w:val="right"/>
            </w:pPr>
            <w:r>
              <w:rPr>
                <w:color w:val="1C3A36"/>
                <w:sz w:val="17"/>
              </w:rPr>
              <w:t>57</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61</w:t>
            </w:r>
          </w:p>
        </w:tc>
        <w:tc>
          <w:tcPr>
            <w:tcW w:type="dxa" w:w="1368"/>
          </w:tcPr>
          <w:p>
            <w:pPr>
              <w:spacing w:after="20"/>
              <w:jc w:val="right"/>
            </w:pPr>
            <w:r>
              <w:rPr>
                <w:color w:val="1C3A36"/>
                <w:sz w:val="17"/>
              </w:rPr>
              <w:t>65</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49</w:t>
            </w:r>
          </w:p>
        </w:tc>
        <w:tc>
          <w:tcPr>
            <w:tcW w:type="dxa" w:w="1368"/>
          </w:tcPr>
          <w:p>
            <w:pPr>
              <w:spacing w:after="20"/>
              <w:jc w:val="right"/>
            </w:pPr>
            <w:r>
              <w:rPr>
                <w:color w:val="1C3A36"/>
                <w:sz w:val="17"/>
              </w:rPr>
              <w:t>50</w:t>
            </w:r>
          </w:p>
        </w:tc>
        <w:tc>
          <w:tcPr>
            <w:tcW w:type="dxa" w:w="1368"/>
          </w:tcPr>
          <w:p>
            <w:pPr>
              <w:spacing w:after="20"/>
              <w:jc w:val="right"/>
            </w:pPr>
            <w:r>
              <w:rPr>
                <w:color w:val="1C3A36"/>
                <w:sz w:val="17"/>
              </w:rPr>
              <w:t>52</w:t>
            </w:r>
          </w:p>
        </w:tc>
        <w:tc>
          <w:tcPr>
            <w:tcW w:type="dxa" w:w="1368"/>
          </w:tcPr>
          <w:p>
            <w:pPr>
              <w:spacing w:after="20"/>
              <w:jc w:val="right"/>
            </w:pPr>
            <w:r>
              <w:rPr>
                <w:color w:val="1C3A36"/>
                <w:sz w:val="17"/>
              </w:rPr>
              <w:t>53</w:t>
            </w:r>
          </w:p>
        </w:tc>
        <w:tc>
          <w:tcPr>
            <w:tcW w:type="dxa" w:w="1368"/>
          </w:tcPr>
          <w:p>
            <w:pPr>
              <w:spacing w:after="20"/>
              <w:jc w:val="right"/>
            </w:pPr>
            <w:r>
              <w:rPr>
                <w:color w:val="1C3A36"/>
                <w:sz w:val="17"/>
              </w:rPr>
              <w:t>55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43</w:t>
            </w:r>
          </w:p>
        </w:tc>
        <w:tc>
          <w:tcPr>
            <w:tcW w:type="dxa" w:w="1368"/>
          </w:tcPr>
          <w:p>
            <w:pPr>
              <w:spacing w:after="20"/>
              <w:jc w:val="right"/>
            </w:pPr>
            <w:r>
              <w:rPr>
                <w:color w:val="1C3A36"/>
                <w:sz w:val="17"/>
              </w:rPr>
              <w:t>44</w:t>
            </w:r>
          </w:p>
        </w:tc>
        <w:tc>
          <w:tcPr>
            <w:tcW w:type="dxa" w:w="1368"/>
          </w:tcPr>
          <w:p>
            <w:pPr>
              <w:spacing w:after="20"/>
              <w:jc w:val="right"/>
            </w:pPr>
            <w:r>
              <w:rPr>
                <w:color w:val="1C3A36"/>
                <w:sz w:val="17"/>
              </w:rPr>
              <w:t>45</w:t>
            </w:r>
          </w:p>
        </w:tc>
        <w:tc>
          <w:tcPr>
            <w:tcW w:type="dxa" w:w="1368"/>
          </w:tcPr>
          <w:p>
            <w:pPr>
              <w:spacing w:after="20"/>
              <w:jc w:val="right"/>
            </w:pPr>
            <w:r>
              <w:rPr>
                <w:color w:val="1C3A36"/>
                <w:sz w:val="17"/>
              </w:rPr>
              <w:t>46</w:t>
            </w:r>
          </w:p>
        </w:tc>
        <w:tc>
          <w:tcPr>
            <w:tcW w:type="dxa" w:w="1368"/>
          </w:tcPr>
          <w:p>
            <w:pPr>
              <w:spacing w:after="20"/>
              <w:jc w:val="right"/>
            </w:pPr>
            <w:r>
              <w:rPr>
                <w:color w:val="1C3A36"/>
                <w:sz w:val="17"/>
              </w:rPr>
              <w:t>48</w:t>
            </w:r>
          </w:p>
        </w:tc>
      </w:tr>
    </w:tbl>
    <w:p>
      <w:pPr>
        <w:spacing w:after="40"/>
      </w:pPr>
    </w:p>
    <w:p>
      <w:pPr>
        <w:spacing w:after="200" w:before="0"/>
      </w:pPr>
      <w:r>
        <w:rPr>
          <w:b w:val="0"/>
          <w:i/>
          <w:color w:val="6E7B77"/>
          <w:sz w:val="17"/>
        </w:rPr>
        <w:t>Table 12 — the value per share across the cost of equity and terminal growth together. Every cell is a complete revaluation. The grid runs from EGP 43 to EGP 92 a share, and that FULL range is what is published — quoting only its upper part would delete the half of the study's own risk display that matters most.</w:t>
      </w:r>
    </w:p>
    <w:p>
      <w:pPr>
        <w:spacing w:after="120" w:before="0"/>
      </w:pPr>
      <w:r>
        <w:rPr>
          <w:b w:val="0"/>
          <w:i w:val="0"/>
          <w:color w:val="1C3A36"/>
          <w:sz w:val="21"/>
        </w:rPr>
        <w:t>The crux is sensitised in real observable units rather than in percentage points. On the published ramp and with the incremental revenue charged the same reinvestment identity as the existing business, a quarter of the required revenue — EGP 1,712 million of FY2030 sales, or USD 30 million a year — is worth about EGP 17.79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20.0%</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15.3%</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7.7%</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130.05</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-29.0%</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-32.0%</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-34.3%</w:t>
            </w:r>
          </w:p>
        </w:tc>
      </w:tr>
    </w:tbl>
    <w:p>
      <w:pPr>
        <w:spacing w:after="40"/>
      </w:pPr>
    </w:p>
    <w:p>
      <w:pPr>
        <w:spacing w:after="200" w:before="0"/>
      </w:pPr>
      <w:r>
        <w:rPr>
          <w:b w:val="0"/>
          <w:i/>
          <w:color w:val="6E7B77"/>
          <w:sz w:val="17"/>
        </w:rPr>
        <w:t>Table 13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-29%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14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15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6192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6192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A third set was run on the period AFTER the currency break that dominates the older history — 16 windows from 2022-06-20 to 2026-03-24, scoring -0.0109 — and it is published here because it is the set that matches the period the bands shown above are built on. All three are reported together; reporting only two of three would be a choice about which evidence a reader sees.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0"/>
      </w:pPr>
      <w:r>
        <w:rPr>
          <w:b w:val="0"/>
          <w:i w:val="0"/>
          <w:color w:val="1C3A36"/>
          <w:sz w:val="21"/>
        </w:rPr>
        <w:t>Two volatilities, both published. The simulation is fed 62.90% annualised at the one-month horizon and 53.55% at three months — the two windows genuinely differ, and stating only the lower of them would understate the near-term width the map itself shows. A reader who back-solves an annualised volatility from the published fifth and ninety-fifth percentiles under a plain lognormal will get a NARROWER number than either, because the simulated process is not a plain lognormal: it carries a fat-tailed innovation and mean reversion in variance, both of which pull the central quantiles in relative to the volatility that feeds them. The generator, its parameters and the window outcomes behind the coverage statistics are listed in the accompanying bibliography so the check can be run properly rather than approximated.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58.90</w:t>
            </w:r>
          </w:p>
        </w:tc>
        <w:tc>
          <w:tcPr>
            <w:tcW w:type="dxa" w:w="2952"/>
          </w:tcPr>
          <w:p>
            <w:pPr>
              <w:spacing w:after="20"/>
              <w:jc w:val="right"/>
            </w:pPr>
            <w:r>
              <w:rPr>
                <w:color w:val="1C3A36"/>
                <w:sz w:val="16"/>
              </w:rPr>
              <w:t>the terminal discount rate and the terminal growth rate — 74%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73.83</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63.12</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65.47</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comparable companies face a different country risk, which is why the struck reference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65.27</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16 — the four methods against each other — five readings, because the cash-flow method is run on both framings of the contested judgement — including where each one fails.</w:t>
      </w:r>
    </w:p>
    <w:p>
      <w:pPr>
        <w:spacing w:after="120" w:before="0"/>
      </w:pPr>
      <w:r>
        <w:rPr>
          <w:b w:val="0"/>
          <w:i w:val="0"/>
          <w:color w:val="1C3A36"/>
          <w:sz w:val="21"/>
        </w:rPr>
        <w:t>The readings disagree in an informative direction. The lowest is the cash-flow reading on the permanent-provision frame at EGP 58.90; the highest is the cash-flow reading on the normalising frame at EGP 73.83. The cash-flow readings charge the new plant's full cost and credit it with nothing, so they sit low despite capturing five years of the volume and price growth the existing business is already delivering. The relative lens prices the company on what a 21.9% return and a 14.9% perpetual cost of equity can justify, which supports about 7.79 times forward earnings against the 15.22 times trailing the market pays. None of them is wrong. The gap between them is the value of growth, and the market is paying for more of it than any of them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119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304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The textbook consequence of the plant entering service is that this becomes an expense. It has NOT happened yet — the first quarter of 2026 ran financing expense DOWN 6.1% year on year — and this study charges the observed quarter, not the textbook. If the step does arrive it is worth about EGP 551 million a year of pre-tax profit</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and provision charge</w:t>
            </w:r>
          </w:p>
        </w:tc>
        <w:tc>
          <w:tcPr>
            <w:tcW w:type="dxa" w:w="5112"/>
          </w:tcPr>
          <w:p>
            <w:pPr>
              <w:spacing w:after="20"/>
              <w:jc w:val="right"/>
            </w:pPr>
            <w:r>
              <w:rPr>
                <w:color w:val="1C3A36"/>
                <w:sz w:val="16"/>
              </w:rPr>
              <w:t>the study's contested judgement. The disclosed charge runs 5.07%, 9.25% and 5.23% of revenue across the three audited years — a three-year mean of 6.52% — and the first quarter of 2026 took none at all.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note (33) attributes EGP 428 million of associate income to this one holding in FY2025 and EGP 190 million in FY2024. The FY2024 figure EXCEEDS the group associate line of EGP 151.6 million for that year, so the other holdings were a net drag of EGP 38.4 million — the individual disclosure and the group line are both reported here rather than one being quoted without the other. This study normalises the WHOLE associate stream to EGP 250 million against a three-year mean of EGP 246.1 million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hard-currency inputs are 68.4% of the disclosed cost stack — the imported active ingredient plus the imported SHARE of packaging, not the whole packaging line, because the group makes its own primary packaging. So a weaker pound is a NET NEGATIVE for this company,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17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BOTH fundamental centres — EGP 61.68 and EGP 69.15 — sit below the entire three-month band, and that is worth noticing rather than reconciling away.</w:t>
      </w:r>
    </w:p>
    <w:p>
      <w:pPr>
        <w:spacing w:after="120" w:before="280"/>
      </w:pPr>
      <w:r>
        <w:rPr>
          <w:b/>
          <w:i w:val="0"/>
          <w:color w:val="1C3A36"/>
          <w:sz w:val="30"/>
        </w:rPr>
        <w:t>7. Caveats, and what would change our mind</w:t>
      </w:r>
    </w:p>
    <w:p>
      <w:pPr>
        <w:spacing w:after="80" w:before="200"/>
      </w:pPr>
      <w:r>
        <w:rPr>
          <w:b/>
          <w:i w:val="0"/>
          <w:color w:val="1C3A36"/>
          <w:sz w:val="24"/>
        </w:rPr>
        <w:t>7.1 What changed in this edition, and by how much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6048"/>
      </w:tblGrid>
      <w:tr>
        <w:tc>
          <w:tcPr>
            <w:tcW w:type="dxa" w:w="3888"/>
            <w:shd w:val="clear" w:color="auto" w:fill="EAF0EE"/>
          </w:tcPr>
          <w:p>
            <w:pPr>
              <w:spacing w:after="20"/>
            </w:pPr>
            <w:r>
              <w:rPr>
                <w:b/>
                <w:color w:val="1C3A36"/>
                <w:sz w:val="16"/>
              </w:rPr>
              <w:t>Change</w:t>
            </w:r>
          </w:p>
        </w:tc>
        <w:tc>
          <w:tcPr>
            <w:tcW w:type="dxa" w:w="6048"/>
            <w:shd w:val="clear" w:color="auto" w:fill="EAF0EE"/>
          </w:tcPr>
          <w:p>
            <w:pPr>
              <w:spacing w:after="20"/>
            </w:pPr>
            <w:r>
              <w:rPr>
                <w:b/>
                <w:color w:val="1C3A36"/>
                <w:sz w:val="16"/>
              </w:rPr>
              <w:t>Effect</w:t>
            </w:r>
          </w:p>
        </w:tc>
      </w:tr>
      <w:tr>
        <w:tc>
          <w:tcPr>
            <w:tcW w:type="dxa" w:w="3888"/>
          </w:tcPr>
          <w:p>
            <w:pPr>
              <w:spacing w:after="20"/>
            </w:pPr>
            <w:r>
              <w:rPr>
                <w:color w:val="1C3A36"/>
                <w:sz w:val="16"/>
              </w:rPr>
              <w:t>FY2026 revenue growth reset from 17.5% to the quarter's 10.1%</w:t>
            </w:r>
          </w:p>
        </w:tc>
        <w:tc>
          <w:tcPr>
            <w:tcW w:type="dxa" w:w="6048"/>
          </w:tcPr>
          <w:p>
            <w:pPr>
              <w:spacing w:after="20"/>
              <w:jc w:val="right"/>
            </w:pPr>
            <w:r>
              <w:rPr>
                <w:color w:val="1C3A36"/>
                <w:sz w:val="16"/>
              </w:rPr>
              <w:t>the largest single change; it lowers the base every later year compounds from</w:t>
            </w:r>
          </w:p>
        </w:tc>
      </w:tr>
      <w:tr>
        <w:tc>
          <w:tcPr>
            <w:tcW w:type="dxa" w:w="3888"/>
          </w:tcPr>
          <w:p>
            <w:pPr>
              <w:spacing w:after="20"/>
            </w:pPr>
            <w:r>
              <w:rPr>
                <w:color w:val="1C3A36"/>
                <w:sz w:val="16"/>
              </w:rPr>
              <w:t>FY2026 capital expenditure raised to the quarter's run-rate</w:t>
            </w:r>
          </w:p>
        </w:tc>
        <w:tc>
          <w:tcPr>
            <w:tcW w:type="dxa" w:w="6048"/>
          </w:tcPr>
          <w:p>
            <w:pPr>
              <w:spacing w:after="20"/>
              <w:jc w:val="right"/>
            </w:pPr>
            <w:r>
              <w:rPr>
                <w:color w:val="1C3A36"/>
                <w:sz w:val="16"/>
              </w:rPr>
              <w:t>more cash out of free cash flow in the first forecast year</w:t>
            </w:r>
          </w:p>
        </w:tc>
      </w:tr>
      <w:tr>
        <w:tc>
          <w:tcPr>
            <w:tcW w:type="dxa" w:w="3888"/>
          </w:tcPr>
          <w:p>
            <w:pPr>
              <w:spacing w:after="20"/>
            </w:pPr>
            <w:r>
              <w:rPr>
                <w:color w:val="1C3A36"/>
                <w:sz w:val="16"/>
              </w:rPr>
              <w:t>Finance cost charged to profit reset to the quarter, and separated from the marginal cost of debt used in the discount rate</w:t>
            </w:r>
          </w:p>
        </w:tc>
        <w:tc>
          <w:tcPr>
            <w:tcW w:type="dxa" w:w="6048"/>
          </w:tcPr>
          <w:p>
            <w:pPr>
              <w:spacing w:after="20"/>
              <w:jc w:val="right"/>
            </w:pPr>
            <w:r>
              <w:rPr>
                <w:color w:val="1C3A36"/>
                <w:sz w:val="16"/>
              </w:rPr>
              <w:t>raises forecast earnings; the two were being conflated and are now distinct rows</w:t>
            </w:r>
          </w:p>
        </w:tc>
      </w:tr>
      <w:tr>
        <w:tc>
          <w:tcPr>
            <w:tcW w:type="dxa" w:w="3888"/>
          </w:tcPr>
          <w:p>
            <w:pPr>
              <w:spacing w:after="20"/>
            </w:pPr>
            <w:r>
              <w:rPr>
                <w:color w:val="1C3A36"/>
                <w:sz w:val="16"/>
              </w:rPr>
              <w:t>Normalised associate contribution cut from EGP 320m to EGP 250m, the like-for-like three-year average</w:t>
            </w:r>
          </w:p>
        </w:tc>
        <w:tc>
          <w:tcPr>
            <w:tcW w:type="dxa" w:w="6048"/>
          </w:tcPr>
          <w:p>
            <w:pPr>
              <w:spacing w:after="20"/>
              <w:jc w:val="right"/>
            </w:pPr>
            <w:r>
              <w:rPr>
                <w:color w:val="1C3A36"/>
                <w:sz w:val="16"/>
              </w:rPr>
              <w:t>lowers the bridge; the quarter reported only EGP 13.1m, but the auditor states the associates' statements were not received, so it is not decisive</w:t>
            </w:r>
          </w:p>
        </w:tc>
      </w:tr>
      <w:tr>
        <w:tc>
          <w:tcPr>
            <w:tcW w:type="dxa" w:w="3888"/>
          </w:tcPr>
          <w:p>
            <w:pPr>
              <w:spacing w:after="20"/>
            </w:pPr>
            <w:r>
              <w:rPr>
                <w:color w:val="1C3A36"/>
                <w:sz w:val="16"/>
              </w:rPr>
              <w:t>The active-ingredient company added to the bridge at carrying cost, and the non-controlling interest deducted there replaced with the post-deconsolidation figure</w:t>
            </w:r>
          </w:p>
        </w:tc>
        <w:tc>
          <w:tcPr>
            <w:tcW w:type="dxa" w:w="6048"/>
          </w:tcPr>
          <w:p>
            <w:pPr>
              <w:spacing w:after="20"/>
              <w:jc w:val="right"/>
            </w:pPr>
            <w:r>
              <w:rPr>
                <w:color w:val="1C3A36"/>
                <w:sz w:val="16"/>
              </w:rPr>
              <w:t>both POSITIVE, and they are two halves of one event: that company left the consolidation in the quarter, taking EGP 284.7m of minorities out and adding EGP 228.5m of associate carrying value</w:t>
            </w:r>
          </w:p>
        </w:tc>
      </w:tr>
      <w:tr>
        <w:tc>
          <w:tcPr>
            <w:tcW w:type="dxa" w:w="3888"/>
          </w:tcPr>
          <w:p>
            <w:pPr>
              <w:spacing w:after="20"/>
            </w:pPr>
            <w:r>
              <w:rPr>
                <w:color w:val="1C3A36"/>
                <w:sz w:val="16"/>
              </w:rPr>
              <w:t>Dividend-distribution tax given its own line in all three history years, following the separately issued statements</w:t>
            </w:r>
          </w:p>
        </w:tc>
        <w:tc>
          <w:tcPr>
            <w:tcW w:type="dxa" w:w="6048"/>
          </w:tcPr>
          <w:p>
            <w:pPr>
              <w:spacing w:after="20"/>
              <w:jc w:val="right"/>
            </w:pPr>
            <w:r>
              <w:rPr>
                <w:color w:val="1C3A36"/>
                <w:sz w:val="16"/>
              </w:rPr>
              <w:t>lifts FY2023 operating profit by EGP 4.1m (0.34%); worth about EGP 0.12 a share</w:t>
            </w:r>
          </w:p>
        </w:tc>
      </w:tr>
      <w:tr>
        <w:tc>
          <w:tcPr>
            <w:tcW w:type="dxa" w:w="3888"/>
            <w:shd w:val="clear" w:color="auto" w:fill="F6F1E6"/>
          </w:tcPr>
          <w:p>
            <w:pPr>
              <w:spacing w:after="20"/>
            </w:pPr>
            <w:r>
              <w:rPr>
                <w:b/>
                <w:color w:val="1C3A36"/>
                <w:sz w:val="16"/>
              </w:rPr>
              <w:t>THE SINGLE WEIGHTED CENTRE IS WITHDRAWN</w:t>
            </w:r>
          </w:p>
        </w:tc>
        <w:tc>
          <w:tcPr>
            <w:tcW w:type="dxa" w:w="6048"/>
            <w:shd w:val="clear" w:color="auto" w:fill="F6F1E6"/>
          </w:tcPr>
          <w:p>
            <w:pPr>
              <w:spacing w:after="20"/>
              <w:jc w:val="right"/>
            </w:pPr>
            <w:r>
              <w:rPr>
                <w:b/>
                <w:color w:val="1C3A36"/>
                <w:sz w:val="16"/>
              </w:rPr>
              <w:t>the first edition weighted Frame A and Frame B at a quarter each inside one number. Weighting both frames inside one number IS averaging them, which this study says five times that it never does. Each frame now carries the cash-flow weight in full, on its own, and TWO centres are published</w:t>
            </w:r>
          </w:p>
        </w:tc>
      </w:tr>
      <w:tr>
        <w:tc>
          <w:tcPr>
            <w:tcW w:type="dxa" w:w="3888"/>
          </w:tcPr>
          <w:p>
            <w:pPr>
              <w:spacing w:after="20"/>
            </w:pPr>
            <w:r>
              <w:rPr>
                <w:color w:val="1C3A36"/>
                <w:sz w:val="16"/>
              </w:rPr>
              <w:t>The terminal return on invested capital is now COMPUTED, not assumed</w:t>
            </w:r>
          </w:p>
        </w:tc>
        <w:tc>
          <w:tcPr>
            <w:tcW w:type="dxa" w:w="6048"/>
          </w:tcPr>
          <w:p>
            <w:pPr>
              <w:spacing w:after="20"/>
              <w:jc w:val="right"/>
            </w:pPr>
            <w:r>
              <w:rPr>
                <w:color w:val="1C3A36"/>
                <w:sz w:val="16"/>
              </w:rPr>
              <w:t>it was asserted at 20% against a forecast that reaches 16.15% in FY2030E. It now READS the model's own final year, so terminal reinvestment rises from 25.0% to 31.0% of terminal operating profit after tax</w:t>
            </w:r>
          </w:p>
        </w:tc>
      </w:tr>
      <w:tr>
        <w:tc>
          <w:tcPr>
            <w:tcW w:type="dxa" w:w="3888"/>
          </w:tcPr>
          <w:p>
            <w:pPr>
              <w:spacing w:after="20"/>
            </w:pPr>
            <w:r>
              <w:rPr>
                <w:color w:val="1C3A36"/>
                <w:sz w:val="16"/>
              </w:rPr>
              <w:t>The terminal year is charged the depreciation the forecast never charged</w:t>
            </w:r>
          </w:p>
        </w:tc>
        <w:tc>
          <w:tcPr>
            <w:tcW w:type="dxa" w:w="6048"/>
          </w:tcPr>
          <w:p>
            <w:pPr>
              <w:spacing w:after="20"/>
              <w:jc w:val="right"/>
            </w:pPr>
            <w:r>
              <w:rPr>
                <w:color w:val="1C3A36"/>
                <w:sz w:val="16"/>
              </w:rPr>
              <w:t>EGP 2,947 million of construction is still parked at FY2030E and had never entered the depreciable base. A perpetuity cannot capitalise profit on capital it never charges, so EGP 183 million a year is now deducted before the terminal value is struck</w:t>
            </w:r>
          </w:p>
        </w:tc>
      </w:tr>
      <w:tr>
        <w:tc>
          <w:tcPr>
            <w:tcW w:type="dxa" w:w="3888"/>
          </w:tcPr>
          <w:p>
            <w:pPr>
              <w:spacing w:after="20"/>
            </w:pPr>
            <w:r>
              <w:rPr>
                <w:color w:val="1C3A36"/>
                <w:sz w:val="16"/>
              </w:rPr>
              <w:t>The terminal debt weight is now DERIVED and published on both bases</w:t>
            </w:r>
          </w:p>
        </w:tc>
        <w:tc>
          <w:tcPr>
            <w:tcW w:type="dxa" w:w="6048"/>
          </w:tcPr>
          <w:p>
            <w:pPr>
              <w:spacing w:after="20"/>
              <w:jc w:val="right"/>
            </w:pPr>
            <w:r>
              <w:rPr>
                <w:color w:val="1C3A36"/>
                <w:sz w:val="16"/>
              </w:rPr>
              <w:t>it was 20%, described as reconciled to the forecast balance sheet. It reconciled to neither reading of that sheet: 25.1% on today's market values, 39.5% on the funded forecast book. The market reading is used and both are shown</w:t>
            </w:r>
          </w:p>
        </w:tc>
      </w:tr>
      <w:tr>
        <w:tc>
          <w:tcPr>
            <w:tcW w:type="dxa" w:w="3888"/>
          </w:tcPr>
          <w:p>
            <w:pPr>
              <w:spacing w:after="20"/>
            </w:pPr>
            <w:r>
              <w:rPr>
                <w:color w:val="1C3A36"/>
                <w:sz w:val="16"/>
              </w:rPr>
              <w:t>Free cash flow is taxed at the EFFECTIVE rate, not the statutory rate</w:t>
            </w:r>
          </w:p>
        </w:tc>
        <w:tc>
          <w:tcPr>
            <w:tcW w:type="dxa" w:w="6048"/>
          </w:tcPr>
          <w:p>
            <w:pPr>
              <w:spacing w:after="20"/>
              <w:jc w:val="right"/>
            </w:pPr>
            <w:r>
              <w:rPr>
                <w:color w:val="1C3A36"/>
                <w:sz w:val="16"/>
              </w:rPr>
              <w:t>the model conceded a 23.5% effective burden in one place and applied 22.5% in the cash-flow engine. One rate now runs both</w:t>
            </w:r>
          </w:p>
        </w:tc>
      </w:tr>
      <w:tr>
        <w:tc>
          <w:tcPr>
            <w:tcW w:type="dxa" w:w="3888"/>
          </w:tcPr>
          <w:p>
            <w:pPr>
              <w:spacing w:after="20"/>
            </w:pPr>
            <w:r>
              <w:rPr>
                <w:color w:val="1C3A36"/>
                <w:sz w:val="16"/>
              </w:rPr>
              <w:t>The forecast balance sheet is FUNDED and now balances</w:t>
            </w:r>
          </w:p>
        </w:tc>
        <w:tc>
          <w:tcPr>
            <w:tcW w:type="dxa" w:w="6048"/>
          </w:tcPr>
          <w:p>
            <w:pPr>
              <w:spacing w:after="20"/>
              <w:jc w:val="right"/>
            </w:pPr>
            <w:r>
              <w:rPr>
                <w:color w:val="1C3A36"/>
                <w:sz w:val="16"/>
              </w:rPr>
              <w:t>cash and gross borrowings were frozen at their audited levels for five years while equity compounded, so the statement was out by up to 6.6% of total assets and no balance check was ever computed. Gross borrowings are now the funding plug, a total liabilities-and-equity row and a balance check have been added, and both are zero in every forecast column</w:t>
            </w:r>
          </w:p>
        </w:tc>
      </w:tr>
      <w:tr>
        <w:tc>
          <w:tcPr>
            <w:tcW w:type="dxa" w:w="3888"/>
          </w:tcPr>
          <w:p>
            <w:pPr>
              <w:spacing w:after="20"/>
            </w:pPr>
            <w:r>
              <w:rPr>
                <w:color w:val="1C3A36"/>
                <w:sz w:val="16"/>
              </w:rPr>
              <w:t>The trailing multiples are applied to TRAILING earnings</w:t>
            </w:r>
          </w:p>
        </w:tc>
        <w:tc>
          <w:tcPr>
            <w:tcW w:type="dxa" w:w="6048"/>
          </w:tcPr>
          <w:p>
            <w:pPr>
              <w:spacing w:after="20"/>
              <w:jc w:val="right"/>
            </w:pPr>
            <w:r>
              <w:rPr>
                <w:color w:val="1C3A36"/>
                <w:sz w:val="16"/>
              </w:rPr>
              <w:t>two of the three legs of the relative lens were labelled trailing and applied to FY2026E earnings, which are BELOW trailing because of the depreciation step. Each leg now takes the earnings of its own period</w:t>
            </w:r>
          </w:p>
        </w:tc>
      </w:tr>
      <w:tr>
        <w:tc>
          <w:tcPr>
            <w:tcW w:type="dxa" w:w="3888"/>
          </w:tcPr>
          <w:p>
            <w:pPr>
              <w:spacing w:after="20"/>
            </w:pPr>
            <w:r>
              <w:rPr>
                <w:color w:val="1C3A36"/>
                <w:sz w:val="16"/>
              </w:rPr>
              <w:t>The peer anchor is relabelled a struck reference and moved to the midpoint</w:t>
            </w:r>
          </w:p>
        </w:tc>
        <w:tc>
          <w:tcPr>
            <w:tcW w:type="dxa" w:w="6048"/>
          </w:tcPr>
          <w:p>
            <w:pPr>
              <w:spacing w:after="20"/>
              <w:jc w:val="right"/>
            </w:pPr>
            <w:r>
              <w:rPr>
                <w:color w:val="1C3A36"/>
                <w:sz w:val="16"/>
              </w:rPr>
              <w:t>it was called a peer median at 19.5 times. Only two observations are disclosed, 26.7x and 16.0x, whose midpoint is 21.35x. It is now that midpoint and it is not called a median</w:t>
            </w:r>
          </w:p>
        </w:tc>
      </w:tr>
      <w:tr>
        <w:tc>
          <w:tcPr>
            <w:tcW w:type="dxa" w:w="3888"/>
          </w:tcPr>
          <w:p>
            <w:pPr>
              <w:spacing w:after="20"/>
            </w:pPr>
            <w:r>
              <w:rPr>
                <w:color w:val="1C3A36"/>
                <w:sz w:val="16"/>
              </w:rPr>
              <w:t>The risk-free rate and the share price are struck on ONE date</w:t>
            </w:r>
          </w:p>
        </w:tc>
        <w:tc>
          <w:tcPr>
            <w:tcW w:type="dxa" w:w="6048"/>
          </w:tcPr>
          <w:p>
            <w:pPr>
              <w:spacing w:after="20"/>
              <w:jc w:val="right"/>
            </w:pPr>
            <w:r>
              <w:rPr>
                <w:color w:val="1C3A36"/>
                <w:sz w:val="16"/>
              </w:rPr>
              <w:t>the yield carried a 21 July 2026 print against a 6 August 2026 share price. Both are now 6 August, and the country-risk dataset moves to its mid-year vintage</w:t>
            </w:r>
          </w:p>
        </w:tc>
      </w:tr>
      <w:tr>
        <w:tc>
          <w:tcPr>
            <w:tcW w:type="dxa" w:w="3888"/>
          </w:tcPr>
          <w:p>
            <w:pPr>
              <w:spacing w:after="20"/>
            </w:pPr>
            <w:r>
              <w:rPr>
                <w:color w:val="1C3A36"/>
                <w:sz w:val="16"/>
              </w:rPr>
              <w:t>The sustainable return and the book lens are live in the workbook</w:t>
            </w:r>
          </w:p>
        </w:tc>
        <w:tc>
          <w:tcPr>
            <w:tcW w:type="dxa" w:w="6048"/>
          </w:tcPr>
          <w:p>
            <w:pPr>
              <w:spacing w:after="20"/>
              <w:jc w:val="right"/>
            </w:pPr>
            <w:r>
              <w:rPr>
                <w:color w:val="1C3A36"/>
                <w:sz w:val="16"/>
              </w:rPr>
              <w:t>the book-value lens was a constant multiple typed inside a formula, so that lens did not move for any driver. Both the multiple and the return behind it now read the forecast</w:t>
            </w:r>
          </w:p>
        </w:tc>
      </w:tr>
      <w:tr>
        <w:tc>
          <w:tcPr>
            <w:tcW w:type="dxa" w:w="3888"/>
          </w:tcPr>
          <w:p>
            <w:pPr>
              <w:spacing w:after="20"/>
            </w:pPr>
            <w:r>
              <w:rPr>
                <w:color w:val="1C3A36"/>
                <w:sz w:val="16"/>
              </w:rPr>
              <w:t>The appendix income statement prints what the model computes</w:t>
            </w:r>
          </w:p>
        </w:tc>
        <w:tc>
          <w:tcPr>
            <w:tcW w:type="dxa" w:w="6048"/>
          </w:tcPr>
          <w:p>
            <w:pPr>
              <w:spacing w:after="20"/>
              <w:jc w:val="right"/>
            </w:pPr>
            <w:r>
              <w:rPr>
                <w:color w:val="1C3A36"/>
                <w:sz w:val="16"/>
              </w:rPr>
              <w:t>its attributable-profit row printed retained earnings and its finance-cost row was a first-edition artefact. Both now come from the model rows the valuation uses</w:t>
            </w:r>
          </w:p>
        </w:tc>
      </w:tr>
      <w:tr>
        <w:tc>
          <w:tcPr>
            <w:tcW w:type="dxa" w:w="3888"/>
            <w:shd w:val="clear" w:color="auto" w:fill="F6F1E6"/>
          </w:tcPr>
          <w:p>
            <w:pPr>
              <w:spacing w:after="20"/>
            </w:pPr>
            <w:r>
              <w:rPr>
                <w:b/>
                <w:color w:val="1C3A36"/>
                <w:sz w:val="16"/>
              </w:rPr>
              <w:t>NET EFFECT ON THE CENTRE</w:t>
            </w:r>
          </w:p>
        </w:tc>
        <w:tc>
          <w:tcPr>
            <w:tcW w:type="dxa" w:w="6048"/>
            <w:shd w:val="clear" w:color="auto" w:fill="F6F1E6"/>
          </w:tcPr>
          <w:p>
            <w:pPr>
              <w:spacing w:after="20"/>
              <w:jc w:val="right"/>
            </w:pPr>
            <w:r>
              <w:rPr>
                <w:b/>
                <w:color w:val="1C3A36"/>
                <w:sz w:val="16"/>
              </w:rPr>
              <w:t>a single EGP 79.64 becomes a PAIR: EGP 61.68 on Frame A (-23%) and EGP 69.15 on Frame B (-13%)</w:t>
            </w:r>
          </w:p>
        </w:tc>
      </w:tr>
    </w:tbl>
    <w:p>
      <w:pPr>
        <w:spacing w:after="40"/>
      </w:pPr>
    </w:p>
    <w:p>
      <w:pPr>
        <w:spacing w:after="200" w:before="0"/>
      </w:pPr>
      <w:r>
        <w:rPr>
          <w:b w:val="0"/>
          <w:i/>
          <w:color w:val="6E7B77"/>
          <w:sz w:val="17"/>
        </w:rPr>
        <w:t>Table 18 — every change from the first edition, and its direction.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The first-quarter review conclusion is QUALIFIED on three matters</w:t>
            </w:r>
          </w:p>
        </w:tc>
        <w:tc>
          <w:tcPr>
            <w:tcW w:type="dxa" w:w="4824"/>
          </w:tcPr>
          <w:p>
            <w:pPr>
              <w:spacing w:after="20"/>
              <w:jc w:val="right"/>
            </w:pPr>
            <w:r>
              <w:rPr>
                <w:color w:val="1C3A36"/>
                <w:sz w:val="16"/>
              </w:rPr>
              <w:t>no expected-credit-loss charge was recognised in the quarter; the associates' own statements were not received; and the active-ingredient company was recognised at cost after loss of control rather than remeasured and equity-accounted. The first flatters the quarter's profit, the second makes the associate line incomplete, the third is a measurement question this study side-steps by carrying that company at cost</w:t>
            </w:r>
          </w:p>
        </w:tc>
        <w:tc>
          <w:tcPr>
            <w:tcW w:type="dxa" w:w="2376"/>
          </w:tcPr>
          <w:p>
            <w:pPr>
              <w:spacing w:after="20"/>
              <w:jc w:val="right"/>
            </w:pPr>
            <w:r>
              <w:rPr>
                <w:color w:val="1C3A36"/>
                <w:sz w:val="16"/>
              </w:rPr>
              <w:t>an unqualified half-year review</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valuation bridge is anchored on the audited 31 December 2025 balance sheet, not on the March one</w:t>
            </w:r>
          </w:p>
        </w:tc>
        <w:tc>
          <w:tcPr>
            <w:tcW w:type="dxa" w:w="4824"/>
          </w:tcPr>
          <w:p>
            <w:pPr>
              <w:spacing w:after="20"/>
              <w:jc w:val="right"/>
            </w:pPr>
            <w:r>
              <w:rPr>
                <w:color w:val="1C3A36"/>
                <w:sz w:val="16"/>
              </w:rPr>
              <w:t>net debt was EGP 9,065m at 31 March against EGP 7,364m at 31 December, but the quarter also paid the FY2025 dividend and built working capital, and the forecast still carries a full FY2026 of cash flow. Using the March balance sheet AND a full forecast year would charge the same quarter twice. On the March net debt alone the value would be about EGP 10 a share lower</w:t>
            </w:r>
          </w:p>
        </w:tc>
        <w:tc>
          <w:tcPr>
            <w:tcW w:type="dxa" w:w="2376"/>
          </w:tcPr>
          <w:p>
            <w:pPr>
              <w:spacing w:after="20"/>
              <w:jc w:val="right"/>
            </w:pPr>
            <w:r>
              <w:rPr>
                <w:color w:val="1C3A36"/>
                <w:sz w:val="16"/>
              </w:rPr>
              <w:t>a half-year balance sheet, at which point the anchor can move forward cleanly</w:t>
            </w:r>
          </w:p>
        </w:tc>
      </w:tr>
      <w:tr>
        <w:tc>
          <w:tcPr>
            <w:tcW w:type="dxa" w:w="2736"/>
          </w:tcPr>
          <w:p>
            <w:pPr>
              <w:spacing w:after="20"/>
            </w:pPr>
            <w:r>
              <w:rPr>
                <w:color w:val="1C3A36"/>
                <w:sz w:val="16"/>
              </w:rPr>
              <w:t>The ten-year government yield is a market-data series, not an auction print</w:t>
            </w:r>
          </w:p>
        </w:tc>
        <w:tc>
          <w:tcPr>
            <w:tcW w:type="dxa" w:w="4824"/>
          </w:tcPr>
          <w:p>
            <w:pPr>
              <w:spacing w:after="20"/>
              <w:jc w:val="right"/>
            </w:pPr>
            <w:r>
              <w:rPr>
                <w:color w:val="1C3A36"/>
                <w:sz w:val="16"/>
              </w:rPr>
              <w:t>the discount rate now carries the 23.00% level observable on the same date as the share price, but the central bank's own auction page refused the request, so the level is indicated rather than proven. The rate is sensitised over a wide range in section 1.9</w:t>
            </w:r>
          </w:p>
        </w:tc>
        <w:tc>
          <w:tcPr>
            <w:tcW w:type="dxa" w:w="2376"/>
          </w:tcPr>
          <w:p>
            <w:pPr>
              <w:spacing w:after="20"/>
              <w:jc w:val="right"/>
            </w:pPr>
            <w:r>
              <w:rPr>
                <w:color w:val="1C3A36"/>
                <w:sz w:val="16"/>
              </w:rPr>
              <w:t>a live read of the auction curve; a 200 basis-point error is worth about EGP 7 a share</w:t>
            </w:r>
          </w:p>
        </w:tc>
      </w:tr>
      <w:tr>
        <w:tc>
          <w:tcPr>
            <w:tcW w:type="dxa" w:w="2736"/>
          </w:tcPr>
          <w:p>
            <w:pPr>
              <w:spacing w:after="20"/>
            </w:pPr>
            <w:r>
              <w:rPr>
                <w:color w:val="1C3A36"/>
                <w:sz w:val="16"/>
              </w:rPr>
              <w:t>The enterprise-to-equity bridge mixes two consolidation perimeters</w:t>
            </w:r>
          </w:p>
        </w:tc>
        <w:tc>
          <w:tcPr>
            <w:tcW w:type="dxa" w:w="4824"/>
          </w:tcPr>
          <w:p>
            <w:pPr>
              <w:spacing w:after="20"/>
              <w:jc w:val="right"/>
            </w:pPr>
            <w:r>
              <w:rPr>
                <w:color w:val="1C3A36"/>
                <w:sz w:val="16"/>
              </w:rPr>
              <w:t>net debt is the audited 31 December 2025 figure, when the active-ingredient company was still consolidated; the non-controlling interest deducted, EGP 4.0 million, is the post-deconsolidation figure, and the retained stake is added separately at cost. A single perimeter would either deduct the December minority of EGP 288.7 million without the separate addition, or move the whole bridge to the March balance sheet. The difference is about EGP 3.04 a share on the cash-flow readings</w:t>
            </w:r>
          </w:p>
        </w:tc>
        <w:tc>
          <w:tcPr>
            <w:tcW w:type="dxa" w:w="2376"/>
          </w:tcPr>
          <w:p>
            <w:pPr>
              <w:spacing w:after="20"/>
              <w:jc w:val="right"/>
            </w:pPr>
            <w:r>
              <w:rPr>
                <w:color w:val="1C3A36"/>
                <w:sz w:val="16"/>
              </w:rPr>
              <w:t>a half-year balance sheet on one perimeter</w:t>
            </w:r>
          </w:p>
        </w:tc>
      </w:tr>
      <w:tr>
        <w:tc>
          <w:tcPr>
            <w:tcW w:type="dxa" w:w="2736"/>
          </w:tcPr>
          <w:p>
            <w:pPr>
              <w:spacing w:after="20"/>
            </w:pPr>
            <w:r>
              <w:rPr>
                <w:color w:val="1C3A36"/>
                <w:sz w:val="16"/>
              </w:rPr>
              <w:t>The forward interest path falls while the debt does not</w:t>
            </w:r>
          </w:p>
        </w:tc>
        <w:tc>
          <w:tcPr>
            <w:tcW w:type="dxa" w:w="4824"/>
          </w:tcPr>
          <w:p>
            <w:pPr>
              <w:spacing w:after="20"/>
              <w:jc w:val="right"/>
            </w:pPr>
            <w:r>
              <w:rPr>
                <w:color w:val="1C3A36"/>
                <w:sz w:val="16"/>
              </w:rPr>
              <w:t>the charge is calibrated to the first quarter of 2026 and is right for FY2026E, but it declines to EGP 1,030 million by FY2030E on a funded borrowing book that ends the window near where it started. The implied average rate falls to 11.25% against a blended MARGINAL cost of debt of 18.55% used in the discount rate. This affects the earnings-based lenses, not the cash-flow ones, which are computed before interest</w:t>
            </w:r>
          </w:p>
        </w:tc>
        <w:tc>
          <w:tcPr>
            <w:tcW w:type="dxa" w:w="2376"/>
          </w:tcPr>
          <w:p>
            <w:pPr>
              <w:spacing w:after="20"/>
              <w:jc w:val="right"/>
            </w:pPr>
            <w:r>
              <w:rPr>
                <w:color w:val="1C3A36"/>
                <w:sz w:val="16"/>
              </w:rPr>
              <w:t>a disclosed debt-amortisation schedule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250 million normalisation stands in for a real forecast. It is worth EGP 16.30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beta composite contains the subject itself</w:t>
            </w:r>
          </w:p>
        </w:tc>
        <w:tc>
          <w:tcPr>
            <w:tcW w:type="dxa" w:w="4824"/>
          </w:tcPr>
          <w:p>
            <w:pPr>
              <w:spacing w:after="20"/>
              <w:jc w:val="right"/>
            </w:pPr>
            <w:r>
              <w:rPr>
                <w:color w:val="1C3A36"/>
                <w:sz w:val="16"/>
              </w:rPr>
              <w:t>the 36-name equal-weighted local composite the beta is regressed against includes this company at about 2.8% weight, which biases the coefficient toward one. Removing it gives 0.565 rather than 0.629, which would RAISE the two centres by about EGP 3.35 and EGP 3.71 a share. The in-index coefficient is carried because it is the more conservative of the two and because it is what a real local index produces; both are published in the bibliography</w:t>
            </w:r>
          </w:p>
        </w:tc>
        <w:tc>
          <w:tcPr>
            <w:tcW w:type="dxa" w:w="2376"/>
          </w:tcPr>
          <w:p>
            <w:pPr>
              <w:spacing w:after="20"/>
              <w:jc w:val="right"/>
            </w:pPr>
            <w:r>
              <w:rPr>
                <w:color w:val="1C3A36"/>
                <w:sz w:val="16"/>
              </w:rPr>
              <w:t>a published local index that excludes the constituent under study</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19 — every limitation this study knows about, and what would resolve it.</w:t>
      </w:r>
    </w:p>
    <w:p>
      <w:pPr>
        <w:spacing w:after="120" w:before="0"/>
      </w:pPr>
      <w:r>
        <w:rPr>
          <w:b w:val="0"/>
          <w:i w:val="0"/>
          <w:color w:val="1C3A36"/>
          <w:sz w:val="21"/>
        </w:rPr>
        <w:t>One caveat from the first edition is now closed: the FY2026 first-quarter interim, which could not be reached at any official source online, was supplied directly and is in this edition. The secondary reporting recorded then as an unverified cross-check turned out to be accurate to the pound on both sales and attributable profit.</w:t>
      </w:r>
    </w:p>
    <w:p>
      <w:pPr>
        <w:spacing w:after="120" w:before="0"/>
      </w:pPr>
      <w:r>
        <w:rPr>
          <w:b w:val="0"/>
          <w:i w:val="0"/>
          <w:color w:val="1C3A36"/>
          <w:sz w:val="21"/>
        </w:rPr>
        <w:t>What would change the conclusion, stated in advance so it can be checked: if the company disclosed biosimilar revenue on a path toward USD 119 million a year, the cash-flow lenses would move to the market price and this study would be wrong to have flagged the gap. If the FY2026 depreciation charge came in near EGP 118 million rather than EGP 304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10,384</w:t>
            </w:r>
          </w:p>
        </w:tc>
        <w:tc>
          <w:tcPr>
            <w:tcW w:type="dxa" w:w="1037"/>
          </w:tcPr>
          <w:p>
            <w:pPr>
              <w:spacing w:after="20"/>
              <w:jc w:val="right"/>
            </w:pPr>
            <w:r>
              <w:rPr>
                <w:color w:val="1C3A36"/>
                <w:sz w:val="15"/>
              </w:rPr>
              <w:t>12,038</w:t>
            </w:r>
          </w:p>
        </w:tc>
        <w:tc>
          <w:tcPr>
            <w:tcW w:type="dxa" w:w="1037"/>
          </w:tcPr>
          <w:p>
            <w:pPr>
              <w:spacing w:after="20"/>
              <w:jc w:val="right"/>
            </w:pPr>
            <w:r>
              <w:rPr>
                <w:color w:val="1C3A36"/>
                <w:sz w:val="15"/>
              </w:rPr>
              <w:t>13,825</w:t>
            </w:r>
          </w:p>
        </w:tc>
        <w:tc>
          <w:tcPr>
            <w:tcW w:type="dxa" w:w="1037"/>
          </w:tcPr>
          <w:p>
            <w:pPr>
              <w:spacing w:after="20"/>
              <w:jc w:val="right"/>
            </w:pPr>
            <w:r>
              <w:rPr>
                <w:color w:val="1C3A36"/>
                <w:sz w:val="15"/>
              </w:rPr>
              <w:t>15,638</w:t>
            </w:r>
          </w:p>
        </w:tc>
        <w:tc>
          <w:tcPr>
            <w:tcW w:type="dxa" w:w="1037"/>
          </w:tcPr>
          <w:p>
            <w:pPr>
              <w:spacing w:after="20"/>
              <w:jc w:val="right"/>
            </w:pPr>
            <w:r>
              <w:rPr>
                <w:color w:val="1C3A36"/>
                <w:sz w:val="15"/>
              </w:rPr>
              <w:t>17,404</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6,090</w:t>
            </w:r>
          </w:p>
        </w:tc>
        <w:tc>
          <w:tcPr>
            <w:tcW w:type="dxa" w:w="1037"/>
          </w:tcPr>
          <w:p>
            <w:pPr>
              <w:spacing w:after="20"/>
              <w:jc w:val="right"/>
            </w:pPr>
            <w:r>
              <w:rPr>
                <w:color w:val="1C3A36"/>
                <w:sz w:val="15"/>
              </w:rPr>
              <w:t>7,144</w:t>
            </w:r>
          </w:p>
        </w:tc>
        <w:tc>
          <w:tcPr>
            <w:tcW w:type="dxa" w:w="1037"/>
          </w:tcPr>
          <w:p>
            <w:pPr>
              <w:spacing w:after="20"/>
              <w:jc w:val="right"/>
            </w:pPr>
            <w:r>
              <w:rPr>
                <w:color w:val="1C3A36"/>
                <w:sz w:val="15"/>
              </w:rPr>
              <w:t>8,173</w:t>
            </w:r>
          </w:p>
        </w:tc>
        <w:tc>
          <w:tcPr>
            <w:tcW w:type="dxa" w:w="1037"/>
          </w:tcPr>
          <w:p>
            <w:pPr>
              <w:spacing w:after="20"/>
              <w:jc w:val="right"/>
            </w:pPr>
            <w:r>
              <w:rPr>
                <w:color w:val="1C3A36"/>
                <w:sz w:val="15"/>
              </w:rPr>
              <w:t>9,196</w:t>
            </w:r>
          </w:p>
        </w:tc>
        <w:tc>
          <w:tcPr>
            <w:tcW w:type="dxa" w:w="1037"/>
          </w:tcPr>
          <w:p>
            <w:pPr>
              <w:spacing w:after="20"/>
              <w:jc w:val="right"/>
            </w:pPr>
            <w:r>
              <w:rPr>
                <w:color w:val="1C3A36"/>
                <w:sz w:val="15"/>
              </w:rPr>
              <w:t>10,218</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4,294</w:t>
            </w:r>
          </w:p>
        </w:tc>
        <w:tc>
          <w:tcPr>
            <w:tcW w:type="dxa" w:w="1037"/>
            <w:shd w:val="clear" w:color="auto" w:fill="F6F1E6"/>
          </w:tcPr>
          <w:p>
            <w:pPr>
              <w:spacing w:after="20"/>
              <w:jc w:val="right"/>
            </w:pPr>
            <w:r>
              <w:rPr>
                <w:b/>
                <w:color w:val="1C3A36"/>
                <w:sz w:val="15"/>
              </w:rPr>
              <w:t>4,894</w:t>
            </w:r>
          </w:p>
        </w:tc>
        <w:tc>
          <w:tcPr>
            <w:tcW w:type="dxa" w:w="1037"/>
            <w:shd w:val="clear" w:color="auto" w:fill="F6F1E6"/>
          </w:tcPr>
          <w:p>
            <w:pPr>
              <w:spacing w:after="20"/>
              <w:jc w:val="right"/>
            </w:pPr>
            <w:r>
              <w:rPr>
                <w:b/>
                <w:color w:val="1C3A36"/>
                <w:sz w:val="15"/>
              </w:rPr>
              <w:t>5,653</w:t>
            </w:r>
          </w:p>
        </w:tc>
        <w:tc>
          <w:tcPr>
            <w:tcW w:type="dxa" w:w="1037"/>
            <w:shd w:val="clear" w:color="auto" w:fill="F6F1E6"/>
          </w:tcPr>
          <w:p>
            <w:pPr>
              <w:spacing w:after="20"/>
              <w:jc w:val="right"/>
            </w:pPr>
            <w:r>
              <w:rPr>
                <w:b/>
                <w:color w:val="1C3A36"/>
                <w:sz w:val="15"/>
              </w:rPr>
              <w:t>6,442</w:t>
            </w:r>
          </w:p>
        </w:tc>
        <w:tc>
          <w:tcPr>
            <w:tcW w:type="dxa" w:w="1037"/>
            <w:shd w:val="clear" w:color="auto" w:fill="F6F1E6"/>
          </w:tcPr>
          <w:p>
            <w:pPr>
              <w:spacing w:after="20"/>
              <w:jc w:val="right"/>
            </w:pPr>
            <w:r>
              <w:rPr>
                <w:b/>
                <w:color w:val="1C3A36"/>
                <w:sz w:val="15"/>
              </w:rPr>
              <w:t>7,186</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41.4%</w:t>
            </w:r>
          </w:p>
        </w:tc>
        <w:tc>
          <w:tcPr>
            <w:tcW w:type="dxa" w:w="1037"/>
          </w:tcPr>
          <w:p>
            <w:pPr>
              <w:spacing w:after="20"/>
              <w:jc w:val="right"/>
            </w:pPr>
            <w:r>
              <w:rPr>
                <w:color w:val="1C3A36"/>
                <w:sz w:val="15"/>
              </w:rPr>
              <w:t>40.7%</w:t>
            </w:r>
          </w:p>
        </w:tc>
        <w:tc>
          <w:tcPr>
            <w:tcW w:type="dxa" w:w="1037"/>
          </w:tcPr>
          <w:p>
            <w:pPr>
              <w:spacing w:after="20"/>
              <w:jc w:val="right"/>
            </w:pPr>
            <w:r>
              <w:rPr>
                <w:color w:val="1C3A36"/>
                <w:sz w:val="15"/>
              </w:rPr>
              <w:t>40.9%</w:t>
            </w:r>
          </w:p>
        </w:tc>
        <w:tc>
          <w:tcPr>
            <w:tcW w:type="dxa" w:w="1037"/>
          </w:tcPr>
          <w:p>
            <w:pPr>
              <w:spacing w:after="20"/>
              <w:jc w:val="right"/>
            </w:pPr>
            <w:r>
              <w:rPr>
                <w:color w:val="1C3A36"/>
                <w:sz w:val="15"/>
              </w:rPr>
              <w:t>41.2%</w:t>
            </w:r>
          </w:p>
        </w:tc>
        <w:tc>
          <w:tcPr>
            <w:tcW w:type="dxa" w:w="1037"/>
          </w:tcPr>
          <w:p>
            <w:pPr>
              <w:spacing w:after="20"/>
              <w:jc w:val="right"/>
            </w:pPr>
            <w:r>
              <w:rPr>
                <w:color w:val="1C3A36"/>
                <w:sz w:val="15"/>
              </w:rPr>
              <w:t>41.3%</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1,080</w:t>
            </w:r>
          </w:p>
        </w:tc>
        <w:tc>
          <w:tcPr>
            <w:tcW w:type="dxa" w:w="1037"/>
          </w:tcPr>
          <w:p>
            <w:pPr>
              <w:spacing w:after="20"/>
              <w:jc w:val="right"/>
            </w:pPr>
            <w:r>
              <w:rPr>
                <w:color w:val="1C3A36"/>
                <w:sz w:val="15"/>
              </w:rPr>
              <w:t>1,228</w:t>
            </w:r>
          </w:p>
        </w:tc>
        <w:tc>
          <w:tcPr>
            <w:tcW w:type="dxa" w:w="1037"/>
          </w:tcPr>
          <w:p>
            <w:pPr>
              <w:spacing w:after="20"/>
              <w:jc w:val="right"/>
            </w:pPr>
            <w:r>
              <w:rPr>
                <w:color w:val="1C3A36"/>
                <w:sz w:val="15"/>
              </w:rPr>
              <w:t>1,383</w:t>
            </w:r>
          </w:p>
        </w:tc>
        <w:tc>
          <w:tcPr>
            <w:tcW w:type="dxa" w:w="1037"/>
          </w:tcPr>
          <w:p>
            <w:pPr>
              <w:spacing w:after="20"/>
              <w:jc w:val="right"/>
            </w:pPr>
            <w:r>
              <w:rPr>
                <w:color w:val="1C3A36"/>
                <w:sz w:val="15"/>
              </w:rPr>
              <w:t>1,548</w:t>
            </w:r>
          </w:p>
        </w:tc>
        <w:tc>
          <w:tcPr>
            <w:tcW w:type="dxa" w:w="1037"/>
          </w:tcPr>
          <w:p>
            <w:pPr>
              <w:spacing w:after="20"/>
              <w:jc w:val="right"/>
            </w:pPr>
            <w:r>
              <w:rPr>
                <w:color w:val="1C3A36"/>
                <w:sz w:val="15"/>
              </w:rPr>
              <w:t>1,706</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88.3</w:t>
            </w:r>
          </w:p>
        </w:tc>
        <w:tc>
          <w:tcPr>
            <w:tcW w:type="dxa" w:w="1037"/>
          </w:tcPr>
          <w:p>
            <w:pPr>
              <w:spacing w:after="20"/>
              <w:jc w:val="right"/>
            </w:pPr>
            <w:r>
              <w:rPr>
                <w:color w:val="1C3A36"/>
                <w:sz w:val="15"/>
              </w:rPr>
              <w:t>108.3</w:t>
            </w:r>
          </w:p>
        </w:tc>
        <w:tc>
          <w:tcPr>
            <w:tcW w:type="dxa" w:w="1037"/>
          </w:tcPr>
          <w:p>
            <w:pPr>
              <w:spacing w:after="20"/>
              <w:jc w:val="right"/>
            </w:pPr>
            <w:r>
              <w:rPr>
                <w:color w:val="1C3A36"/>
                <w:sz w:val="15"/>
              </w:rPr>
              <w:t>131.3</w:t>
            </w:r>
          </w:p>
        </w:tc>
        <w:tc>
          <w:tcPr>
            <w:tcW w:type="dxa" w:w="1037"/>
          </w:tcPr>
          <w:p>
            <w:pPr>
              <w:spacing w:after="20"/>
              <w:jc w:val="right"/>
            </w:pPr>
            <w:r>
              <w:rPr>
                <w:color w:val="1C3A36"/>
                <w:sz w:val="15"/>
              </w:rPr>
              <w:t>156.4</w:t>
            </w:r>
          </w:p>
        </w:tc>
        <w:tc>
          <w:tcPr>
            <w:tcW w:type="dxa" w:w="1037"/>
          </w:tcPr>
          <w:p>
            <w:pPr>
              <w:spacing w:after="20"/>
              <w:jc w:val="right"/>
            </w:pPr>
            <w:r>
              <w:rPr>
                <w:color w:val="1C3A36"/>
                <w:sz w:val="15"/>
              </w:rPr>
              <w:t>174.0</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147.5</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244.0</w:t>
            </w:r>
          </w:p>
        </w:tc>
        <w:tc>
          <w:tcPr>
            <w:tcW w:type="dxa" w:w="1037"/>
          </w:tcPr>
          <w:p>
            <w:pPr>
              <w:spacing w:after="20"/>
              <w:jc w:val="right"/>
            </w:pPr>
            <w:r>
              <w:rPr>
                <w:color w:val="1C3A36"/>
                <w:sz w:val="15"/>
              </w:rPr>
              <w:t>282.9</w:t>
            </w:r>
          </w:p>
        </w:tc>
        <w:tc>
          <w:tcPr>
            <w:tcW w:type="dxa" w:w="1037"/>
          </w:tcPr>
          <w:p>
            <w:pPr>
              <w:spacing w:after="20"/>
              <w:jc w:val="right"/>
            </w:pPr>
            <w:r>
              <w:rPr>
                <w:color w:val="1C3A36"/>
                <w:sz w:val="15"/>
              </w:rPr>
              <w:t>318.0</w:t>
            </w:r>
          </w:p>
        </w:tc>
        <w:tc>
          <w:tcPr>
            <w:tcW w:type="dxa" w:w="1037"/>
          </w:tcPr>
          <w:p>
            <w:pPr>
              <w:spacing w:after="20"/>
              <w:jc w:val="right"/>
            </w:pPr>
            <w:r>
              <w:rPr>
                <w:color w:val="1C3A36"/>
                <w:sz w:val="15"/>
              </w:rPr>
              <w:t>356.5</w:t>
            </w:r>
          </w:p>
        </w:tc>
        <w:tc>
          <w:tcPr>
            <w:tcW w:type="dxa" w:w="1037"/>
          </w:tcPr>
          <w:p>
            <w:pPr>
              <w:spacing w:after="20"/>
              <w:jc w:val="right"/>
            </w:pPr>
            <w:r>
              <w:rPr>
                <w:color w:val="1C3A36"/>
                <w:sz w:val="15"/>
              </w:rPr>
              <w:t>391.6</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545</w:t>
            </w:r>
          </w:p>
        </w:tc>
        <w:tc>
          <w:tcPr>
            <w:tcW w:type="dxa" w:w="1037"/>
          </w:tcPr>
          <w:p>
            <w:pPr>
              <w:spacing w:after="20"/>
              <w:jc w:val="right"/>
            </w:pPr>
            <w:r>
              <w:rPr>
                <w:color w:val="1C3A36"/>
                <w:sz w:val="15"/>
              </w:rPr>
              <w:t>632</w:t>
            </w:r>
          </w:p>
        </w:tc>
        <w:tc>
          <w:tcPr>
            <w:tcW w:type="dxa" w:w="1037"/>
          </w:tcPr>
          <w:p>
            <w:pPr>
              <w:spacing w:after="20"/>
              <w:jc w:val="right"/>
            </w:pPr>
            <w:r>
              <w:rPr>
                <w:color w:val="1C3A36"/>
                <w:sz w:val="15"/>
              </w:rPr>
              <w:t>726</w:t>
            </w:r>
          </w:p>
        </w:tc>
        <w:tc>
          <w:tcPr>
            <w:tcW w:type="dxa" w:w="1037"/>
          </w:tcPr>
          <w:p>
            <w:pPr>
              <w:spacing w:after="20"/>
              <w:jc w:val="right"/>
            </w:pPr>
            <w:r>
              <w:rPr>
                <w:color w:val="1C3A36"/>
                <w:sz w:val="15"/>
              </w:rPr>
              <w:t>821</w:t>
            </w:r>
          </w:p>
        </w:tc>
        <w:tc>
          <w:tcPr>
            <w:tcW w:type="dxa" w:w="1037"/>
          </w:tcPr>
          <w:p>
            <w:pPr>
              <w:spacing w:after="20"/>
              <w:jc w:val="right"/>
            </w:pPr>
            <w:r>
              <w:rPr>
                <w:color w:val="1C3A36"/>
                <w:sz w:val="15"/>
              </w:rPr>
              <w:t>914</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1,229</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2,272</w:t>
            </w:r>
          </w:p>
        </w:tc>
        <w:tc>
          <w:tcPr>
            <w:tcW w:type="dxa" w:w="1037"/>
            <w:shd w:val="clear" w:color="auto" w:fill="F6F1E6"/>
          </w:tcPr>
          <w:p>
            <w:pPr>
              <w:spacing w:after="20"/>
              <w:jc w:val="right"/>
            </w:pPr>
            <w:r>
              <w:rPr>
                <w:b/>
                <w:color w:val="1C3A36"/>
                <w:sz w:val="15"/>
              </w:rPr>
              <w:t>2,553</w:t>
            </w:r>
          </w:p>
        </w:tc>
        <w:tc>
          <w:tcPr>
            <w:tcW w:type="dxa" w:w="1037"/>
            <w:shd w:val="clear" w:color="auto" w:fill="F6F1E6"/>
          </w:tcPr>
          <w:p>
            <w:pPr>
              <w:spacing w:after="20"/>
              <w:jc w:val="right"/>
            </w:pPr>
            <w:r>
              <w:rPr>
                <w:b/>
                <w:color w:val="1C3A36"/>
                <w:sz w:val="15"/>
              </w:rPr>
              <w:t>3,001</w:t>
            </w:r>
          </w:p>
        </w:tc>
        <w:tc>
          <w:tcPr>
            <w:tcW w:type="dxa" w:w="1037"/>
            <w:shd w:val="clear" w:color="auto" w:fill="F6F1E6"/>
          </w:tcPr>
          <w:p>
            <w:pPr>
              <w:spacing w:after="20"/>
              <w:jc w:val="right"/>
            </w:pPr>
            <w:r>
              <w:rPr>
                <w:b/>
                <w:color w:val="1C3A36"/>
                <w:sz w:val="15"/>
              </w:rPr>
              <w:t>3,468</w:t>
            </w:r>
          </w:p>
        </w:tc>
        <w:tc>
          <w:tcPr>
            <w:tcW w:type="dxa" w:w="1037"/>
            <w:shd w:val="clear" w:color="auto" w:fill="F6F1E6"/>
          </w:tcPr>
          <w:p>
            <w:pPr>
              <w:spacing w:after="20"/>
              <w:jc w:val="right"/>
            </w:pPr>
            <w:r>
              <w:rPr>
                <w:b/>
                <w:color w:val="1C3A36"/>
                <w:sz w:val="15"/>
              </w:rPr>
              <w:t>3,912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1,335</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2,576</w:t>
            </w:r>
          </w:p>
        </w:tc>
        <w:tc>
          <w:tcPr>
            <w:tcW w:type="dxa" w:w="1037"/>
          </w:tcPr>
          <w:p>
            <w:pPr>
              <w:spacing w:after="20"/>
              <w:jc w:val="right"/>
            </w:pPr>
            <w:r>
              <w:rPr>
                <w:color w:val="1C3A36"/>
                <w:sz w:val="15"/>
              </w:rPr>
              <w:t>2,978</w:t>
            </w:r>
          </w:p>
        </w:tc>
        <w:tc>
          <w:tcPr>
            <w:tcW w:type="dxa" w:w="1037"/>
          </w:tcPr>
          <w:p>
            <w:pPr>
              <w:spacing w:after="20"/>
              <w:jc w:val="right"/>
            </w:pPr>
            <w:r>
              <w:rPr>
                <w:color w:val="1C3A36"/>
                <w:sz w:val="15"/>
              </w:rPr>
              <w:t>3,447</w:t>
            </w:r>
          </w:p>
        </w:tc>
        <w:tc>
          <w:tcPr>
            <w:tcW w:type="dxa" w:w="1037"/>
          </w:tcPr>
          <w:p>
            <w:pPr>
              <w:spacing w:after="20"/>
              <w:jc w:val="right"/>
            </w:pPr>
            <w:r>
              <w:rPr>
                <w:color w:val="1C3A36"/>
                <w:sz w:val="15"/>
              </w:rPr>
              <w:t>3,905</w:t>
            </w:r>
          </w:p>
        </w:tc>
        <w:tc>
          <w:tcPr>
            <w:tcW w:type="dxa" w:w="1037"/>
          </w:tcPr>
          <w:p>
            <w:pPr>
              <w:spacing w:after="20"/>
              <w:jc w:val="right"/>
            </w:pPr>
            <w:r>
              <w:rPr>
                <w:color w:val="1C3A36"/>
                <w:sz w:val="15"/>
              </w:rPr>
              <w:t>4,335</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304.0</w:t>
            </w:r>
          </w:p>
        </w:tc>
        <w:tc>
          <w:tcPr>
            <w:tcW w:type="dxa" w:w="1037"/>
          </w:tcPr>
          <w:p>
            <w:pPr>
              <w:spacing w:after="20"/>
              <w:jc w:val="right"/>
            </w:pPr>
            <w:r>
              <w:rPr>
                <w:color w:val="1C3A36"/>
                <w:sz w:val="15"/>
              </w:rPr>
              <w:t>425.2</w:t>
            </w:r>
          </w:p>
        </w:tc>
        <w:tc>
          <w:tcPr>
            <w:tcW w:type="dxa" w:w="1037"/>
          </w:tcPr>
          <w:p>
            <w:pPr>
              <w:spacing w:after="20"/>
              <w:jc w:val="right"/>
            </w:pPr>
            <w:r>
              <w:rPr>
                <w:color w:val="1C3A36"/>
                <w:sz w:val="15"/>
              </w:rPr>
              <w:t>445.8</w:t>
            </w:r>
          </w:p>
        </w:tc>
        <w:tc>
          <w:tcPr>
            <w:tcW w:type="dxa" w:w="1037"/>
          </w:tcPr>
          <w:p>
            <w:pPr>
              <w:spacing w:after="20"/>
              <w:jc w:val="right"/>
            </w:pPr>
            <w:r>
              <w:rPr>
                <w:color w:val="1C3A36"/>
                <w:sz w:val="15"/>
              </w:rPr>
              <w:t>437.3</w:t>
            </w:r>
          </w:p>
        </w:tc>
        <w:tc>
          <w:tcPr>
            <w:tcW w:type="dxa" w:w="1037"/>
          </w:tcPr>
          <w:p>
            <w:pPr>
              <w:spacing w:after="20"/>
              <w:jc w:val="right"/>
            </w:pPr>
            <w:r>
              <w:rPr>
                <w:color w:val="1C3A36"/>
                <w:sz w:val="15"/>
              </w:rPr>
              <w:t>423.1</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1,250</w:t>
            </w:r>
          </w:p>
        </w:tc>
        <w:tc>
          <w:tcPr>
            <w:tcW w:type="dxa" w:w="1037"/>
          </w:tcPr>
          <w:p>
            <w:pPr>
              <w:spacing w:after="20"/>
              <w:jc w:val="right"/>
            </w:pPr>
            <w:r>
              <w:rPr>
                <w:color w:val="1C3A36"/>
                <w:sz w:val="15"/>
              </w:rPr>
              <w:t>1,210</w:t>
            </w:r>
          </w:p>
        </w:tc>
        <w:tc>
          <w:tcPr>
            <w:tcW w:type="dxa" w:w="1037"/>
          </w:tcPr>
          <w:p>
            <w:pPr>
              <w:spacing w:after="20"/>
              <w:jc w:val="right"/>
            </w:pPr>
            <w:r>
              <w:rPr>
                <w:color w:val="1C3A36"/>
                <w:sz w:val="15"/>
              </w:rPr>
              <w:t>1,150</w:t>
            </w:r>
          </w:p>
        </w:tc>
        <w:tc>
          <w:tcPr>
            <w:tcW w:type="dxa" w:w="1037"/>
          </w:tcPr>
          <w:p>
            <w:pPr>
              <w:spacing w:after="20"/>
              <w:jc w:val="right"/>
            </w:pPr>
            <w:r>
              <w:rPr>
                <w:color w:val="1C3A36"/>
                <w:sz w:val="15"/>
              </w:rPr>
              <w:t>1,090</w:t>
            </w:r>
          </w:p>
        </w:tc>
        <w:tc>
          <w:tcPr>
            <w:tcW w:type="dxa" w:w="1037"/>
          </w:tcPr>
          <w:p>
            <w:pPr>
              <w:spacing w:after="20"/>
              <w:jc w:val="right"/>
            </w:pPr>
            <w:r>
              <w:rPr>
                <w:color w:val="1C3A36"/>
                <w:sz w:val="15"/>
              </w:rPr>
              <w:t>1,030</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152</w:t>
            </w:r>
          </w:p>
        </w:tc>
        <w:tc>
          <w:tcPr>
            <w:tcW w:type="dxa" w:w="1037"/>
          </w:tcPr>
          <w:p>
            <w:pPr>
              <w:spacing w:after="20"/>
              <w:jc w:val="right"/>
            </w:pPr>
            <w:r>
              <w:rPr>
                <w:color w:val="1C3A36"/>
                <w:sz w:val="15"/>
              </w:rPr>
              <w:t>512</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c>
          <w:tcPr>
            <w:tcW w:type="dxa" w:w="1037"/>
          </w:tcPr>
          <w:p>
            <w:pPr>
              <w:spacing w:after="20"/>
              <w:jc w:val="right"/>
            </w:pPr>
            <w:r>
              <w:rPr>
                <w:color w:val="1C3A36"/>
                <w:sz w:val="15"/>
              </w:rPr>
              <w:t>250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1,014</w:t>
            </w:r>
          </w:p>
        </w:tc>
        <w:tc>
          <w:tcPr>
            <w:tcW w:type="dxa" w:w="1037"/>
            <w:shd w:val="clear" w:color="auto" w:fill="F6F1E6"/>
          </w:tcPr>
          <w:p>
            <w:pPr>
              <w:spacing w:after="20"/>
              <w:jc w:val="right"/>
            </w:pPr>
            <w:r>
              <w:rPr>
                <w:b/>
                <w:color w:val="1C3A36"/>
                <w:sz w:val="15"/>
              </w:rPr>
              <w:t>1,260</w:t>
            </w:r>
          </w:p>
        </w:tc>
        <w:tc>
          <w:tcPr>
            <w:tcW w:type="dxa" w:w="1037"/>
            <w:shd w:val="clear" w:color="auto" w:fill="F6F1E6"/>
          </w:tcPr>
          <w:p>
            <w:pPr>
              <w:spacing w:after="20"/>
              <w:jc w:val="right"/>
            </w:pPr>
            <w:r>
              <w:rPr>
                <w:b/>
                <w:color w:val="1C3A36"/>
                <w:sz w:val="15"/>
              </w:rPr>
              <w:t>1,648</w:t>
            </w:r>
          </w:p>
        </w:tc>
        <w:tc>
          <w:tcPr>
            <w:tcW w:type="dxa" w:w="1037"/>
            <w:shd w:val="clear" w:color="auto" w:fill="F6F1E6"/>
          </w:tcPr>
          <w:p>
            <w:pPr>
              <w:spacing w:after="20"/>
              <w:jc w:val="right"/>
            </w:pPr>
            <w:r>
              <w:rPr>
                <w:b/>
                <w:color w:val="1C3A36"/>
                <w:sz w:val="15"/>
              </w:rPr>
              <w:t>2,051</w:t>
            </w:r>
          </w:p>
        </w:tc>
        <w:tc>
          <w:tcPr>
            <w:tcW w:type="dxa" w:w="1037"/>
            <w:shd w:val="clear" w:color="auto" w:fill="F6F1E6"/>
          </w:tcPr>
          <w:p>
            <w:pPr>
              <w:spacing w:after="20"/>
              <w:jc w:val="right"/>
            </w:pPr>
            <w:r>
              <w:rPr>
                <w:b/>
                <w:color w:val="1C3A36"/>
                <w:sz w:val="15"/>
              </w:rPr>
              <w:t>2,437</w:t>
            </w:r>
          </w:p>
        </w:tc>
      </w:tr>
      <w:tr>
        <w:tc>
          <w:tcPr>
            <w:tcW w:type="dxa" w:w="2477"/>
          </w:tcPr>
          <w:p>
            <w:pPr>
              <w:spacing w:after="20"/>
            </w:pPr>
            <w:r>
              <w:rPr>
                <w:color w:val="1C3A36"/>
                <w:sz w:val="15"/>
              </w:rPr>
              <w:t>Attributable earnings per share (EGP)</w:t>
            </w:r>
          </w:p>
        </w:tc>
        <w:tc>
          <w:tcPr>
            <w:tcW w:type="dxa" w:w="1037"/>
          </w:tcPr>
          <w:p>
            <w:pPr>
              <w:spacing w:after="20"/>
              <w:jc w:val="right"/>
            </w:pPr>
            <w:r>
              <w:rPr>
                <w:color w:val="1C3A36"/>
                <w:sz w:val="15"/>
              </w:rPr>
              <w:t>5.53</w:t>
            </w:r>
          </w:p>
        </w:tc>
        <w:tc>
          <w:tcPr>
            <w:tcW w:type="dxa" w:w="1037"/>
          </w:tcPr>
          <w:p>
            <w:pPr>
              <w:spacing w:after="20"/>
              <w:jc w:val="right"/>
            </w:pPr>
            <w:r>
              <w:rPr>
                <w:color w:val="1C3A36"/>
                <w:sz w:val="15"/>
              </w:rPr>
              <w:t>7.37</w:t>
            </w:r>
          </w:p>
        </w:tc>
        <w:tc>
          <w:tcPr>
            <w:tcW w:type="dxa" w:w="1037"/>
          </w:tcPr>
          <w:p>
            <w:pPr>
              <w:spacing w:after="20"/>
              <w:jc w:val="right"/>
            </w:pPr>
            <w:r>
              <w:rPr>
                <w:color w:val="1C3A36"/>
                <w:sz w:val="15"/>
              </w:rPr>
              <w:t>8.90</w:t>
            </w:r>
          </w:p>
        </w:tc>
        <w:tc>
          <w:tcPr>
            <w:tcW w:type="dxa" w:w="1037"/>
          </w:tcPr>
          <w:p>
            <w:pPr>
              <w:spacing w:after="20"/>
              <w:jc w:val="right"/>
            </w:pPr>
            <w:r>
              <w:rPr>
                <w:color w:val="1C3A36"/>
                <w:sz w:val="15"/>
              </w:rPr>
              <w:t>6.01</w:t>
            </w:r>
          </w:p>
        </w:tc>
        <w:tc>
          <w:tcPr>
            <w:tcW w:type="dxa" w:w="1037"/>
          </w:tcPr>
          <w:p>
            <w:pPr>
              <w:spacing w:after="20"/>
              <w:jc w:val="right"/>
            </w:pPr>
            <w:r>
              <w:rPr>
                <w:color w:val="1C3A36"/>
                <w:sz w:val="15"/>
              </w:rPr>
              <w:t>7.46</w:t>
            </w:r>
          </w:p>
        </w:tc>
        <w:tc>
          <w:tcPr>
            <w:tcW w:type="dxa" w:w="1037"/>
          </w:tcPr>
          <w:p>
            <w:pPr>
              <w:spacing w:after="20"/>
              <w:jc w:val="right"/>
            </w:pPr>
            <w:r>
              <w:rPr>
                <w:color w:val="1C3A36"/>
                <w:sz w:val="15"/>
              </w:rPr>
              <w:t>9.77</w:t>
            </w:r>
          </w:p>
        </w:tc>
        <w:tc>
          <w:tcPr>
            <w:tcW w:type="dxa" w:w="1037"/>
          </w:tcPr>
          <w:p>
            <w:pPr>
              <w:spacing w:after="20"/>
              <w:jc w:val="right"/>
            </w:pPr>
            <w:r>
              <w:rPr>
                <w:color w:val="1C3A36"/>
                <w:sz w:val="15"/>
              </w:rPr>
              <w:t>12.15</w:t>
            </w:r>
          </w:p>
        </w:tc>
        <w:tc>
          <w:tcPr>
            <w:tcW w:type="dxa" w:w="1037"/>
          </w:tcPr>
          <w:p>
            <w:pPr>
              <w:spacing w:after="20"/>
              <w:jc w:val="right"/>
            </w:pPr>
            <w:r>
              <w:rPr>
                <w:color w:val="1C3A36"/>
                <w:sz w:val="15"/>
              </w:rPr>
              <w:t>14.44</w:t>
            </w:r>
          </w:p>
        </w:tc>
      </w:tr>
      <w:tr>
        <w:tc>
          <w:tcPr>
            <w:tcW w:type="dxa" w:w="2477"/>
          </w:tcPr>
          <w:p>
            <w:pPr>
              <w:spacing w:after="20"/>
            </w:pPr>
            <w:r>
              <w:rPr>
                <w:color w:val="1C3A36"/>
                <w:sz w:val="15"/>
              </w:rPr>
              <w:t xml:space="preserve">   memorandum: retained after a 40% payout</w:t>
            </w:r>
          </w:p>
        </w:tc>
        <w:tc>
          <w:tcPr>
            <w:tcW w:type="dxa" w:w="1037"/>
          </w:tcPr>
          <w:p>
            <w:pPr>
              <w:spacing w:after="20"/>
              <w:jc w:val="right"/>
            </w:pPr>
            <w:r>
              <w:rPr>
                <w:color w:val="1C3A36"/>
                <w:sz w:val="15"/>
              </w:rPr>
              <w:t>493</w:t>
            </w:r>
          </w:p>
        </w:tc>
        <w:tc>
          <w:tcPr>
            <w:tcW w:type="dxa" w:w="1037"/>
          </w:tcPr>
          <w:p>
            <w:pPr>
              <w:spacing w:after="20"/>
              <w:jc w:val="right"/>
            </w:pPr>
            <w:r>
              <w:rPr>
                <w:color w:val="1C3A36"/>
                <w:sz w:val="15"/>
              </w:rPr>
              <w:t>657</w:t>
            </w:r>
          </w:p>
        </w:tc>
        <w:tc>
          <w:tcPr>
            <w:tcW w:type="dxa" w:w="1037"/>
          </w:tcPr>
          <w:p>
            <w:pPr>
              <w:spacing w:after="20"/>
              <w:jc w:val="right"/>
            </w:pPr>
            <w:r>
              <w:rPr>
                <w:color w:val="1C3A36"/>
                <w:sz w:val="15"/>
              </w:rPr>
              <w:t>865</w:t>
            </w:r>
          </w:p>
        </w:tc>
        <w:tc>
          <w:tcPr>
            <w:tcW w:type="dxa" w:w="1037"/>
          </w:tcPr>
          <w:p>
            <w:pPr>
              <w:spacing w:after="20"/>
              <w:jc w:val="right"/>
            </w:pPr>
            <w:r>
              <w:rPr>
                <w:color w:val="1C3A36"/>
                <w:sz w:val="15"/>
              </w:rPr>
              <w:t>608</w:t>
            </w:r>
          </w:p>
        </w:tc>
        <w:tc>
          <w:tcPr>
            <w:tcW w:type="dxa" w:w="1037"/>
          </w:tcPr>
          <w:p>
            <w:pPr>
              <w:spacing w:after="20"/>
              <w:jc w:val="right"/>
            </w:pPr>
            <w:r>
              <w:rPr>
                <w:color w:val="1C3A36"/>
                <w:sz w:val="15"/>
              </w:rPr>
              <w:t>756</w:t>
            </w:r>
          </w:p>
        </w:tc>
        <w:tc>
          <w:tcPr>
            <w:tcW w:type="dxa" w:w="1037"/>
          </w:tcPr>
          <w:p>
            <w:pPr>
              <w:spacing w:after="20"/>
              <w:jc w:val="right"/>
            </w:pPr>
            <w:r>
              <w:rPr>
                <w:color w:val="1C3A36"/>
                <w:sz w:val="15"/>
              </w:rPr>
              <w:t>989</w:t>
            </w:r>
          </w:p>
        </w:tc>
        <w:tc>
          <w:tcPr>
            <w:tcW w:type="dxa" w:w="1037"/>
          </w:tcPr>
          <w:p>
            <w:pPr>
              <w:spacing w:after="20"/>
              <w:jc w:val="right"/>
            </w:pPr>
            <w:r>
              <w:rPr>
                <w:color w:val="1C3A36"/>
                <w:sz w:val="15"/>
              </w:rPr>
              <w:t>1,231</w:t>
            </w:r>
          </w:p>
        </w:tc>
        <w:tc>
          <w:tcPr>
            <w:tcW w:type="dxa" w:w="1037"/>
          </w:tcPr>
          <w:p>
            <w:pPr>
              <w:spacing w:after="20"/>
              <w:jc w:val="right"/>
            </w:pPr>
            <w:r>
              <w:rPr>
                <w:color w:val="1C3A36"/>
                <w:sz w:val="15"/>
              </w:rPr>
              <w:t>1,462</w:t>
            </w:r>
          </w:p>
        </w:tc>
      </w:tr>
    </w:tbl>
    <w:p>
      <w:pPr>
        <w:spacing w:after="40"/>
      </w:pPr>
    </w:p>
    <w:p>
      <w:pPr>
        <w:spacing w:after="200" w:before="0"/>
      </w:pPr>
      <w:r>
        <w:rPr>
          <w:b w:val="0"/>
          <w:i/>
          <w:color w:val="6E7B77"/>
          <w:sz w:val="17"/>
        </w:rPr>
        <w:t>Table 20 — three audited years and five forecast years. Every forecast line is the model row the valuation itself uses. The attributable-profit line is attributable profit; the retained portion is a separate memorandum line beneath it, because the equity roll-forward in Appendix A.2 needs it. The finance-cost line is the charge the model carries, calibrated to the first quarter of 2026 — it is not the marginal cost of debt used in the discount rate, which is a different and higher forward rate. Earnings per share for FY2023 and FY2024 use the 148.76 million shares then in issue and FY2025 uses the audited weighted average of 162.02 million; the forecast columns use the 168.76 million now in issue.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6,174</w:t>
            </w:r>
          </w:p>
        </w:tc>
        <w:tc>
          <w:tcPr>
            <w:tcW w:type="dxa" w:w="1037"/>
          </w:tcPr>
          <w:p>
            <w:pPr>
              <w:spacing w:after="20"/>
              <w:jc w:val="right"/>
            </w:pPr>
            <w:r>
              <w:rPr>
                <w:color w:val="1C3A36"/>
                <w:sz w:val="15"/>
              </w:rPr>
              <w:t>6,857</w:t>
            </w:r>
          </w:p>
        </w:tc>
        <w:tc>
          <w:tcPr>
            <w:tcW w:type="dxa" w:w="1037"/>
          </w:tcPr>
          <w:p>
            <w:pPr>
              <w:spacing w:after="20"/>
              <w:jc w:val="right"/>
            </w:pPr>
            <w:r>
              <w:rPr>
                <w:color w:val="1C3A36"/>
                <w:sz w:val="15"/>
              </w:rPr>
              <w:t>6,820</w:t>
            </w:r>
          </w:p>
        </w:tc>
        <w:tc>
          <w:tcPr>
            <w:tcW w:type="dxa" w:w="1037"/>
          </w:tcPr>
          <w:p>
            <w:pPr>
              <w:spacing w:after="20"/>
              <w:jc w:val="right"/>
            </w:pPr>
            <w:r>
              <w:rPr>
                <w:color w:val="1C3A36"/>
                <w:sz w:val="15"/>
              </w:rPr>
              <w:t>6,591</w:t>
            </w:r>
          </w:p>
        </w:tc>
        <w:tc>
          <w:tcPr>
            <w:tcW w:type="dxa" w:w="1037"/>
          </w:tcPr>
          <w:p>
            <w:pPr>
              <w:spacing w:after="20"/>
              <w:jc w:val="right"/>
            </w:pPr>
            <w:r>
              <w:rPr>
                <w:color w:val="1C3A36"/>
                <w:sz w:val="15"/>
              </w:rPr>
              <w:t>6,376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2,799</w:t>
            </w:r>
          </w:p>
        </w:tc>
        <w:tc>
          <w:tcPr>
            <w:tcW w:type="dxa" w:w="1037"/>
          </w:tcPr>
          <w:p>
            <w:pPr>
              <w:spacing w:after="20"/>
              <w:jc w:val="right"/>
            </w:pPr>
            <w:r>
              <w:rPr>
                <w:color w:val="1C3A36"/>
                <w:sz w:val="15"/>
              </w:rPr>
              <w:t>2,241</w:t>
            </w:r>
          </w:p>
        </w:tc>
        <w:tc>
          <w:tcPr>
            <w:tcW w:type="dxa" w:w="1037"/>
          </w:tcPr>
          <w:p>
            <w:pPr>
              <w:spacing w:after="20"/>
              <w:jc w:val="right"/>
            </w:pPr>
            <w:r>
              <w:rPr>
                <w:color w:val="1C3A36"/>
                <w:sz w:val="15"/>
              </w:rPr>
              <w:t>2,325</w:t>
            </w:r>
          </w:p>
        </w:tc>
        <w:tc>
          <w:tcPr>
            <w:tcW w:type="dxa" w:w="1037"/>
          </w:tcPr>
          <w:p>
            <w:pPr>
              <w:spacing w:after="20"/>
              <w:jc w:val="right"/>
            </w:pPr>
            <w:r>
              <w:rPr>
                <w:color w:val="1C3A36"/>
                <w:sz w:val="15"/>
              </w:rPr>
              <w:t>2,625</w:t>
            </w:r>
          </w:p>
        </w:tc>
        <w:tc>
          <w:tcPr>
            <w:tcW w:type="dxa" w:w="1037"/>
          </w:tcPr>
          <w:p>
            <w:pPr>
              <w:spacing w:after="20"/>
              <w:jc w:val="right"/>
            </w:pPr>
            <w:r>
              <w:rPr>
                <w:color w:val="1C3A36"/>
                <w:sz w:val="15"/>
              </w:rPr>
              <w:t>2,947</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4,422</w:t>
            </w:r>
          </w:p>
        </w:tc>
        <w:tc>
          <w:tcPr>
            <w:tcW w:type="dxa" w:w="1037"/>
          </w:tcPr>
          <w:p>
            <w:pPr>
              <w:spacing w:after="20"/>
              <w:jc w:val="right"/>
            </w:pPr>
            <w:r>
              <w:rPr>
                <w:color w:val="1C3A36"/>
                <w:sz w:val="15"/>
              </w:rPr>
              <w:t>5,050</w:t>
            </w:r>
          </w:p>
        </w:tc>
        <w:tc>
          <w:tcPr>
            <w:tcW w:type="dxa" w:w="1037"/>
          </w:tcPr>
          <w:p>
            <w:pPr>
              <w:spacing w:after="20"/>
              <w:jc w:val="right"/>
            </w:pPr>
            <w:r>
              <w:rPr>
                <w:color w:val="1C3A36"/>
                <w:sz w:val="15"/>
              </w:rPr>
              <w:t>5,598</w:t>
            </w:r>
          </w:p>
        </w:tc>
        <w:tc>
          <w:tcPr>
            <w:tcW w:type="dxa" w:w="1037"/>
          </w:tcPr>
          <w:p>
            <w:pPr>
              <w:spacing w:after="20"/>
              <w:jc w:val="right"/>
            </w:pPr>
            <w:r>
              <w:rPr>
                <w:color w:val="1C3A36"/>
                <w:sz w:val="15"/>
              </w:rPr>
              <w:t>6,173</w:t>
            </w:r>
          </w:p>
        </w:tc>
        <w:tc>
          <w:tcPr>
            <w:tcW w:type="dxa" w:w="1037"/>
          </w:tcPr>
          <w:p>
            <w:pPr>
              <w:spacing w:after="20"/>
              <w:jc w:val="right"/>
            </w:pPr>
            <w:r>
              <w:rPr>
                <w:color w:val="1C3A36"/>
                <w:sz w:val="15"/>
              </w:rPr>
              <w:t>6,719</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4,024</w:t>
            </w:r>
          </w:p>
        </w:tc>
        <w:tc>
          <w:tcPr>
            <w:tcW w:type="dxa" w:w="1037"/>
          </w:tcPr>
          <w:p>
            <w:pPr>
              <w:spacing w:after="20"/>
              <w:jc w:val="right"/>
            </w:pPr>
            <w:r>
              <w:rPr>
                <w:color w:val="1C3A36"/>
                <w:sz w:val="15"/>
              </w:rPr>
              <w:t>4,470</w:t>
            </w:r>
          </w:p>
        </w:tc>
        <w:tc>
          <w:tcPr>
            <w:tcW w:type="dxa" w:w="1037"/>
          </w:tcPr>
          <w:p>
            <w:pPr>
              <w:spacing w:after="20"/>
              <w:jc w:val="right"/>
            </w:pPr>
            <w:r>
              <w:rPr>
                <w:color w:val="1C3A36"/>
                <w:sz w:val="15"/>
              </w:rPr>
              <w:t>4,927</w:t>
            </w:r>
          </w:p>
        </w:tc>
        <w:tc>
          <w:tcPr>
            <w:tcW w:type="dxa" w:w="1037"/>
          </w:tcPr>
          <w:p>
            <w:pPr>
              <w:spacing w:after="20"/>
              <w:jc w:val="right"/>
            </w:pPr>
            <w:r>
              <w:rPr>
                <w:color w:val="1C3A36"/>
                <w:sz w:val="15"/>
              </w:rPr>
              <w:t>5,341</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918</w:t>
            </w:r>
          </w:p>
        </w:tc>
        <w:tc>
          <w:tcPr>
            <w:tcW w:type="dxa" w:w="1037"/>
          </w:tcPr>
          <w:p>
            <w:pPr>
              <w:spacing w:after="20"/>
              <w:jc w:val="right"/>
            </w:pPr>
            <w:r>
              <w:rPr>
                <w:color w:val="1C3A36"/>
                <w:sz w:val="15"/>
              </w:rPr>
              <w:t>1,096</w:t>
            </w:r>
          </w:p>
        </w:tc>
        <w:tc>
          <w:tcPr>
            <w:tcW w:type="dxa" w:w="1037"/>
          </w:tcPr>
          <w:p>
            <w:pPr>
              <w:spacing w:after="20"/>
              <w:jc w:val="right"/>
            </w:pPr>
            <w:r>
              <w:rPr>
                <w:color w:val="1C3A36"/>
                <w:sz w:val="15"/>
              </w:rPr>
              <w:t>1,276</w:t>
            </w:r>
          </w:p>
        </w:tc>
        <w:tc>
          <w:tcPr>
            <w:tcW w:type="dxa" w:w="1037"/>
          </w:tcPr>
          <w:p>
            <w:pPr>
              <w:spacing w:after="20"/>
              <w:jc w:val="right"/>
            </w:pPr>
            <w:r>
              <w:rPr>
                <w:color w:val="1C3A36"/>
                <w:sz w:val="15"/>
              </w:rPr>
              <w:t>1,461</w:t>
            </w:r>
          </w:p>
        </w:tc>
        <w:tc>
          <w:tcPr>
            <w:tcW w:type="dxa" w:w="1037"/>
          </w:tcPr>
          <w:p>
            <w:pPr>
              <w:spacing w:after="20"/>
              <w:jc w:val="right"/>
            </w:pPr>
            <w:r>
              <w:rPr>
                <w:color w:val="1C3A36"/>
                <w:sz w:val="15"/>
              </w:rPr>
              <w:t>1,624</w:t>
            </w:r>
          </w:p>
        </w:tc>
      </w:tr>
      <w:tr>
        <w:tc>
          <w:tcPr>
            <w:tcW w:type="dxa" w:w="2477"/>
          </w:tcPr>
          <w:p>
            <w:pPr>
              <w:spacing w:after="20"/>
            </w:pPr>
            <w:r>
              <w:rPr>
                <w:color w:val="1C3A36"/>
                <w:sz w:val="15"/>
              </w:rPr>
              <w:t>Gross borrowings (the funding plug)</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10,065</w:t>
            </w:r>
          </w:p>
        </w:tc>
        <w:tc>
          <w:tcPr>
            <w:tcW w:type="dxa" w:w="1037"/>
          </w:tcPr>
          <w:p>
            <w:pPr>
              <w:spacing w:after="20"/>
              <w:jc w:val="right"/>
            </w:pPr>
            <w:r>
              <w:rPr>
                <w:color w:val="1C3A36"/>
                <w:sz w:val="15"/>
              </w:rPr>
              <w:t>10,203</w:t>
            </w:r>
          </w:p>
        </w:tc>
        <w:tc>
          <w:tcPr>
            <w:tcW w:type="dxa" w:w="1037"/>
          </w:tcPr>
          <w:p>
            <w:pPr>
              <w:spacing w:after="20"/>
              <w:jc w:val="right"/>
            </w:pPr>
            <w:r>
              <w:rPr>
                <w:color w:val="1C3A36"/>
                <w:sz w:val="15"/>
              </w:rPr>
              <w:t>9,943</w:t>
            </w:r>
          </w:p>
        </w:tc>
        <w:tc>
          <w:tcPr>
            <w:tcW w:type="dxa" w:w="1037"/>
          </w:tcPr>
          <w:p>
            <w:pPr>
              <w:spacing w:after="20"/>
              <w:jc w:val="right"/>
            </w:pPr>
            <w:r>
              <w:rPr>
                <w:color w:val="1C3A36"/>
                <w:sz w:val="15"/>
              </w:rPr>
              <w:t>9,499</w:t>
            </w:r>
          </w:p>
        </w:tc>
        <w:tc>
          <w:tcPr>
            <w:tcW w:type="dxa" w:w="1037"/>
          </w:tcPr>
          <w:p>
            <w:pPr>
              <w:spacing w:after="20"/>
              <w:jc w:val="right"/>
            </w:pPr>
            <w:r>
              <w:rPr>
                <w:color w:val="1C3A36"/>
                <w:sz w:val="15"/>
              </w:rPr>
              <w:t>8,813</w:t>
            </w:r>
          </w:p>
        </w:tc>
      </w:tr>
      <w:tr>
        <w:tc>
          <w:tcPr>
            <w:tcW w:type="dxa" w:w="2477"/>
          </w:tcPr>
          <w:p>
            <w:pPr>
              <w:spacing w:after="20"/>
            </w:pPr>
            <w:r>
              <w:rPr>
                <w:color w:val="1C3A36"/>
                <w:sz w:val="15"/>
              </w:rPr>
              <w:t>Net debt</w:t>
            </w:r>
          </w:p>
        </w:tc>
        <w:tc>
          <w:tcPr>
            <w:tcW w:type="dxa" w:w="1037"/>
          </w:tcPr>
          <w:p>
            <w:pPr>
              <w:spacing w:after="20"/>
              <w:jc w:val="right"/>
            </w:pPr>
            <w:r>
              <w:rPr>
                <w:color w:val="1C3A36"/>
                <w:sz w:val="15"/>
              </w:rPr>
              <w:t>4,204</w:t>
            </w:r>
          </w:p>
        </w:tc>
        <w:tc>
          <w:tcPr>
            <w:tcW w:type="dxa" w:w="1037"/>
          </w:tcPr>
          <w:p>
            <w:pPr>
              <w:spacing w:after="20"/>
              <w:jc w:val="right"/>
            </w:pPr>
            <w:r>
              <w:rPr>
                <w:color w:val="1C3A36"/>
                <w:sz w:val="15"/>
              </w:rPr>
              <w:t>7,905</w:t>
            </w:r>
          </w:p>
        </w:tc>
        <w:tc>
          <w:tcPr>
            <w:tcW w:type="dxa" w:w="1037"/>
          </w:tcPr>
          <w:p>
            <w:pPr>
              <w:spacing w:after="20"/>
              <w:jc w:val="right"/>
            </w:pPr>
            <w:r>
              <w:rPr>
                <w:color w:val="1C3A36"/>
                <w:sz w:val="15"/>
              </w:rPr>
              <w:t>7,364</w:t>
            </w:r>
          </w:p>
        </w:tc>
        <w:tc>
          <w:tcPr>
            <w:tcW w:type="dxa" w:w="1037"/>
          </w:tcPr>
          <w:p>
            <w:pPr>
              <w:spacing w:after="20"/>
              <w:jc w:val="right"/>
            </w:pPr>
            <w:r>
              <w:rPr>
                <w:color w:val="1C3A36"/>
                <w:sz w:val="15"/>
              </w:rPr>
              <w:t>8,632</w:t>
            </w:r>
          </w:p>
        </w:tc>
        <w:tc>
          <w:tcPr>
            <w:tcW w:type="dxa" w:w="1037"/>
          </w:tcPr>
          <w:p>
            <w:pPr>
              <w:spacing w:after="20"/>
              <w:jc w:val="right"/>
            </w:pPr>
            <w:r>
              <w:rPr>
                <w:color w:val="1C3A36"/>
                <w:sz w:val="15"/>
              </w:rPr>
              <w:t>8,769</w:t>
            </w:r>
          </w:p>
        </w:tc>
        <w:tc>
          <w:tcPr>
            <w:tcW w:type="dxa" w:w="1037"/>
          </w:tcPr>
          <w:p>
            <w:pPr>
              <w:spacing w:after="20"/>
              <w:jc w:val="right"/>
            </w:pPr>
            <w:r>
              <w:rPr>
                <w:color w:val="1C3A36"/>
                <w:sz w:val="15"/>
              </w:rPr>
              <w:t>8,510</w:t>
            </w:r>
          </w:p>
        </w:tc>
        <w:tc>
          <w:tcPr>
            <w:tcW w:type="dxa" w:w="1037"/>
          </w:tcPr>
          <w:p>
            <w:pPr>
              <w:spacing w:after="20"/>
              <w:jc w:val="right"/>
            </w:pPr>
            <w:r>
              <w:rPr>
                <w:color w:val="1C3A36"/>
                <w:sz w:val="15"/>
              </w:rPr>
              <w:t>8,066</w:t>
            </w:r>
          </w:p>
        </w:tc>
        <w:tc>
          <w:tcPr>
            <w:tcW w:type="dxa" w:w="1037"/>
          </w:tcPr>
          <w:p>
            <w:pPr>
              <w:spacing w:after="20"/>
              <w:jc w:val="right"/>
            </w:pPr>
            <w:r>
              <w:rPr>
                <w:color w:val="1C3A36"/>
                <w:sz w:val="15"/>
              </w:rPr>
              <w:t>7,380</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6,851</w:t>
            </w:r>
          </w:p>
        </w:tc>
        <w:tc>
          <w:tcPr>
            <w:tcW w:type="dxa" w:w="1037"/>
          </w:tcPr>
          <w:p>
            <w:pPr>
              <w:spacing w:after="20"/>
              <w:jc w:val="right"/>
            </w:pPr>
            <w:r>
              <w:rPr>
                <w:color w:val="1C3A36"/>
                <w:sz w:val="15"/>
              </w:rPr>
              <w:t>7,607</w:t>
            </w:r>
          </w:p>
        </w:tc>
        <w:tc>
          <w:tcPr>
            <w:tcW w:type="dxa" w:w="1037"/>
          </w:tcPr>
          <w:p>
            <w:pPr>
              <w:spacing w:after="20"/>
              <w:jc w:val="right"/>
            </w:pPr>
            <w:r>
              <w:rPr>
                <w:color w:val="1C3A36"/>
                <w:sz w:val="15"/>
              </w:rPr>
              <w:t>8,596</w:t>
            </w:r>
          </w:p>
        </w:tc>
        <w:tc>
          <w:tcPr>
            <w:tcW w:type="dxa" w:w="1037"/>
          </w:tcPr>
          <w:p>
            <w:pPr>
              <w:spacing w:after="20"/>
              <w:jc w:val="right"/>
            </w:pPr>
            <w:r>
              <w:rPr>
                <w:color w:val="1C3A36"/>
                <w:sz w:val="15"/>
              </w:rPr>
              <w:t>9,827</w:t>
            </w:r>
          </w:p>
        </w:tc>
        <w:tc>
          <w:tcPr>
            <w:tcW w:type="dxa" w:w="1037"/>
          </w:tcPr>
          <w:p>
            <w:pPr>
              <w:spacing w:after="20"/>
              <w:jc w:val="right"/>
            </w:pPr>
            <w:r>
              <w:rPr>
                <w:color w:val="1C3A36"/>
                <w:sz w:val="15"/>
              </w:rPr>
              <w:t>11,289</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40.60</w:t>
            </w:r>
          </w:p>
        </w:tc>
        <w:tc>
          <w:tcPr>
            <w:tcW w:type="dxa" w:w="1037"/>
            <w:shd w:val="clear" w:color="auto" w:fill="F6F1E6"/>
          </w:tcPr>
          <w:p>
            <w:pPr>
              <w:spacing w:after="20"/>
              <w:jc w:val="right"/>
            </w:pPr>
            <w:r>
              <w:rPr>
                <w:b/>
                <w:color w:val="1C3A36"/>
                <w:sz w:val="15"/>
              </w:rPr>
              <w:t>45.08</w:t>
            </w:r>
          </w:p>
        </w:tc>
        <w:tc>
          <w:tcPr>
            <w:tcW w:type="dxa" w:w="1037"/>
            <w:shd w:val="clear" w:color="auto" w:fill="F6F1E6"/>
          </w:tcPr>
          <w:p>
            <w:pPr>
              <w:spacing w:after="20"/>
              <w:jc w:val="right"/>
            </w:pPr>
            <w:r>
              <w:rPr>
                <w:b/>
                <w:color w:val="1C3A36"/>
                <w:sz w:val="15"/>
              </w:rPr>
              <w:t>50.94</w:t>
            </w:r>
          </w:p>
        </w:tc>
        <w:tc>
          <w:tcPr>
            <w:tcW w:type="dxa" w:w="1037"/>
            <w:shd w:val="clear" w:color="auto" w:fill="F6F1E6"/>
          </w:tcPr>
          <w:p>
            <w:pPr>
              <w:spacing w:after="20"/>
              <w:jc w:val="right"/>
            </w:pPr>
            <w:r>
              <w:rPr>
                <w:b/>
                <w:color w:val="1C3A36"/>
                <w:sz w:val="15"/>
              </w:rPr>
              <w:t>58.23</w:t>
            </w:r>
          </w:p>
        </w:tc>
        <w:tc>
          <w:tcPr>
            <w:tcW w:type="dxa" w:w="1037"/>
            <w:shd w:val="clear" w:color="auto" w:fill="F6F1E6"/>
          </w:tcPr>
          <w:p>
            <w:pPr>
              <w:spacing w:after="20"/>
              <w:jc w:val="right"/>
            </w:pPr>
            <w:r>
              <w:rPr>
                <w:b/>
                <w:color w:val="1C3A36"/>
                <w:sz w:val="15"/>
              </w:rPr>
              <w:t>66.89</w:t>
            </w:r>
          </w:p>
        </w:tc>
      </w:tr>
    </w:tbl>
    <w:p>
      <w:pPr>
        <w:spacing w:after="40"/>
      </w:pPr>
    </w:p>
    <w:p>
      <w:pPr>
        <w:spacing w:after="200" w:before="0"/>
      </w:pPr>
      <w:r>
        <w:rPr>
          <w:b w:val="0"/>
          <w:i/>
          <w:color w:val="6E7B77"/>
          <w:sz w:val="17"/>
        </w:rPr>
        <w:t>Table 21 — the balance sheet, WHICH BALANCES. The property and construction lines roll forward on the transfer schedule and working capital is projected from the disclosed day ratios; cash is held at the audited operating minimum and gross borrowings carry whatever the asset side needs that trade credit, provisions and equity do not supply. The first edition froze cash AND borrowings for five years while equity compounded, which left the forecast columns out by up to 6.6% of total assets with no check row to show it. Borrowings therefore RISE before they fall: the working-capital build and the first year's capital spending are debt-funded while a 40% payout continues. The lines above are a summary; the full statement, a total liabilities-and-equity row and an explicit balance-check row are in the accompanying model, where the check reads zero in every forecast column and carries residuals of −4.1, +0.2 and +0.4 million in the three audited columns — under 0.05% of total assets, from grouping the filed statement into these captions.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1,298</w:t>
            </w:r>
          </w:p>
        </w:tc>
        <w:tc>
          <w:tcPr>
            <w:tcW w:type="dxa" w:w="1224"/>
          </w:tcPr>
          <w:p>
            <w:pPr>
              <w:spacing w:after="20"/>
              <w:jc w:val="right"/>
            </w:pPr>
            <w:r>
              <w:rPr>
                <w:color w:val="1C3A36"/>
                <w:sz w:val="16"/>
              </w:rPr>
              <w:t>542</w:t>
            </w:r>
          </w:p>
        </w:tc>
        <w:tc>
          <w:tcPr>
            <w:tcW w:type="dxa" w:w="1224"/>
          </w:tcPr>
          <w:p>
            <w:pPr>
              <w:spacing w:after="20"/>
              <w:jc w:val="right"/>
            </w:pPr>
            <w:r>
              <w:rPr>
                <w:color w:val="1C3A36"/>
                <w:sz w:val="16"/>
              </w:rPr>
              <w:t>484</w:t>
            </w:r>
          </w:p>
        </w:tc>
        <w:tc>
          <w:tcPr>
            <w:tcW w:type="dxa" w:w="1224"/>
          </w:tcPr>
          <w:p>
            <w:pPr>
              <w:spacing w:after="20"/>
              <w:jc w:val="right"/>
            </w:pPr>
            <w:r>
              <w:rPr>
                <w:color w:val="1C3A36"/>
                <w:sz w:val="16"/>
              </w:rPr>
              <w:t>500</w:t>
            </w:r>
          </w:p>
        </w:tc>
        <w:tc>
          <w:tcPr>
            <w:tcW w:type="dxa" w:w="1224"/>
          </w:tcPr>
          <w:p>
            <w:pPr>
              <w:spacing w:after="20"/>
              <w:jc w:val="right"/>
            </w:pPr>
            <w:r>
              <w:rPr>
                <w:color w:val="1C3A36"/>
                <w:sz w:val="16"/>
              </w:rPr>
              <w:t>522</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156</w:t>
            </w:r>
          </w:p>
        </w:tc>
        <w:tc>
          <w:tcPr>
            <w:tcW w:type="dxa" w:w="1224"/>
          </w:tcPr>
          <w:p>
            <w:pPr>
              <w:spacing w:after="20"/>
              <w:jc w:val="right"/>
            </w:pPr>
            <w:r>
              <w:rPr>
                <w:color w:val="1C3A36"/>
                <w:sz w:val="16"/>
              </w:rPr>
              <w:t>1,068</w:t>
            </w:r>
          </w:p>
        </w:tc>
        <w:tc>
          <w:tcPr>
            <w:tcW w:type="dxa" w:w="1224"/>
          </w:tcPr>
          <w:p>
            <w:pPr>
              <w:spacing w:after="20"/>
              <w:jc w:val="right"/>
            </w:pPr>
            <w:r>
              <w:rPr>
                <w:color w:val="1C3A36"/>
                <w:sz w:val="16"/>
              </w:rPr>
              <w:t>1,575</w:t>
            </w:r>
          </w:p>
        </w:tc>
        <w:tc>
          <w:tcPr>
            <w:tcW w:type="dxa" w:w="1224"/>
          </w:tcPr>
          <w:p>
            <w:pPr>
              <w:spacing w:after="20"/>
              <w:jc w:val="right"/>
            </w:pPr>
            <w:r>
              <w:rPr>
                <w:color w:val="1C3A36"/>
                <w:sz w:val="16"/>
              </w:rPr>
              <w:t>1,874</w:t>
            </w:r>
          </w:p>
        </w:tc>
        <w:tc>
          <w:tcPr>
            <w:tcW w:type="dxa" w:w="1224"/>
          </w:tcPr>
          <w:p>
            <w:pPr>
              <w:spacing w:after="20"/>
              <w:jc w:val="right"/>
            </w:pPr>
            <w:r>
              <w:rPr>
                <w:color w:val="1C3A36"/>
                <w:sz w:val="16"/>
              </w:rPr>
              <w:t>2,225</w:t>
            </w:r>
          </w:p>
        </w:tc>
      </w:tr>
    </w:tbl>
    <w:p>
      <w:pPr>
        <w:spacing w:after="40"/>
      </w:pPr>
    </w:p>
    <w:p>
      <w:pPr>
        <w:spacing w:after="200" w:before="0"/>
      </w:pPr>
      <w:r>
        <w:rPr>
          <w:b w:val="0"/>
          <w:i/>
          <w:color w:val="6E7B77"/>
          <w:sz w:val="17"/>
        </w:rPr>
        <w:t>Table 22 — the asset-conversion cycle, projected rather than plugged. The 268-day inventory position is a stated policy: the company holds a strategic raw-material stockpile it says covers at least eight months.</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STRUCK REFERENCE USED — the midpoint of the two observations above</w:t>
            </w:r>
          </w:p>
        </w:tc>
        <w:tc>
          <w:tcPr>
            <w:tcW w:type="dxa" w:w="1152"/>
          </w:tcPr>
          <w:p>
            <w:pPr>
              <w:spacing w:after="20"/>
              <w:jc w:val="right"/>
            </w:pPr>
            <w:r>
              <w:rPr>
                <w:color w:val="1C3A36"/>
                <w:sz w:val="16"/>
              </w:rPr>
              <w:t>21.35x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 NOT a median of a disclosed peer set: only the two observations above are disclosed, the companies are not named, and this multiple therefore cannot be rebuilt from their filings</w:t>
            </w:r>
          </w:p>
        </w:tc>
      </w:tr>
      <w:tr>
        <w:tc>
          <w:tcPr>
            <w:tcW w:type="dxa" w:w="3456"/>
          </w:tcPr>
          <w:p>
            <w:pPr>
              <w:spacing w:after="20"/>
            </w:pPr>
            <w:r>
              <w:rPr>
                <w:color w:val="1C3A36"/>
                <w:sz w:val="16"/>
              </w:rPr>
              <w:t>EIPICO today, on shares in issue</w:t>
            </w:r>
          </w:p>
        </w:tc>
        <w:tc>
          <w:tcPr>
            <w:tcW w:type="dxa" w:w="1152"/>
          </w:tcPr>
          <w:p>
            <w:pPr>
              <w:spacing w:after="20"/>
              <w:jc w:val="right"/>
            </w:pPr>
            <w:r>
              <w:rPr>
                <w:color w:val="1C3A36"/>
                <w:sz w:val="16"/>
              </w:rPr>
              <w:t>15.22x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today, on the FY2025 weighted-average count</w:t>
            </w:r>
          </w:p>
        </w:tc>
        <w:tc>
          <w:tcPr>
            <w:tcW w:type="dxa" w:w="1152"/>
          </w:tcPr>
          <w:p>
            <w:pPr>
              <w:spacing w:after="20"/>
              <w:jc w:val="right"/>
            </w:pPr>
            <w:r>
              <w:rPr>
                <w:color w:val="1C3A36"/>
                <w:sz w:val="16"/>
              </w:rPr>
              <w:t>14.62x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same profit over the audited weighted average of 162.02 million shares. Both readings are published</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6.57x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second leg of the relative lens</w:t>
            </w:r>
          </w:p>
        </w:tc>
      </w:tr>
    </w:tbl>
    <w:p>
      <w:pPr>
        <w:spacing w:after="40"/>
      </w:pPr>
    </w:p>
    <w:p>
      <w:pPr>
        <w:spacing w:after="200" w:before="0"/>
      </w:pPr>
      <w:r>
        <w:rPr>
          <w:b w:val="0"/>
          <w:i/>
          <w:color w:val="6E7B77"/>
          <w:sz w:val="17"/>
        </w:rPr>
        <w:t>Table 23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the imported active ingredient plus the imported SHARE of packaging are 68.4% of the disclosed cost stack against a 32% export share — a weaker pound is net negative here. Counting the WHOLE packaging line as imported would give 79.4%, which the group's own primary-packaging manufacture rules out</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5.25% of revenue permanently; this is Frame A, and it is already the more conservative of the two published cases. A charge at the three-year mean of 6.52% instead would put Frame A at EGP 51.29 a share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74%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3,671</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2,073</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13.56% − 5% = 8.56%</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24,214</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10,645</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14,316</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2,991</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(7,368)</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9,939</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58.90</w:t>
            </w:r>
          </w:p>
        </w:tc>
      </w:tr>
    </w:tbl>
    <w:p>
      <w:pPr>
        <w:spacing w:after="40"/>
      </w:pPr>
    </w:p>
    <w:p>
      <w:pPr>
        <w:spacing w:after="120" w:before="0"/>
      </w:pPr>
      <w:r>
        <w:rPr>
          <w:b w:val="0"/>
          <w:i w:val="0"/>
          <w:color w:val="1C3A36"/>
          <w:sz w:val="21"/>
        </w:rPr>
        <w:t>Named sensitivity: the terminal discount rate. Every 100 basis points on it is worth roughly EGP 7 a share. At 74% terminal weight, this expert is mostly forecasting one number.</w:t>
      </w:r>
    </w:p>
    <w:p>
      <w:pPr>
        <w:spacing w:after="120" w:before="0"/>
      </w:pPr>
      <w:r>
        <w:rPr>
          <w:b w:val="0"/>
          <w:i w:val="0"/>
          <w:color w:val="1C3A36"/>
          <w:sz w:val="21"/>
        </w:rPr>
        <w:t>Falsifier, stated in advance: "If free cash flow to the firm in FY2027 comes in below EGP 748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21.9%</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14.90%</w:t>
            </w:r>
          </w:p>
        </w:tc>
      </w:tr>
      <w:tr>
        <w:tc>
          <w:tcPr>
            <w:tcW w:type="dxa" w:w="6624"/>
          </w:tcPr>
          <w:p>
            <w:pPr>
              <w:spacing w:after="20"/>
            </w:pPr>
            <w:r>
              <w:rPr>
                <w:color w:val="1C3A36"/>
                <w:sz w:val="17"/>
              </w:rPr>
              <w:t>Growth</w:t>
            </w:r>
          </w:p>
        </w:tc>
        <w:tc>
          <w:tcPr>
            <w:tcW w:type="dxa" w:w="2448"/>
          </w:tcPr>
          <w:p>
            <w:pPr>
              <w:spacing w:after="20"/>
              <w:jc w:val="right"/>
            </w:pPr>
            <w:r>
              <w:rPr>
                <w:color w:val="1C3A36"/>
                <w:sz w:val="17"/>
              </w:rPr>
              <w:t>5%</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1.71x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63.12</w:t>
            </w:r>
          </w:p>
        </w:tc>
      </w:tr>
    </w:tbl>
    <w:p>
      <w:pPr>
        <w:spacing w:after="40"/>
      </w:pPr>
    </w:p>
    <w:p>
      <w:pPr>
        <w:spacing w:after="120" w:before="0"/>
      </w:pPr>
      <w:r>
        <w:rPr>
          <w:b w:val="0"/>
          <w:i w:val="0"/>
          <w:color w:val="1C3A36"/>
          <w:sz w:val="21"/>
        </w:rPr>
        <w:t>Named sensitivity: the sustainable return. If it settles at 20% rather than 21.9%, the justified multiple falls to 1.51 times and the value to EGP 56.04 a share.</w:t>
      </w:r>
    </w:p>
    <w:p>
      <w:pPr>
        <w:spacing w:after="120" w:before="0"/>
      </w:pPr>
      <w:r>
        <w:rPr>
          <w:b w:val="0"/>
          <w:i w:val="0"/>
          <w:color w:val="1C3A36"/>
          <w:sz w:val="21"/>
        </w:rPr>
        <w:t>Falsifier: "If return on average equity falls below 18% in either FY2026 or FY2027, the 21.9%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21.9%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130.05</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58.90</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71.15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12,008m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6,849m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28%</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119m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1.19x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130.05</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8,805 million, or USD 153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published grid across a plausible terminal cost of equity and growth combination runs EGP 43 to EGP 92 a share, and the WHOLE of that range is published rather than its comfortable half.</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step is real and has already arrived. On the existing business — 65% capacity utilisation, a growing export book earned in hard currency, an administered domestic price that at least tracks inflation — their own worked values run from EGP 58.90 to EGP 63.12 a share, and the study's own two centres, EGP 61.68 and EGP 69.15, sit inside that. Those are the numbers; no wider claim is made for the business than its own lenses support.</w:t>
      </w:r>
    </w:p>
    <w:p>
      <w:pPr>
        <w:spacing w:after="120" w:before="0"/>
      </w:pPr>
      <w:r>
        <w:rPr>
          <w:b w:val="0"/>
          <w:i w:val="0"/>
          <w:color w:val="1C3A36"/>
          <w:sz w:val="21"/>
        </w:rPr>
        <w:t>Where they part is what the new plant is worth today. Expert 1 says: nothing until it produces cash, so EGP 58.90. Expert 2 says: nothing until it produces a return, so EGP 63.12. Expert 3 says: the market says EGP 71.15 a share, which requires USD 119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372099"/>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372099"/>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-4.23</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71.15</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-14.94</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Frame A centre less market price</w:t>
            </w:r>
          </w:p>
        </w:tc>
        <w:tc>
          <w:tcPr>
            <w:tcW w:type="dxa" w:w="1512"/>
          </w:tcPr>
          <w:p>
            <w:pPr>
              <w:spacing w:after="20"/>
              <w:jc w:val="right"/>
            </w:pPr>
            <w:r>
              <w:rPr>
                <w:color w:val="1C3A36"/>
                <w:sz w:val="16"/>
              </w:rPr>
              <w:t>-68.37</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r>
        <w:tc>
          <w:tcPr>
            <w:tcW w:type="dxa" w:w="2520"/>
          </w:tcPr>
          <w:p>
            <w:pPr>
              <w:spacing w:after="20"/>
            </w:pPr>
            <w:r>
              <w:rPr>
                <w:color w:val="1C3A36"/>
                <w:sz w:val="16"/>
              </w:rPr>
              <w:t>Frame B centre less market price</w:t>
            </w:r>
          </w:p>
        </w:tc>
        <w:tc>
          <w:tcPr>
            <w:tcW w:type="dxa" w:w="1512"/>
          </w:tcPr>
          <w:p>
            <w:pPr>
              <w:spacing w:after="20"/>
              <w:jc w:val="right"/>
            </w:pPr>
            <w:r>
              <w:rPr>
                <w:color w:val="1C3A36"/>
                <w:sz w:val="16"/>
              </w:rPr>
              <w:t>-60.90</w:t>
            </w:r>
          </w:p>
        </w:tc>
        <w:tc>
          <w:tcPr>
            <w:tcW w:type="dxa" w:w="5112"/>
          </w:tcPr>
          <w:p>
            <w:pPr>
              <w:spacing w:after="20"/>
              <w:jc w:val="right"/>
            </w:pPr>
            <w:r>
              <w:rPr>
                <w:color w:val="1C3A36"/>
                <w:sz w:val="16"/>
              </w:rPr>
              <w:t>the same, with the provision charge normalising instead of permanent</w:t>
            </w:r>
          </w:p>
        </w:tc>
      </w:tr>
      <w:tr>
        <w:tc>
          <w:tcPr>
            <w:tcW w:type="dxa" w:w="2520"/>
          </w:tcPr>
          <w:p>
            <w:pPr>
              <w:spacing w:after="20"/>
            </w:pPr>
            <w:r>
              <w:rPr>
                <w:color w:val="1C3A36"/>
                <w:sz w:val="16"/>
              </w:rPr>
              <w:t>Frame A centre less Frame B centre</w:t>
            </w:r>
          </w:p>
        </w:tc>
        <w:tc>
          <w:tcPr>
            <w:tcW w:type="dxa" w:w="1512"/>
          </w:tcPr>
          <w:p>
            <w:pPr>
              <w:spacing w:after="20"/>
              <w:jc w:val="right"/>
            </w:pPr>
            <w:r>
              <w:rPr>
                <w:color w:val="1C3A36"/>
                <w:sz w:val="16"/>
              </w:rPr>
              <w:t>-7.47</w:t>
            </w:r>
          </w:p>
        </w:tc>
        <w:tc>
          <w:tcPr>
            <w:tcW w:type="dxa" w:w="5112"/>
          </w:tcPr>
          <w:p>
            <w:pPr>
              <w:spacing w:after="20"/>
              <w:jc w:val="right"/>
            </w:pPr>
            <w:r>
              <w:rPr>
                <w:color w:val="1C3A36"/>
                <w:sz w:val="16"/>
              </w:rPr>
              <w:t>the contested judgement alone, carried through the whole model. This is the number an average would have hidden</w:t>
            </w:r>
          </w:p>
        </w:tc>
      </w:tr>
    </w:tbl>
    <w:p>
      <w:pPr>
        <w:spacing w:after="40"/>
      </w:pPr>
    </w:p>
    <w:p>
      <w:pPr>
        <w:spacing w:after="200" w:before="0"/>
      </w:pPr>
      <w:r>
        <w:rPr>
          <w:b w:val="0"/>
          <w:i/>
          <w:color w:val="6E7B77"/>
          <w:sz w:val="17"/>
        </w:rPr>
        <w:t>Table 24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