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18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279</w:t>
            </w:r>
          </w:p>
        </w:tc>
      </w:tr>
      <w:tr>
        <w:tc>
          <w:tcPr>
            <w:tcW w:type="dxa" w:w="6236"/>
          </w:tcPr>
          <w:p>
            <w:r/>
            <w:r>
              <w:rPr>
                <w:color w:val="1A1D21"/>
                <w:sz w:val="18"/>
              </w:rPr>
              <w:t>Bind on a class of company (CLASS)</w:t>
            </w:r>
          </w:p>
        </w:tc>
        <w:tc>
          <w:tcPr>
            <w:tcW w:type="dxa" w:w="2721"/>
          </w:tcPr>
          <w:p>
            <w:r/>
            <w:r>
              <w:rPr>
                <w:color w:val="1A1D21"/>
                <w:sz w:val="18"/>
              </w:rPr>
              <w:t>34</w:t>
            </w:r>
          </w:p>
        </w:tc>
      </w:tr>
      <w:tr>
        <w:tc>
          <w:tcPr>
            <w:tcW w:type="dxa" w:w="6236"/>
          </w:tcPr>
          <w:p>
            <w:r/>
            <w:r>
              <w:rPr>
                <w:color w:val="1A1D21"/>
                <w:sz w:val="18"/>
              </w:rPr>
              <w:t>Bind on a single company (STOCK)</w:t>
            </w:r>
          </w:p>
        </w:tc>
        <w:tc>
          <w:tcPr>
            <w:tcW w:type="dxa" w:w="2721"/>
          </w:tcPr>
          <w:p>
            <w:r/>
            <w:r>
              <w:rPr>
                <w:color w:val="1A1D21"/>
                <w:sz w:val="18"/>
              </w:rPr>
              <w:t>11</w:t>
            </w:r>
          </w:p>
        </w:tc>
      </w:tr>
      <w:tr>
        <w:tc>
          <w:tcPr>
            <w:tcW w:type="dxa" w:w="6236"/>
          </w:tcPr>
          <w:p>
            <w:r/>
            <w:r>
              <w:rPr>
                <w:color w:val="1A1D21"/>
                <w:sz w:val="18"/>
              </w:rPr>
              <w:t>Total</w:t>
            </w:r>
          </w:p>
        </w:tc>
        <w:tc>
          <w:tcPr>
            <w:tcW w:type="dxa" w:w="2721"/>
          </w:tcPr>
          <w:p>
            <w:r/>
            <w:r>
              <w:rPr>
                <w:color w:val="1A1D21"/>
                <w:sz w:val="18"/>
              </w:rPr>
              <w:t>324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31</w:t>
            </w:r>
          </w:p>
        </w:tc>
      </w:tr>
      <w:tr>
        <w:tc>
          <w:tcPr>
            <w:tcW w:type="dxa" w:w="6236"/>
          </w:tcPr>
          <w:p>
            <w:r/>
            <w:r>
              <w:rPr>
                <w:color w:val="1A1D21"/>
                <w:sz w:val="18"/>
              </w:rPr>
              <w:t>From self-audits</w:t>
            </w:r>
          </w:p>
        </w:tc>
        <w:tc>
          <w:tcPr>
            <w:tcW w:type="dxa" w:w="2721"/>
          </w:tcPr>
          <w:p>
            <w:r/>
            <w:r>
              <w:rPr>
                <w:color w:val="1A1D21"/>
                <w:sz w:val="18"/>
              </w:rPr>
              <w:t>35</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L-378  A charge conceded in a give-back table must be conceded at its own line, or the concession understates itself.</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give-back table asks what the value would be if a contested charge were surrendered. Adding the charge back as a MARGIN improvement is not the same thing: it then flows down through tax, through the employees' profit share and through every rate struck on profit, so part of what was conceded is taken away again on the way down. Concede it where the model charges it.</w:t>
      </w:r>
    </w:p>
    <w:p>
      <w:pPr>
        <w:spacing w:after="60"/>
        <w:ind w:left="283"/>
      </w:pPr>
      <w:r>
        <w:rPr>
          <w:b w:val="0"/>
          <w:i w:val="0"/>
          <w:color w:val="5B6570"/>
          <w:sz w:val="19"/>
        </w:rPr>
        <w:t>How we know.  AMOC's adversarial.py conceded the employees' profit share as gm_shift and published EGP 11.6888. Setting the rate itself to zero and re-running the same waterfall gives 12.0632 — the published row understates the concession by EGP 0.3744, 3.3% of the central. An outside auditor reached 12.0632 independently.</w:t>
      </w:r>
    </w:p>
    <w:p>
      <w:pPr>
        <w:spacing w:after="160"/>
        <w:ind w:left="283"/>
      </w:pPr>
      <w:r>
        <w:rPr>
          <w:b w:val="0"/>
          <w:i w:val="0"/>
          <w:color w:val="5B6570"/>
          <w:sz w:val="19"/>
        </w:rPr>
        <w:t>What would overturn it.  A model where the conceded charge sits outside every rate struck below it, so the two routes coincide.</w:t>
      </w:r>
    </w:p>
    <w:p>
      <w:pPr>
        <w:keepNext/>
        <w:spacing w:before="240" w:after="60"/>
      </w:pPr>
      <w:r>
        <w:rPr>
          <w:b/>
          <w:color w:val="1A1D21"/>
          <w:sz w:val="22"/>
        </w:rPr>
        <w:t>L-379  A sensitivity row that moves the answer by exactly zero is re-running nothing.</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row of a give-back or sensitivity table is a claim that some input was changed and the model re-run. A row printing the base case to the last decimal is almost never a finding about the input; it is a row that never re-ran. Exact zero is the signature, and it is easy to read as reassurance.</w:t>
      </w:r>
    </w:p>
    <w:p>
      <w:pPr>
        <w:spacing w:after="60"/>
        <w:ind w:left="283"/>
      </w:pPr>
      <w:r>
        <w:rPr>
          <w:b w:val="0"/>
          <w:i w:val="0"/>
          <w:color w:val="5B6570"/>
          <w:sz w:val="19"/>
        </w:rPr>
        <w:t>How we know.  AMOC's adversarial.py line 83 reads row('effective_tax', waterfall(B)) — the row IS the base case by construction, and it is excluded from the assertion loop that would have caught it. The delivered table publishes it as a tested alternative.</w:t>
      </w:r>
    </w:p>
    <w:p>
      <w:pPr>
        <w:spacing w:after="160"/>
        <w:ind w:left="283"/>
      </w:pPr>
      <w:r>
        <w:rPr>
          <w:b w:val="0"/>
          <w:i w:val="0"/>
          <w:color w:val="5B6570"/>
          <w:sz w:val="19"/>
        </w:rPr>
        <w:t>What would overturn it.  A sensitivity genuinely insensitive to its input over the range tested, demonstrated by re-running it at a second value.</w:t>
      </w:r>
    </w:p>
    <w:p>
      <w:pPr>
        <w:keepNext/>
        <w:spacing w:before="240" w:after="60"/>
      </w:pPr>
      <w:r>
        <w:rPr>
          <w:b/>
          <w:color w:val="1A1D21"/>
          <w:sz w:val="22"/>
        </w:rPr>
        <w:t>L-380  A row labelled 'all of the above at once' that runs a subset is a defect no arithmetic check can see.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figure in such a row is computed and individually correct, so recalculation, provenance and prose-figure checks all pass. What is wrong is the relationship between the label and the set — which is a claim about the table rather than about any number in it.</w:t>
      </w:r>
    </w:p>
    <w:p>
      <w:pPr>
        <w:spacing w:after="60"/>
        <w:ind w:left="283"/>
      </w:pPr>
      <w:r>
        <w:rPr>
          <w:b w:val="0"/>
          <w:i w:val="0"/>
          <w:color w:val="5B6570"/>
          <w:sz w:val="19"/>
        </w:rPr>
        <w:t>How we know.  AMOC's ALL_GIVEBACKS is case(nci=0.0, prov=0.0, divp=0.0) — three concessions — published under a table listing six, in a document that passed 6,069 formula cells with zero disagreements.</w:t>
      </w:r>
    </w:p>
    <w:p>
      <w:pPr>
        <w:spacing w:after="160"/>
        <w:ind w:left="283"/>
      </w:pPr>
      <w:r>
        <w:rPr>
          <w:b w:val="0"/>
          <w:i w:val="0"/>
          <w:color w:val="5B6570"/>
          <w:sz w:val="19"/>
        </w:rPr>
        <w:t>What would overturn it.  A label that enumerates the cases it runs, so the set and the claim cannot drift apart.</w:t>
      </w:r>
    </w:p>
    <w:p>
      <w:pPr>
        <w:keepNext/>
        <w:spacing w:before="240" w:after="60"/>
      </w:pPr>
      <w:r>
        <w:rPr>
          <w:b/>
          <w:color w:val="1A1D21"/>
          <w:sz w:val="22"/>
        </w:rPr>
        <w:t>L-381  A registered, sourced, four-field input that no arithmetic reads is a dead input, and the register cannot tell it from a live one.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four-field discipline proves where a number came from. It says nothing about whether the model uses it. An input can be sourced to a named document, dated, layered and described as the anchor for a driver while the driver is built another way entirely — and every provenance check passes, because provenance is not consumption.</w:t>
      </w:r>
    </w:p>
    <w:p>
      <w:pPr>
        <w:spacing w:after="60"/>
        <w:ind w:left="283"/>
      </w:pPr>
      <w:r>
        <w:rPr>
          <w:b w:val="0"/>
          <w:i w:val="0"/>
          <w:color w:val="5B6570"/>
          <w:sz w:val="19"/>
        </w:rPr>
        <w:t>How we know.  AMOC registers capex_pct at 1.45% tapering to 1.25%, sourced to the approved EGP 580.19mn capital budget and described in the bibliography as 'the anchor for the capital-expenditure driver'. waterfall() builds capex as MAINT_CAPEX0 x inflation + growth capital; capex_pct is read by nothing. TMGH carries the same shape in two sensitivity rows that move the answer by 1.00x and 0.0%.</w:t>
      </w:r>
    </w:p>
    <w:p>
      <w:pPr>
        <w:spacing w:after="160"/>
        <w:ind w:left="283"/>
      </w:pPr>
      <w:r>
        <w:rPr>
          <w:b w:val="0"/>
          <w:i w:val="0"/>
          <w:color w:val="5B6570"/>
          <w:sz w:val="19"/>
        </w:rPr>
        <w:t>What would overturn it.  A check that reads consumption rather than presence, which [R-ASSET-02] now does for the operating asset base and nothing yet does for an ordinary driver.</w:t>
      </w:r>
    </w:p>
    <w:p>
      <w:pPr>
        <w:keepNext/>
        <w:spacing w:before="240" w:after="60"/>
      </w:pPr>
      <w:r>
        <w:rPr>
          <w:b/>
          <w:color w:val="1A1D21"/>
          <w:sz w:val="22"/>
        </w:rPr>
        <w:t>L-382  A declared absence is re-searched before it is published, because a gap that is not a gap is load-bearing in the wrong direction.</w:t>
      </w:r>
    </w:p>
    <w:p>
      <w:pPr>
        <w:keepNext/>
        <w:spacing w:after="100"/>
      </w:pPr>
      <w:r>
        <w:rPr>
          <w:b/>
          <w:color w:val="1D6FA3"/>
          <w:sz w:val="16"/>
        </w:rPr>
        <w:t>EVERY STUDY</w:t>
      </w:r>
      <w:r>
        <w:rPr>
          <w:color w:val="5B6570"/>
          <w:sz w:val="16"/>
        </w:rPr>
        <w:t xml:space="preserve">   applies to every study   ·   learned from a outside critique, TMGH critique response, 18-09-2026</w:t>
      </w:r>
    </w:p>
    <w:p>
      <w:pPr>
        <w:spacing w:after="100"/>
      </w:pPr>
      <w:r>
        <w:rPr>
          <w:b w:val="0"/>
          <w:i w:val="0"/>
          <w:color w:val="1A1D21"/>
          <w:sz w:val="21"/>
        </w:rPr>
        <w:t>Saying 'the company does not disclose this' is a claim about the world, and it is the one kind of claim a study makes that nothing downstream can test — every other figure is checkable and an absence is not. It is also the most consequential, because a declared gap is what licenses a judgement in its place.</w:t>
      </w:r>
    </w:p>
    <w:p>
      <w:pPr>
        <w:spacing w:after="60"/>
        <w:ind w:left="283"/>
      </w:pPr>
      <w:r>
        <w:rPr>
          <w:b w:val="0"/>
          <w:i w:val="0"/>
          <w:color w:val="5B6570"/>
          <w:sz w:val="19"/>
        </w:rPr>
        <w:t>How we know.  TMGH declares four gaps and all four are disclosed. Its crux rests on 'one number that the company does not publish: how long its order book takes to convert' and adopts fourteen years; TMG has published 'the backlog will be delivered over the coming 4-5 years' in every earnings release since FY2018. Its cost of debt rests on 'TMG does not disclose the rate on any of its own facilities'; note 25 of the interim statements states 28.6%. Both documents were fetched from the company's own archive on the first request.</w:t>
      </w:r>
    </w:p>
    <w:p>
      <w:pPr>
        <w:spacing w:after="160"/>
        <w:ind w:left="283"/>
      </w:pPr>
      <w:r>
        <w:rPr>
          <w:b w:val="0"/>
          <w:i w:val="0"/>
          <w:color w:val="5B6570"/>
          <w:sz w:val="19"/>
        </w:rPr>
        <w:t>What would overturn it.  A study whose declared gap survives a fresh search of the company's own channel, logged with its date.</w:t>
      </w:r>
    </w:p>
    <w:p>
      <w:pPr>
        <w:keepNext/>
        <w:spacing w:before="240" w:after="60"/>
      </w:pPr>
      <w:r>
        <w:rPr>
          <w:b/>
          <w:color w:val="1A1D21"/>
          <w:sz w:val="22"/>
        </w:rPr>
        <w:t>L-383  A study's own diagnostic can be right while the page prints the sign backwards, and nothing compares the two.</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Diagnostics are generated and pages are written. Where both state the same quantity, only the generated one is checked — so a page can reverse it and every instrument still reports the study clean, because each is correct about its own half.</w:t>
      </w:r>
    </w:p>
    <w:p>
      <w:pPr>
        <w:spacing w:after="60"/>
        <w:ind w:left="283"/>
      </w:pPr>
      <w:r>
        <w:rPr>
          <w:b w:val="0"/>
          <w:i w:val="0"/>
          <w:color w:val="5B6570"/>
          <w:sz w:val="19"/>
        </w:rPr>
        <w:t>How we know.  AMOC's reverse_read.json commits shift = +0.009264 and its diagnostics.json reads it correctly in words — 'the price is 87 basis points ABOVE the study's own forecast'. The delivered page states 'a REDUCTION of -0.93%', in the headline box, and builds the direction of proof on it.</w:t>
      </w:r>
    </w:p>
    <w:p>
      <w:pPr>
        <w:spacing w:after="160"/>
        <w:ind w:left="283"/>
      </w:pPr>
      <w:r>
        <w:rPr>
          <w:b w:val="0"/>
          <w:i w:val="0"/>
          <w:color w:val="5B6570"/>
          <w:sz w:val="19"/>
        </w:rPr>
        <w:t>What would overturn it.  A page that reads its direction words from the committed sign rather than stating them, which is the prose-figure discipline applied to a direction instead of to a figure.</w:t>
      </w:r>
    </w:p>
    <w:p>
      <w:pPr>
        <w:keepNext/>
        <w:spacing w:before="240" w:after="60"/>
      </w:pPr>
      <w:r>
        <w:rPr>
          <w:b/>
          <w:color w:val="1A1D21"/>
          <w:sz w:val="22"/>
        </w:rPr>
        <w:t>L-384  A panel median computed over a set containing a figure the study has already withdrawn is not the panel's read.</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An expert panel earns its place by disagreeing. When the cross-examination concedes that one expert's number is wrong and restates it, the median must be taken over the restated set — otherwise the concession is published two pages before a headline that ignores it.</w:t>
      </w:r>
    </w:p>
    <w:p>
      <w:pPr>
        <w:spacing w:after="60"/>
        <w:ind w:left="283"/>
      </w:pPr>
      <w:r>
        <w:rPr>
          <w:b w:val="0"/>
          <w:i w:val="0"/>
          <w:color w:val="5B6570"/>
          <w:sz w:val="19"/>
        </w:rPr>
        <w:t>How we know.  AMOC's Appendix C concedes Expert 1 is an undiscounted 2028 number worth 8.10 rather than 14.50, and prints the panel median as 12.32 over the set containing 14.50. The median of the discounted set (8.10, 9.34, 12.32) is 9.34 — the panel read moves from -8.8% against the price to -30.8%.</w:t>
      </w:r>
    </w:p>
    <w:p>
      <w:pPr>
        <w:spacing w:after="160"/>
        <w:ind w:left="283"/>
      </w:pPr>
      <w:r>
        <w:rPr>
          <w:b w:val="0"/>
          <w:i w:val="0"/>
          <w:color w:val="5B6570"/>
          <w:sz w:val="19"/>
        </w:rPr>
        <w:t>What would overturn it.  A panel whose concessions are all immaterial to its own median, demonstrated rather than assumed.</w:t>
      </w:r>
    </w:p>
    <w:p>
      <w:pPr>
        <w:keepNext/>
        <w:spacing w:before="240" w:after="60"/>
      </w:pPr>
      <w:r>
        <w:rPr>
          <w:b/>
          <w:color w:val="1A1D21"/>
          <w:sz w:val="22"/>
        </w:rPr>
        <w:t>L-385  A cross-check lens struck on a different capital basis does not walk through the same bridge, and the difference is invisible until somebody walks it.</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Two lenses can be individually correct, individually reconciled and still not comparable, because the enterprise value each produces stands on a different definition of invested capital. A study that claims the lenses reconcile has made a testable claim, and the test is to put the second lens's enterprise value through the first lens's own bridge.</w:t>
      </w:r>
    </w:p>
    <w:p>
      <w:pPr>
        <w:spacing w:after="60"/>
        <w:ind w:left="283"/>
      </w:pPr>
      <w:r>
        <w:rPr>
          <w:b w:val="0"/>
          <w:i w:val="0"/>
          <w:color w:val="5B6570"/>
          <w:sz w:val="19"/>
        </w:rPr>
        <w:t>How we know.  AMOC's section 1.9 declares 'one view is now applied across the model'. Its terminal runs on GROSS capital at 30.3%, Table A.3 carries a net-book memo at 42.3%, and Expert 3 runs wholly on net book. Expert 3's enterprise value of 13,536 walked through the study's own bridge gives EGP 11.9144, against a published 12.3183 — reproduced here and independently by an outside auditor.</w:t>
      </w:r>
    </w:p>
    <w:p>
      <w:pPr>
        <w:spacing w:after="160"/>
        <w:ind w:left="283"/>
      </w:pPr>
      <w:r>
        <w:rPr>
          <w:b w:val="0"/>
          <w:i w:val="0"/>
          <w:color w:val="5B6570"/>
          <w:sz w:val="19"/>
        </w:rPr>
        <w:t>What would overturn it.  A study whose lenses genuinely share one capital basis, shown by the walk rather than by the sentence.</w:t>
      </w:r>
    </w:p>
    <w:p>
      <w:pPr>
        <w:keepNext/>
        <w:spacing w:before="240" w:after="60"/>
      </w:pPr>
      <w:r>
        <w:rPr>
          <w:b/>
          <w:color w:val="1A1D21"/>
          <w:sz w:val="22"/>
        </w:rPr>
        <w:t>L-386  A spread quoted across 'N consecutive filed periods' must name which N, because the subset chosen can exclude the period that matters.</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range over filed history is a fact, and which periods it spans is part of the fact. Quoting a spread over a subset without naming it is not a rounding difference — the excluded period is usually the extreme one, which is why the subset was convenient.</w:t>
      </w:r>
    </w:p>
    <w:p>
      <w:pPr>
        <w:spacing w:after="60"/>
        <w:ind w:left="283"/>
      </w:pPr>
      <w:r>
        <w:rPr>
          <w:b w:val="0"/>
          <w:i w:val="0"/>
          <w:color w:val="5B6570"/>
          <w:sz w:val="19"/>
        </w:rPr>
        <w:t>How we know.  AMOC's section 5 states 'the filed record spans 514 basis points' while Table 6 and section 1.2 state 737 basis points across five periods. 514bp is the spread of the FIRST FOUR — it excludes the 12.43% half the company had just reported, which is the best period in the record and the one the margin thesis turns on. The defect was already recorded in this house's own standing digest as a worked example and shipped anyway.</w:t>
      </w:r>
    </w:p>
    <w:p>
      <w:pPr>
        <w:spacing w:after="160"/>
        <w:ind w:left="283"/>
      </w:pPr>
      <w:r>
        <w:rPr>
          <w:b w:val="0"/>
          <w:i w:val="0"/>
          <w:color w:val="5B6570"/>
          <w:sz w:val="19"/>
        </w:rPr>
        <w:t>What would overturn it.  A quoted spread that reproduces from the full filed set.</w:t>
      </w:r>
    </w:p>
    <w:p>
      <w:pPr>
        <w:keepNext/>
        <w:spacing w:before="240" w:after="60"/>
      </w:pPr>
      <w:r>
        <w:rPr>
          <w:b/>
          <w:color w:val="1A1D21"/>
          <w:sz w:val="22"/>
        </w:rPr>
        <w:t>L-387  A source claim in the delivered bibliography is read by no gate, because the source gate reads the committed input register.</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two artefacts make the same kind of claim about where numbers came from, and only one of them is checked. A bibliography can tell a reader that an aggregator supplied figures the model in fact takes from the filings, and the study passes the source-integrity check because that check never opens the bibliography.</w:t>
      </w:r>
    </w:p>
    <w:p>
      <w:pPr>
        <w:spacing w:after="60"/>
        <w:ind w:left="283"/>
      </w:pPr>
      <w:r>
        <w:rPr>
          <w:b w:val="0"/>
          <w:i w:val="0"/>
          <w:color w:val="5B6570"/>
          <w:sz w:val="19"/>
        </w:rPr>
        <w:t>How we know.  AMOC's bibliography cites stockanalysis.com, Investing.com and TradingView for total assets, total liabilities, cash and equivalents and total debt — every one of which exists in the statements the study holds and takes them from. check_source_integrity.py reads the input register, where every AMOC source names a filing, and passes the study.</w:t>
      </w:r>
    </w:p>
    <w:p>
      <w:pPr>
        <w:spacing w:after="160"/>
        <w:ind w:left="283"/>
      </w:pPr>
      <w:r>
        <w:rPr>
          <w:b w:val="0"/>
          <w:i w:val="0"/>
          <w:color w:val="5B6570"/>
          <w:sz w:val="19"/>
        </w:rPr>
        <w:t>What would overturn it.  A source gate whose population is the delivered documents as well as the committed register.</w:t>
      </w:r>
    </w:p>
    <w:p>
      <w:pPr>
        <w:keepNext/>
        <w:spacing w:before="240" w:after="60"/>
      </w:pPr>
      <w:r>
        <w:rPr>
          <w:b/>
          <w:color w:val="1A1D21"/>
          <w:sz w:val="22"/>
        </w:rPr>
        <w:t>L-392  A rule about how a model is BUILT binds every instrument that builds one, and the gates for it were all pointed at studies.</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house requires a forecast's explicit window to run until growth has converged to the terminal, because a model whose last year still compounds far above its terminal capitalises a rate it never reached. That rule was enforced on studies by a gate reading each study's committed record. The valuation calibration's own mechanical lens builds a value at every past origin and is not a study, so nothing held it to the rule — and every cell it had ever produced broke it.</w:t>
      </w:r>
    </w:p>
    <w:p>
      <w:pPr>
        <w:spacing w:after="60"/>
        <w:ind w:left="283"/>
      </w:pPr>
      <w:r>
        <w:rPr>
          <w:b w:val="0"/>
          <w:i w:val="0"/>
          <w:color w:val="5B6570"/>
          <w:sz w:val="19"/>
        </w:rPr>
        <w:t>How we know.  Measured on all seven cells the mechanical cash-flow lens had scored: the gap between the last explicit year's growth and the terminal ran 3.8pp at best and 15.6pp at worst against a bound of 2pp, and six of the seven carried a terminal worth MORE than the whole enterprise value (102% to 1820%), meaning an explicit window contributing nothing or less. PHDC 2019 showed an explicit present value of -EGP 2.28bn against a terminal of +EGP 32.52bn. The rule had been adopted four days before the declaration that sealed the lens.</w:t>
      </w:r>
    </w:p>
    <w:p>
      <w:pPr>
        <w:spacing w:after="160"/>
        <w:ind w:left="283"/>
      </w:pPr>
      <w:r>
        <w:rPr>
          <w:b w:val="0"/>
          <w:i w:val="0"/>
          <w:color w:val="5B6570"/>
          <w:sz w:val="19"/>
        </w:rPr>
        <w:t>What would overturn it.  An instrument found to build a forecast value while being genuinely outside the rule's subject — which would mean the rule is narrower than its own reasoning, not that the instrument escaped it.</w:t>
      </w:r>
    </w:p>
    <w:p>
      <w:pPr>
        <w:keepNext/>
        <w:spacing w:before="240" w:after="60"/>
      </w:pPr>
      <w:r>
        <w:rPr>
          <w:b/>
          <w:color w:val="1A1D21"/>
          <w:sz w:val="22"/>
        </w:rPr>
        <w:t>L-393  A larger pool of inadmissible cells is not closer to an answer than a small one.</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plan for the valuation calibration was to wire more names until the pooled sample could answer its acceptance clause. The defect that was actually blocking it sat in the construction rather than in any name, so every name added would have added more cells of the same broken kind — while the count rose and the table looked healthier.</w:t>
      </w:r>
    </w:p>
    <w:p>
      <w:pPr>
        <w:spacing w:after="60"/>
        <w:ind w:left="283"/>
      </w:pPr>
      <w:r>
        <w:rPr>
          <w:b w:val="0"/>
          <w:i w:val="0"/>
          <w:color w:val="5B6570"/>
          <w:sz w:val="19"/>
        </w:rPr>
        <w:t>How we know.  The convergence refusal dropped 21 cells spanning six of the nine names (AMOC, ARCC, EGCH, PHAR, PHDC, TMGH) and became the largest single drop class in the run at a stroke. Before it, five cells scored and the work in front of the desk was wiring three more projectors; after it, the declared run scores none and the work is in the runs' own pre-registered windows.</w:t>
      </w:r>
    </w:p>
    <w:p>
      <w:pPr>
        <w:spacing w:after="160"/>
        <w:ind w:left="283"/>
      </w:pPr>
      <w:r>
        <w:rPr>
          <w:b w:val="0"/>
          <w:i w:val="0"/>
          <w:color w:val="5B6570"/>
          <w:sz w:val="19"/>
        </w:rPr>
        <w:t>What would overturn it.  A pooled sample whose defect is genuinely name-specific, where adding names dilutes it rather than reproducing it.</w:t>
      </w:r>
    </w:p>
    <w:p>
      <w:pPr>
        <w:keepNext/>
        <w:spacing w:before="240" w:after="60"/>
      </w:pPr>
      <w:r>
        <w:rPr>
          <w:b/>
          <w:color w:val="1A1D21"/>
          <w:sz w:val="22"/>
        </w:rPr>
        <w:t>L-394  A verdict printed in two states hides the third, and the hidden one is always 'we did not measure this'.</w:t>
      </w:r>
    </w:p>
    <w:p>
      <w:pPr>
        <w:keepNext/>
        <w:spacing w:after="100"/>
      </w:pPr>
      <w:r>
        <w:rPr>
          <w:b/>
          <w:color w:val="1D6FA3"/>
          <w:sz w:val="16"/>
        </w:rPr>
        <w:t>EVERY STUDY</w:t>
      </w:r>
      <w:r>
        <w:rPr>
          <w:color w:val="5B6570"/>
          <w:sz w:val="16"/>
        </w:rPr>
        <w:t xml:space="preserve">   applies to every study   ·   learned from a self-audit, criterion 3 reporter, 18-09-2026</w:t>
      </w:r>
    </w:p>
    <w:p>
      <w:pPr>
        <w:spacing w:after="100"/>
      </w:pPr>
      <w:r>
        <w:rPr>
          <w:b w:val="0"/>
          <w:i w:val="0"/>
          <w:color w:val="1A1D21"/>
          <w:sz w:val="21"/>
        </w:rPr>
        <w:t>A clause that can be met, failed or unmeasured must print all three. Where the printer collapses unmeasured onto failed, a criterion reports a conclusion it has no evidence for; where it collapses onto met, worse. The collapse survives because it is invisible until the third state first occurs, which may be months after the line was written.</w:t>
      </w:r>
    </w:p>
    <w:p>
      <w:pPr>
        <w:spacing w:after="60"/>
        <w:ind w:left="283"/>
      </w:pPr>
      <w:r>
        <w:rPr>
          <w:b w:val="0"/>
          <w:i w:val="0"/>
          <w:color w:val="5B6570"/>
          <w:sz w:val="19"/>
        </w:rPr>
        <w:t>How we know.  criterion3.py printed clause A as 'MET if a_met else NOT MET' while clauses B and C printed all three states correctly. The line was right for as long as the series could not be empty, and the moment the convergence refusal emptied it, an UNMEASURED clause printed as a FAILED one — in the clause that gates Phase 1 hardest. The same run found the reporter crashing on the empty series and a header count typed as a literal (28 of 33) that had gone on printing through two population changes.</w:t>
      </w:r>
    </w:p>
    <w:p>
      <w:pPr>
        <w:spacing w:after="160"/>
        <w:ind w:left="283"/>
      </w:pPr>
      <w:r>
        <w:rPr>
          <w:b w:val="0"/>
          <w:i w:val="0"/>
          <w:color w:val="5B6570"/>
          <w:sz w:val="19"/>
        </w:rPr>
        <w:t>What would overturn it.  A clause genuinely binary by construction, where no third state can arise — which must then be argued rather than assumed from the printer.</w:t>
      </w:r>
    </w:p>
    <w:p>
      <w:pPr>
        <w:keepNext/>
        <w:spacing w:before="240" w:after="60"/>
      </w:pPr>
      <w:r>
        <w:rPr>
          <w:b/>
          <w:color w:val="1A1D21"/>
          <w:sz w:val="22"/>
        </w:rPr>
        <w:t>L-395  An instrument built to grade a method must reproduce the method, and sharing its inputs is not reproducing it.</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mechanical valuation lens takes the same drivers, the same audited statements, the same point-in-time macro archive and the same sanctioned terminal module as the studies it grades. It still is not those studies, because it stops the forecast where the driver walk-forward stops rather than where a valuation converges — and nothing about the shared inputs made that visible.</w:t>
      </w:r>
    </w:p>
    <w:p>
      <w:pPr>
        <w:spacing w:after="60"/>
        <w:ind w:left="283"/>
      </w:pPr>
      <w:r>
        <w:rPr>
          <w:b w:val="0"/>
          <w:i w:val="0"/>
          <w:color w:val="5B6570"/>
          <w:sz w:val="19"/>
        </w:rPr>
        <w:t>How we know.  Every delivered study committing the record converges exactly to its terminal: PHDC on FIFTEEN explicit years, TMGH on ten, the rest on five. The mechanical lens runs five for every name, because its sealed declaration fixes the window at the walk-forward's own horizons 1-5. On PHDC it therefore rebuilds a fifteen-year construction on five years, and produced 6.08, 2.49, 8.81, 6.37, 6.46 and 7.51 across six origins against a delivered central of 17.85. Every input agreed and the answer was a third of the size.</w:t>
      </w:r>
    </w:p>
    <w:p>
      <w:pPr>
        <w:spacing w:after="160"/>
        <w:ind w:left="283"/>
      </w:pPr>
      <w:r>
        <w:rPr>
          <w:b w:val="0"/>
          <w:i w:val="0"/>
          <w:color w:val="5B6570"/>
          <w:sz w:val="19"/>
        </w:rPr>
        <w:t>What would overturn it.  A rebuild on the study's own window landing in the same place as the five-year one, which would make the window immaterial to the comparison rather than the whole of it.</w:t>
      </w:r>
    </w:p>
    <w:p>
      <w:pPr>
        <w:keepNext/>
        <w:spacing w:before="240" w:after="60"/>
      </w:pPr>
      <w:r>
        <w:rPr>
          <w:b/>
          <w:color w:val="1A1D21"/>
          <w:sz w:val="22"/>
        </w:rPr>
        <w:t>L-396  Point-in-time discipline forbids foresight, not a declining forecast — and the difference decides whether a past origin can converge at all.</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A mechanical rule that compounds the LAST PUBLISHED inflation print flat at every horizon looks like the strictest possible reading of 'only what was known at the origin'. It is stricter than the rule requires and wrong in a way that compounds: a forecast PUBLISHED at the origin was known at the origin, and published forecasts decline where a realised print does not.</w:t>
      </w:r>
    </w:p>
    <w:p>
      <w:pPr>
        <w:spacing w:after="60"/>
        <w:ind w:left="283"/>
      </w:pPr>
      <w:r>
        <w:rPr>
          <w:b w:val="0"/>
          <w:i w:val="0"/>
          <w:color w:val="5B6570"/>
          <w:sz w:val="19"/>
        </w:rPr>
        <w:t>How we know.  The walk-forward projectors escalate on (1 + cpi(origin)) ** h, so a 31-December-2019 Egyptian origin compounds at the 13.87% realised print for five straight years and ends still growing at four times its terminal. The IMF World Economic Outlook of October 2019 — already extracted in engine/macro_history/ with its file name and sha256, and in existence at that origin — projects 13.866, 9.965, 7.217, 7.011, 7.002, 7.078, converging to the house terminal by year three with no fade and no free parameter.</w:t>
      </w:r>
    </w:p>
    <w:p>
      <w:pPr>
        <w:spacing w:after="160"/>
        <w:ind w:left="283"/>
      </w:pPr>
      <w:r>
        <w:rPr>
          <w:b w:val="0"/>
          <w:i w:val="0"/>
          <w:color w:val="5B6570"/>
          <w:sz w:val="19"/>
        </w:rPr>
        <w:t>What would overturn it.  An origin where no forecast had been published by the origin date, which is the case the flat rule is actually right for — and which must then be named rather than assumed.</w:t>
      </w:r>
    </w:p>
    <w:p>
      <w:pPr>
        <w:keepNext/>
        <w:spacing w:before="240" w:after="60"/>
      </w:pPr>
      <w:r>
        <w:rPr>
          <w:b/>
          <w:color w:val="1A1D21"/>
          <w:sz w:val="22"/>
        </w:rPr>
        <w:t>L-397  A rule cited as a reason is not checked the way a number is.</w:t>
      </w:r>
    </w:p>
    <w:p>
      <w:pPr>
        <w:keepNext/>
        <w:spacing w:after="100"/>
      </w:pPr>
      <w:r>
        <w:rPr>
          <w:b/>
          <w:color w:val="1D6FA3"/>
          <w:sz w:val="16"/>
        </w:rPr>
        <w:t>EVERY STUDY</w:t>
      </w:r>
      <w:r>
        <w:rPr>
          <w:color w:val="5B6570"/>
          <w:sz w:val="16"/>
        </w:rPr>
        <w:t xml:space="preserve">   applies to every study   ·   learned from a outside critique, AMOC forecast anchor, 18-09-2026</w:t>
      </w:r>
    </w:p>
    <w:p>
      <w:pPr>
        <w:spacing w:after="100"/>
      </w:pPr>
      <w:r>
        <w:rPr>
          <w:b w:val="0"/>
          <w:i w:val="0"/>
          <w:color w:val="1A1D21"/>
          <w:sz w:val="21"/>
        </w:rPr>
        <w:t>Every figure in a committed record is computed, sourced and dated, and the one sentence carrying a rule identifier is simply believed — by the record that wrote it, by the standing digest that repeated it, and by every reader since. Where a record gives a standing rule as the reason something was not done, read the rule.</w:t>
      </w:r>
    </w:p>
    <w:p>
      <w:pPr>
        <w:spacing w:after="60"/>
        <w:ind w:left="283"/>
      </w:pPr>
      <w:r>
        <w:rPr>
          <w:b w:val="0"/>
          <w:i w:val="0"/>
          <w:color w:val="5B6570"/>
          <w:sz w:val="19"/>
        </w:rPr>
        <w:t>How we know.  AMOC's forecast-anchor record gave [R-VCAL-01]'s one-lever-at-a-time guard as the reason a correction priced at +55% was not applied. That guard governs levers promoted from the valuation calibration, never corrections to defects, and the standing digest had repeated the same false reason in its own [R-ANCHOR-01] paragraph. Measured the day the clause was adopted, the misreading had reached SIX passages across two study builders and one ratchet, and EVERY ONE OF THEM DEFERRED A CORRECTION THAT RAISES THE VALUE — so an interpretation that always ran one way was behaving exactly like a house lean while every individual step in it was defensible. All six carried their own measurement already, so correcting them was rewriting the reason and keeping the number; no value moved.</w:t>
      </w:r>
    </w:p>
    <w:p>
      <w:pPr>
        <w:spacing w:after="160"/>
        <w:ind w:left="283"/>
      </w:pPr>
      <w:r>
        <w:rPr>
          <w:b w:val="0"/>
          <w:i w:val="0"/>
          <w:color w:val="5B6570"/>
          <w:sz w:val="19"/>
        </w:rPr>
        <w:t>What would overturn it.  A deferral citing a rule that genuinely does govern it — which would make the citation a fact to check rather than a reason to believe.</w:t>
      </w:r>
    </w:p>
    <w:p>
      <w:pPr>
        <w:keepNext/>
        <w:spacing w:before="240" w:after="60"/>
      </w:pPr>
      <w:r>
        <w:rPr>
          <w:b/>
          <w:color w:val="1A1D21"/>
          <w:sz w:val="22"/>
        </w:rPr>
        <w:t>L-398  A pile of individually-correct lists has a total, and nobody who maintains one of them can see it.</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Every ratchet entry in this repository was a correct decision to carry a known defect rather than fix it in passing, and every list may only ever shorten. What no list can show is how many there are altogether, because each is maintained by whoever wrote the rule it belongs to.</w:t>
      </w:r>
    </w:p>
    <w:p>
      <w:pPr>
        <w:spacing w:after="60"/>
        <w:ind w:left="283"/>
      </w:pPr>
      <w:r>
        <w:rPr>
          <w:b w:val="0"/>
          <w:i w:val="0"/>
          <w:color w:val="5B6570"/>
          <w:sz w:val="19"/>
        </w:rPr>
        <w:t>How we know.  [R-REPAIR-01] was adopted on '47 ratchet entries accumulated on five studies', read off the lists somebody happened to open. Counted across all 67 ratchets the figure is 386 entries across 94 names — 274 on the 24 studies that exist on disk and 112 on 70 names the site publishes with no study directory at all. The gap between 47 and 386 is not an error in either number; it is what a total looks like when nothing computes it.</w:t>
      </w:r>
    </w:p>
    <w:p>
      <w:pPr>
        <w:spacing w:after="160"/>
        <w:ind w:left="283"/>
      </w:pPr>
      <w:r>
        <w:rPr>
          <w:b w:val="0"/>
          <w:i w:val="0"/>
          <w:color w:val="5B6570"/>
          <w:sz w:val="19"/>
        </w:rPr>
        <w:t>What would overturn it.  A census finding the total close to what the separate lists suggested, which would mean the lists were being read together already.</w:t>
      </w:r>
    </w:p>
    <w:p>
      <w:pPr>
        <w:keepNext/>
        <w:spacing w:before="240" w:after="60"/>
      </w:pPr>
      <w:r>
        <w:rPr>
          <w:b/>
          <w:color w:val="1A1D21"/>
          <w:sz w:val="22"/>
        </w:rPr>
        <w:t>L-399  A reader that classifies by pattern finds what the pattern was written for; one that REFUSES what it cannot place finds what nobody thought of.</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The difference is not strictness, it is what happens to the residue. A pattern-based reader silently absorbs anything it does not recognise into whichever bucket it falls through to, and reports a number. A reader that names every category and refuses the rest reports a QUESTION, and the questions are where the findings are.</w:t>
      </w:r>
    </w:p>
    <w:p>
      <w:pPr>
        <w:spacing w:after="60"/>
        <w:ind w:left="283"/>
      </w:pPr>
      <w:r>
        <w:rPr>
          <w:b w:val="0"/>
          <w:i w:val="0"/>
          <w:color w:val="5B6570"/>
          <w:sz w:val="19"/>
        </w:rPr>
        <w:t>How we know.  The first run of the ratchet census refused eleven keys across 67 files and every one needed a decision a pattern could not make — an unrunnable figure script is a debt, a resolved-and-kept entry is not, an [R-ENF-08] failure signature sitting beside its entry is not, a walk-forward run owing a valuation-input block is. It also refused two NAMES that turned out to be index series rather than studies, which resolve against a different population entirely. And it found 2POINTZERO — a ticker starting with a digit, which the first draft's ticker pattern silently dropped, and which this protocol already records as having been dropped from three separate tools by a regex written the same way.</w:t>
      </w:r>
    </w:p>
    <w:p>
      <w:pPr>
        <w:spacing w:after="160"/>
        <w:ind w:left="283"/>
      </w:pPr>
      <w:r>
        <w:rPr>
          <w:b w:val="0"/>
          <w:i w:val="0"/>
          <w:color w:val="5B6570"/>
          <w:sz w:val="19"/>
        </w:rPr>
        <w:t>What would overturn it.  A residue that turns out to be uniform, where one rule really does cover every case the reader could not place.</w:t>
      </w:r>
    </w:p>
    <w:p>
      <w:pPr>
        <w:keepNext/>
        <w:spacing w:before="240" w:after="60"/>
      </w:pPr>
      <w:r>
        <w:rPr>
          <w:b/>
          <w:color w:val="1A1D21"/>
          <w:sz w:val="22"/>
        </w:rPr>
        <w:t>L-400  Re-running a generator re-asserts every claim its stamps are taken from, and a comment change is enough to do it.</w:t>
      </w:r>
    </w:p>
    <w:p>
      <w:pPr>
        <w:keepNext/>
        <w:spacing w:after="100"/>
      </w:pPr>
      <w:r>
        <w:rPr>
          <w:b/>
          <w:color w:val="1D6FA3"/>
          <w:sz w:val="16"/>
        </w:rPr>
        <w:t>EVERY STUDY</w:t>
      </w:r>
      <w:r>
        <w:rPr>
          <w:color w:val="5B6570"/>
          <w:sz w:val="16"/>
        </w:rPr>
        <w:t xml:space="preserve">   applies to every study   ·   learned from a self-audit, AMOC rebuild, 18-09-2026</w:t>
      </w:r>
    </w:p>
    <w:p>
      <w:pPr>
        <w:spacing w:after="100"/>
      </w:pPr>
      <w:r>
        <w:rPr>
          <w:b w:val="0"/>
          <w:i w:val="0"/>
          <w:color w:val="1A1D21"/>
          <w:sz w:val="21"/>
        </w:rPr>
        <w:t>A study's committed record carries claims about the standard it was built to and the day the work was done. Where those are read from a live constant or a clock rather than frozen to a fact, ANY rebuild moves them — and a rebuild happens for reasons that have nothing to do with the claim, such as correcting a comment.</w:t>
      </w:r>
    </w:p>
    <w:p>
      <w:pPr>
        <w:spacing w:after="60"/>
        <w:ind w:left="283"/>
      </w:pPr>
      <w:r>
        <w:rPr>
          <w:b w:val="0"/>
          <w:i w:val="0"/>
          <w:color w:val="5B6570"/>
          <w:sz w:val="19"/>
        </w:rPr>
        <w:t>How we know.  Re-running amoc_study/compute.py to correct a COMMENT moved the committed standard claim from 2026.09.01 to 2026.09.07, silently asserting conformance to four standards nobody had checked the study against — one of which, [R-ASSET-01], it is ratcheted as not meeting. check_standard_claim went red the same evening, on the first rebuild after [R-STD-02] was written, having been green before it. The fix is the one that rule prescribes and the one another generator had already taken for its study DATE: freeze the claim to the version the edition was actually built to.</w:t>
      </w:r>
    </w:p>
    <w:p>
      <w:pPr>
        <w:spacing w:after="160"/>
        <w:ind w:left="283"/>
      </w:pPr>
      <w:r>
        <w:rPr>
          <w:b w:val="0"/>
          <w:i w:val="0"/>
          <w:color w:val="5B6570"/>
          <w:sz w:val="19"/>
        </w:rPr>
        <w:t>What would overturn it.  A generator whose stamps are all frozen to facts, where a rebuild genuinely changes nothing but what was rebuilt.</w:t>
      </w:r>
    </w:p>
    <w:p>
      <w:pPr>
        <w:keepNext/>
        <w:spacing w:before="240" w:after="60"/>
      </w:pPr>
      <w:r>
        <w:rPr>
          <w:b/>
          <w:color w:val="1A1D21"/>
          <w:sz w:val="22"/>
        </w:rPr>
        <w:t>L-401  A convention adopted to AVOID making a forecast can be a forecast, and saying it is not is a false statement about the model.</w:t>
      </w:r>
    </w:p>
    <w:p>
      <w:pPr>
        <w:keepNext/>
        <w:spacing w:after="100"/>
      </w:pPr>
      <w:r>
        <w:rPr>
          <w:b/>
          <w:color w:val="1D6FA3"/>
          <w:sz w:val="16"/>
        </w:rPr>
        <w:t>EVERY STUDY</w:t>
      </w:r>
      <w:r>
        <w:rPr>
          <w:color w:val="5B6570"/>
          <w:sz w:val="16"/>
        </w:rPr>
        <w:t xml:space="preserve">   applies to every study   ·   learned from a outside critique, flat-nominal price convention, 18-09-2026</w:t>
      </w:r>
    </w:p>
    <w:p>
      <w:pPr>
        <w:spacing w:after="100"/>
      </w:pPr>
      <w:r>
        <w:rPr>
          <w:b w:val="0"/>
          <w:i w:val="0"/>
          <w:color w:val="1A1D21"/>
          <w:sz w:val="21"/>
        </w:rPr>
        <w:t>Holding a traded price flat in nominal terms is legitimate and often sensible. Describing it as 'no forecast of a traded commodity price is defensible' is not a wording problem: the model IS forecasting a price that falls in real terms every year for ever, and the reader is told the opposite. The genuinely view-free choice — the one with no forecast in it — is flat in REAL terms.</w:t>
      </w:r>
    </w:p>
    <w:p>
      <w:pPr>
        <w:spacing w:after="60"/>
        <w:ind w:left="283"/>
      </w:pPr>
      <w:r>
        <w:rPr>
          <w:b w:val="0"/>
          <w:i w:val="0"/>
          <w:color w:val="5B6570"/>
          <w:sz w:val="19"/>
        </w:rPr>
        <w:t>How we know.  Measured across 898 study builders and committed records carrying 407 quantities held flat: TWO studies name the consequence ('flat in nominal terms, which is a REAL DECLINE across the window'; 'holding earnings flat in NOMINAL terms while discounting at a NOMINAL rate') and TWO deny it. In both deniers the costs escalate at full domestic inflation while revenue does not, so the convention manufactures a margin decline the forecast then reports as a finding; closing the wedge is worth +17.8% on one and +68.7% on the other, measured independently by two outside auditors.</w:t>
      </w:r>
    </w:p>
    <w:p>
      <w:pPr>
        <w:spacing w:after="160"/>
        <w:ind w:left="283"/>
      </w:pPr>
      <w:r>
        <w:rPr>
          <w:b w:val="0"/>
          <w:i w:val="0"/>
          <w:color w:val="5B6570"/>
          <w:sz w:val="19"/>
        </w:rPr>
        <w:t>What would overturn it.  A market with no inflation in it, where flat nominal and flat real are the same path and the claim costs nothing.</w:t>
      </w:r>
    </w:p>
    <w:p>
      <w:pPr>
        <w:keepNext/>
        <w:spacing w:before="240" w:after="60"/>
      </w:pPr>
      <w:r>
        <w:rPr>
          <w:b/>
          <w:color w:val="1A1D21"/>
          <w:sz w:val="22"/>
        </w:rPr>
        <w:t>L-402  A judgement declared 'not contested' is removed from the instrument that counts which way judgements go.</w:t>
      </w:r>
    </w:p>
    <w:p>
      <w:pPr>
        <w:keepNext/>
        <w:spacing w:after="100"/>
      </w:pPr>
      <w:r>
        <w:rPr>
          <w:b/>
          <w:color w:val="1D6FA3"/>
          <w:sz w:val="16"/>
        </w:rPr>
        <w:t>EVERY STUDY</w:t>
      </w:r>
      <w:r>
        <w:rPr>
          <w:color w:val="5B6570"/>
          <w:sz w:val="16"/>
        </w:rPr>
        <w:t xml:space="preserve">   applies to every study   ·   learned from a outside critique, flat-nominal price convention, 18-09-2026</w:t>
      </w:r>
    </w:p>
    <w:p>
      <w:pPr>
        <w:spacing w:after="100"/>
      </w:pPr>
      <w:r>
        <w:rPr>
          <w:b w:val="0"/>
          <w:i w:val="0"/>
          <w:color w:val="1A1D21"/>
          <w:sz w:val="21"/>
        </w:rPr>
        <w:t>[R-ENF-05]'s sign test exists because any single contested choice is defensible and what is not is a study resolving every one of them the same way without noticing. A study that declares a material choice settled convention does not merely mislead a reader about that choice — it takes the choice out of the count, and the count is the only instrument that can see a lean.</w:t>
      </w:r>
    </w:p>
    <w:p>
      <w:pPr>
        <w:spacing w:after="60"/>
        <w:ind w:left="283"/>
      </w:pPr>
      <w:r>
        <w:rPr>
          <w:b w:val="0"/>
          <w:i w:val="0"/>
          <w:color w:val="5B6570"/>
          <w:sz w:val="19"/>
        </w:rPr>
        <w:t>How we know.  One study records 'Holding a traded commodity price flat rather than forecasting it is settled house convention and IS NOT CONTESTED', of a choice worth +68.7% of its own central. The sign test then runs on the judgements that remain, correctly, and reports on a population the largest item is missing from.</w:t>
      </w:r>
    </w:p>
    <w:p>
      <w:pPr>
        <w:spacing w:after="160"/>
        <w:ind w:left="283"/>
      </w:pPr>
      <w:r>
        <w:rPr>
          <w:b w:val="0"/>
          <w:i w:val="0"/>
          <w:color w:val="5B6570"/>
          <w:sz w:val="19"/>
        </w:rPr>
        <w:t>What would overturn it.  A declaration of settled convention on a choice worth less than the 5% materiality line the sign test already applies, where nothing is being removed from the count.</w:t>
      </w:r>
    </w:p>
    <w:p>
      <w:pPr>
        <w:keepNext/>
        <w:spacing w:before="240" w:after="60"/>
      </w:pPr>
      <w:r>
        <w:rPr>
          <w:b/>
          <w:color w:val="1A1D21"/>
          <w:sz w:val="22"/>
        </w:rPr>
        <w:t>L-403  [L-278] WAS ALREADY REGISTERED, IS CORRECT, AND SIX CONTROLS BROKE ITS WAY ANYWAY — a fixture pinned to live repository state has an expiry date nobody sets.</w:t>
      </w:r>
    </w:p>
    <w:p>
      <w:pPr>
        <w:keepNext/>
        <w:spacing w:after="100"/>
      </w:pPr>
      <w:r>
        <w:rPr>
          <w:b/>
          <w:color w:val="1D6FA3"/>
          <w:sz w:val="16"/>
        </w:rPr>
        <w:t>EVERY STUDY</w:t>
      </w:r>
      <w:r>
        <w:rPr>
          <w:color w:val="5B6570"/>
          <w:sz w:val="16"/>
        </w:rPr>
        <w:t xml:space="preserve">   applies to every study   ·   learned from a self-audit, full negative-control sweep, 18-09-2026</w:t>
      </w:r>
    </w:p>
    <w:p>
      <w:pPr>
        <w:spacing w:after="100"/>
      </w:pPr>
      <w:r>
        <w:rPr>
          <w:b w:val="0"/>
          <w:i w:val="0"/>
          <w:color w:val="1A1D21"/>
          <w:sz w:val="21"/>
        </w:rPr>
        <w:t>[L-278] says it in its own words — 'plant the starting state; do not assume it' — after THREE controls broke this way on one day in September. This is the same lesson, registered, correct, cited nowhere that binds, and re-violated by six more controls a fortnight later. THE LESSON IS NOT THE FINDING; THE RE-VIOLATION IS. What survives of the original claim is unchanged: a control that finds its condition in the repository is correct the day it is written and is invalidated by ordinary legitimate work elsewhere, and the gate it protects is then unevidenced. What is added is that saying so once did not stop it.</w:t>
      </w:r>
    </w:p>
    <w:p>
      <w:pPr>
        <w:spacing w:after="60"/>
        <w:ind w:left="283"/>
      </w:pPr>
      <w:r>
        <w:rPr>
          <w:b w:val="0"/>
          <w:i w:val="0"/>
          <w:color w:val="5B6570"/>
          <w:sz w:val="19"/>
        </w:rPr>
        <w:t>How we know.  Running every check including the controls — which the ordinary sweep excludes — found SIX red, all in CI, none caused by that day's work and all green at a commit eleven days earlier. THE FIRST COUNT WAS FOUR AND CAME FROM A PARTIAL SWEEP, which is this lesson's own subject arriving in its own evidence. Five fail for one reason: the bibliography ratchet had been PRUNED TO EMPTY so the 'a ratcheted breach stays green' case had no breach to use; the asp driver no longer carried an applied correction so the mutation removing one removed nothing; and PHDC's applied count moved off the 6 a fixture was pinned to; and a terminal-record control counts 38 markers in a tree its fixture pins at 37. Each REFUSED rather than reporting green, which is the opposite of the failure caught five times the same session.</w:t>
      </w:r>
    </w:p>
    <w:p>
      <w:pPr>
        <w:spacing w:after="160"/>
        <w:ind w:left="283"/>
      </w:pPr>
      <w:r>
        <w:rPr>
          <w:b w:val="0"/>
          <w:i w:val="0"/>
          <w:color w:val="5B6570"/>
          <w:sz w:val="19"/>
        </w:rPr>
        <w:t>What would overturn it.  A sweep finding no control pinned to live state, which would mean [L-278] had reached the work after all and this entry is about a fortnight rather than about a pattern.</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L-389  A partial-adjustment conversion model cannot reach the period it is labelled with, and the label is what the study sensitises.</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Where revenue moves a fraction of the way toward a target each year and the target itself compounds, realised conversion never reaches the rate the target was built from. The cell carrying the period is then a label rather than a driver — and it is the label the crux grid, the headline and the sensitivity all move.</w:t>
      </w:r>
    </w:p>
    <w:p>
      <w:pPr>
        <w:spacing w:after="60"/>
        <w:ind w:left="283"/>
      </w:pPr>
      <w:r>
        <w:rPr>
          <w:b w:val="0"/>
          <w:i w:val="0"/>
          <w:color w:val="5B6570"/>
          <w:sz w:val="19"/>
        </w:rPr>
        <w:t>How we know.  TMGH commits CAPACITY_YEARS 14 and CAPACITY_RAMP 0.25. Revenue moves a quarter of the way to (opening book + sales) / 14 each year while the book compounds at 15%, so the committed book cover runs 15.03 to 20.97 to 19.75 years and never 14. The 2027 recursion reproduces the workbook to ten decimals. The words ramp, partial adjustment and adjustment speed appear zero times in the delivered document.</w:t>
      </w:r>
    </w:p>
    <w:p>
      <w:pPr>
        <w:spacing w:after="160"/>
        <w:ind w:left="283"/>
      </w:pPr>
      <w:r>
        <w:rPr>
          <w:b w:val="0"/>
          <w:i w:val="0"/>
          <w:color w:val="5B6570"/>
          <w:sz w:val="19"/>
        </w:rPr>
        <w:t>What would overturn it.  A conversion model whose realised rate reaches its stated period within the explicit window, shown by the committed series.</w:t>
      </w:r>
    </w:p>
    <w:p>
      <w:pPr>
        <w:keepNext/>
        <w:spacing w:before="240" w:after="60"/>
      </w:pPr>
      <w:r>
        <w:rPr>
          <w:b/>
          <w:color w:val="1A1D21"/>
          <w:sz w:val="22"/>
        </w:rPr>
        <w:t>L-390  Contracted sales earned as a development fee never enter the backlog, and must not drive the collections line.</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A developer can sell on its own balance sheet and sell for somebody else on a commission. Only the first creates a deliverable obligation and only the first is collected against. Feeding total reported sales into an advances driver treats fee volume as if it were an order book, and the company usually says so in a footnote on the same page as the backlog chart.</w:t>
      </w:r>
    </w:p>
    <w:p>
      <w:pPr>
        <w:spacing w:after="60"/>
        <w:ind w:left="283"/>
      </w:pPr>
      <w:r>
        <w:rPr>
          <w:b w:val="0"/>
          <w:i w:val="0"/>
          <w:color w:val="5B6570"/>
          <w:sz w:val="19"/>
        </w:rPr>
        <w:t>How we know.  TMG discloses that SouthMed sales sit outside the backlog under an asset-light model earning a c.8% fee; SouthMed was EGP 93.9bn of the 219.1bn of 1H2026 sales, 43%. The FY2023 release separately states EGP 47.8bn of third-party commission volume, which the study's register characterises as a land transaction. TMGH's model injects EGP 300bn of new sales a year at face into the collections driver, and by 2035 that line supplies 152,135 against total free cash flow of 137,742.</w:t>
      </w:r>
    </w:p>
    <w:p>
      <w:pPr>
        <w:spacing w:after="160"/>
        <w:ind w:left="283"/>
      </w:pPr>
      <w:r>
        <w:rPr>
          <w:b w:val="0"/>
          <w:i w:val="0"/>
          <w:color w:val="5B6570"/>
          <w:sz w:val="19"/>
        </w:rPr>
        <w:t>What would overturn it.  A company of this class whose fee-based volume does create a collectable obligation, disclosed as such.</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keepNext/>
        <w:spacing w:before="240" w:after="60"/>
      </w:pPr>
      <w:r>
        <w:rPr>
          <w:b/>
          <w:color w:val="1A1D21"/>
          <w:sz w:val="22"/>
        </w:rPr>
        <w:t>L-388  Holding a dollar-linked price flat in nominal dollars while domestic costs escalate at full inflation is a real-terms price decline, not the absence of a forecast.</w:t>
      </w:r>
    </w:p>
    <w:p>
      <w:pPr>
        <w:keepNext/>
        <w:spacing w:after="100"/>
      </w:pPr>
      <w:r>
        <w:rPr>
          <w:b/>
          <w:color w:val="7E4A94"/>
          <w:sz w:val="16"/>
        </w:rPr>
        <w:t>A CLASS OF COMPANY</w:t>
      </w:r>
      <w:r>
        <w:rPr>
          <w:color w:val="5B6570"/>
          <w:sz w:val="16"/>
        </w:rPr>
        <w:t xml:space="preserve">   applies to every refiner, commodity pass-through on a thin spread   ·   learned from a outside critique, AMOC critique response, 18-09-2026</w:t>
      </w:r>
    </w:p>
    <w:p>
      <w:pPr>
        <w:spacing w:after="100"/>
      </w:pPr>
      <w:r>
        <w:rPr>
          <w:b w:val="0"/>
          <w:i w:val="0"/>
          <w:color w:val="1A1D21"/>
          <w:sz w:val="21"/>
        </w:rPr>
        <w:t>On a pass-through processor the slate is priced off a dollar benchmark and the conversion costs are domestic. Declining to forecast the benchmark is right; holding it flat in NOMINAL dollars is not the way to decline, because it forecasts the price falling in real terms at foreign inflation every year for ever, against domestic costs that do not. The neutral assumption is flat in REAL terms.</w:t>
      </w:r>
    </w:p>
    <w:p>
      <w:pPr>
        <w:spacing w:after="60"/>
        <w:ind w:left="283"/>
      </w:pPr>
      <w:r>
        <w:rPr>
          <w:b w:val="0"/>
          <w:i w:val="0"/>
          <w:color w:val="5B6570"/>
          <w:sz w:val="19"/>
        </w:rPr>
        <w:t>How we know.  AMOC derives realisation growth as (1 + Egyptian inflation) / 1.025 - 1 while operating expense and capital expenditure take the full Egyptian ladder — an undisclosed 2.5%-a-year wedge that drifts opex/revenue from 3.795% to 4.189% where parity holds it at 3.703%. Closing it, re-run through the study's own compute.py, is +17.84%: EGP 11.4012 to 13.4350. Four studies in the book carry the convention.</w:t>
      </w:r>
    </w:p>
    <w:p>
      <w:pPr>
        <w:spacing w:after="160"/>
        <w:ind w:left="283"/>
      </w:pPr>
      <w:r>
        <w:rPr>
          <w:b w:val="0"/>
          <w:i w:val="0"/>
          <w:color w:val="5B6570"/>
          <w:sz w:val="19"/>
        </w:rPr>
        <w:t>What would overturn it.  Evidence that the real dollar price of this slate has in fact declined at foreign inflation over a long enough record to measure, which would make the nominal convention the right one.</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TMGH</w:t>
      </w:r>
    </w:p>
    <w:p>
      <w:pPr>
        <w:keepNext/>
        <w:spacing w:before="240" w:after="60"/>
      </w:pPr>
      <w:r>
        <w:rPr>
          <w:b/>
          <w:color w:val="1A1D21"/>
          <w:sz w:val="22"/>
        </w:rPr>
        <w:t>L-391  TMG publishes its own discount rate, projection period and terminal growth in its goodwill note, and no study here has read them.</w:t>
      </w:r>
    </w:p>
    <w:p>
      <w:pPr>
        <w:keepNext/>
        <w:spacing w:after="100"/>
      </w:pPr>
      <w:r>
        <w:rPr>
          <w:b/>
          <w:color w:val="B03A2E"/>
          <w:sz w:val="16"/>
        </w:rPr>
        <w:t>ONE COMPANY ONLY</w:t>
      </w:r>
      <w:r>
        <w:rPr>
          <w:color w:val="5B6570"/>
          <w:sz w:val="16"/>
        </w:rPr>
        <w:t xml:space="preserve">   applies to TMGH only   ·   learned from a outside critique, TMGH critique response, 18-09-2026</w:t>
      </w:r>
    </w:p>
    <w:p>
      <w:pPr>
        <w:spacing w:after="100"/>
      </w:pPr>
      <w:r>
        <w:rPr>
          <w:b w:val="0"/>
          <w:i w:val="0"/>
          <w:color w:val="1A1D21"/>
          <w:sz w:val="21"/>
        </w:rPr>
        <w:t>The goodwill impairment test is a discounted cash flow the company runs on itself and discloses annually. It is the one place a filing states what the company believes about its own cost of capital and horizon — a free cross-check on the two inputs a study argues hardest about.</w:t>
      </w:r>
    </w:p>
    <w:p>
      <w:pPr>
        <w:spacing w:after="60"/>
        <w:ind w:left="283"/>
      </w:pPr>
      <w:r>
        <w:rPr>
          <w:b w:val="0"/>
          <w:i w:val="0"/>
          <w:color w:val="5B6570"/>
          <w:sz w:val="19"/>
        </w:rPr>
        <w:t>How we know.  Note 9 of TMG's 30 June 2026 interim consolidated statements: a pre-tax discount rate of 33.9% applied to cash-flow projections, a 20-year period, and a terminal growth rate of 5%. The study runs a terminal WACC of 21.93% and terminal growth of 7%. Neither the study nor either outside audit found it.</w:t>
      </w:r>
    </w:p>
    <w:p>
      <w:pPr>
        <w:spacing w:after="160"/>
        <w:ind w:left="283"/>
      </w:pPr>
      <w:r>
        <w:rPr>
          <w:b w:val="0"/>
          <w:i w:val="0"/>
          <w:color w:val="5B6570"/>
          <w:sz w:val="19"/>
        </w:rPr>
        <w:t>What would overturn it.  A year in which the note stops disclosing the rate, or discloses one built on a basis the study's own rate cannot be compared with.</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