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 The fair-value estimate moved from EGP 9.38 to EGP 7.10 as a result.</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872"/>
        <w:gridCol w:w="1152"/>
        <w:gridCol w:w="4464"/>
      </w:tblGrid>
      <w:tr>
        <w:tc>
          <w:tcPr>
            <w:tcW w:type="dxa" w:w="2664"/>
            <w:shd w:val="clear" w:color="auto" w:fill="EAF0EE"/>
          </w:tcPr>
          <w:p>
            <w:pPr>
              <w:spacing w:after="20"/>
            </w:pPr>
            <w:r>
              <w:rPr>
                <w:b/>
                <w:color w:val="1C3A36"/>
                <w:sz w:val="15"/>
              </w:rPr>
              <w:t>Source</w:t>
            </w:r>
          </w:p>
        </w:tc>
        <w:tc>
          <w:tcPr>
            <w:tcW w:type="dxa" w:w="1872"/>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4464"/>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1872"/>
          </w:tcPr>
          <w:p>
            <w:pPr>
              <w:spacing w:after="20"/>
            </w:pPr>
            <w:r>
              <w:rPr>
                <w:color w:val="1C3A36"/>
                <w:sz w:val="15"/>
              </w:rPr>
              <w:t>Egypt Oil &amp; Gas</w:t>
            </w:r>
          </w:p>
        </w:tc>
        <w:tc>
          <w:tcPr>
            <w:tcW w:type="dxa" w:w="1152"/>
          </w:tcPr>
          <w:p>
            <w:pPr>
              <w:spacing w:after="20"/>
            </w:pPr>
            <w:r>
              <w:rPr>
                <w:color w:val="1C3A36"/>
                <w:sz w:val="15"/>
              </w:rPr>
              <w:t>Aug 2026</w:t>
            </w:r>
          </w:p>
        </w:tc>
        <w:tc>
          <w:tcPr>
            <w:tcW w:type="dxa" w:w="4464"/>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1872"/>
          </w:tcPr>
          <w:p>
            <w:pPr>
              <w:spacing w:after="20"/>
            </w:pPr>
            <w:r>
              <w:rPr>
                <w:color w:val="1C3A36"/>
                <w:sz w:val="15"/>
              </w:rPr>
              <w:t>Egypt Oil &amp; Gas</w:t>
            </w:r>
          </w:p>
        </w:tc>
        <w:tc>
          <w:tcPr>
            <w:tcW w:type="dxa" w:w="1152"/>
          </w:tcPr>
          <w:p>
            <w:pPr>
              <w:spacing w:after="20"/>
            </w:pPr>
            <w:r>
              <w:rPr>
                <w:color w:val="1C3A36"/>
                <w:sz w:val="15"/>
              </w:rPr>
              <w:t>Apr–May 2026</w:t>
            </w:r>
          </w:p>
        </w:tc>
        <w:tc>
          <w:tcPr>
            <w:tcW w:type="dxa" w:w="4464"/>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1872"/>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4464"/>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1872"/>
          </w:tcPr>
          <w:p>
            <w:pPr>
              <w:spacing w:after="20"/>
            </w:pPr>
            <w:r>
              <w:rPr>
                <w:color w:val="1C3A36"/>
                <w:sz w:val="15"/>
              </w:rPr>
              <w:t>Arab Finance</w:t>
            </w:r>
          </w:p>
        </w:tc>
        <w:tc>
          <w:tcPr>
            <w:tcW w:type="dxa" w:w="1152"/>
          </w:tcPr>
          <w:p>
            <w:pPr>
              <w:spacing w:after="20"/>
            </w:pPr>
            <w:r>
              <w:rPr>
                <w:color w:val="1C3A36"/>
                <w:sz w:val="15"/>
              </w:rPr>
              <w:t>Feb 2026</w:t>
            </w:r>
          </w:p>
        </w:tc>
        <w:tc>
          <w:tcPr>
            <w:tcW w:type="dxa" w:w="4464"/>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1872"/>
          </w:tcPr>
          <w:p>
            <w:pPr>
              <w:spacing w:after="20"/>
            </w:pPr>
            <w:r>
              <w:rPr>
                <w:color w:val="1C3A36"/>
                <w:sz w:val="15"/>
              </w:rPr>
              <w:t>Egypt Oil &amp; Gas</w:t>
            </w:r>
          </w:p>
        </w:tc>
        <w:tc>
          <w:tcPr>
            <w:tcW w:type="dxa" w:w="1152"/>
          </w:tcPr>
          <w:p>
            <w:pPr>
              <w:spacing w:after="20"/>
            </w:pPr>
            <w:r>
              <w:rPr>
                <w:color w:val="1C3A36"/>
                <w:sz w:val="15"/>
              </w:rPr>
              <w:t>Nov 2025</w:t>
            </w:r>
          </w:p>
        </w:tc>
        <w:tc>
          <w:tcPr>
            <w:tcW w:type="dxa" w:w="4464"/>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1872"/>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4464"/>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1872"/>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4464"/>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1872"/>
          </w:tcPr>
          <w:p>
            <w:pPr>
              <w:spacing w:after="20"/>
            </w:pPr>
            <w:r>
              <w:rPr>
                <w:color w:val="1C3A36"/>
                <w:sz w:val="15"/>
              </w:rPr>
              <w:t>MoneyController</w:t>
            </w:r>
          </w:p>
        </w:tc>
        <w:tc>
          <w:tcPr>
            <w:tcW w:type="dxa" w:w="1152"/>
          </w:tcPr>
          <w:p>
            <w:pPr>
              <w:spacing w:after="20"/>
            </w:pPr>
            <w:r>
              <w:rPr>
                <w:color w:val="1C3A36"/>
                <w:sz w:val="15"/>
              </w:rPr>
              <w:t>2023</w:t>
            </w:r>
          </w:p>
        </w:tc>
        <w:tc>
          <w:tcPr>
            <w:tcW w:type="dxa" w:w="4464"/>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1872"/>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4464"/>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1872"/>
          </w:tcPr>
          <w:p>
            <w:pPr>
              <w:spacing w:after="20"/>
            </w:pPr>
            <w:r>
              <w:rPr>
                <w:color w:val="1C3A36"/>
                <w:sz w:val="15"/>
              </w:rPr>
              <w:t>Central Bank of Egypt</w:t>
            </w:r>
          </w:p>
        </w:tc>
        <w:tc>
          <w:tcPr>
            <w:tcW w:type="dxa" w:w="1152"/>
          </w:tcPr>
          <w:p>
            <w:pPr>
              <w:spacing w:after="20"/>
            </w:pPr>
            <w:r>
              <w:rPr>
                <w:color w:val="1C3A36"/>
                <w:sz w:val="15"/>
              </w:rPr>
              <w:t>2026</w:t>
            </w:r>
          </w:p>
        </w:tc>
        <w:tc>
          <w:tcPr>
            <w:tcW w:type="dxa" w:w="4464"/>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1872"/>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4464"/>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1872"/>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4464"/>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engine/raw_ohlc/EG/AMOC.csv — daily open, high, low, close and volume</w:t>
            </w:r>
          </w:p>
        </w:tc>
        <w:tc>
          <w:tcPr>
            <w:tcW w:type="dxa" w:w="1872"/>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4464"/>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One derivation remains, and the study states it on its face. There is no clean audited twelve-month period — the year-end moved from 30 June to 31 December and the April-to-June 2025 quarter is not separately filed — so the base year is the NINE contiguous audited months from 1 July 2025 to 31 March 2026, annualised by four thirds. That scaling is the only step between the filings and the base year, and nothing inside it is estimated.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Audited nine months annualised: EGP 41,662mn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As filed across the nine audited months: 7.51%</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90.7%, salaries 4.5%, other 4.1%,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808,084 tonnes and EGP 20,736mn,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1,300mn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148mn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127mn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1,621mn, 3.89%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921mn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98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spot</w:t>
            </w:r>
          </w:p>
        </w:tc>
        <w:tc>
          <w:tcPr>
            <w:tcW w:type="dxa" w:w="1440"/>
          </w:tcPr>
          <w:p>
            <w:pPr>
              <w:spacing w:after="20"/>
            </w:pPr>
            <w:r>
              <w:rPr>
                <w:color w:val="1C3A36"/>
                <w:sz w:val="15"/>
              </w:rPr>
              <w:t>9.1</w:t>
            </w:r>
          </w:p>
        </w:tc>
        <w:tc>
          <w:tcPr>
            <w:tcW w:type="dxa" w:w="1037"/>
          </w:tcPr>
          <w:p>
            <w:pPr>
              <w:spacing w:after="20"/>
            </w:pPr>
            <w:r>
              <w:rPr>
                <w:color w:val="1C3A36"/>
                <w:sz w:val="15"/>
              </w:rPr>
              <w:t>2026-08-06</w:t>
            </w:r>
          </w:p>
        </w:tc>
        <w:tc>
          <w:tcPr>
            <w:tcW w:type="dxa" w:w="5832"/>
          </w:tcPr>
          <w:p>
            <w:pPr>
              <w:spacing w:after="20"/>
            </w:pPr>
            <w:r>
              <w:rPr>
                <w:color w:val="1C3A36"/>
                <w:sz w:val="15"/>
              </w:rPr>
              <w:t>AMOC closing price on the Egyptian Exchange, 6 August 2026</w:t>
            </w:r>
          </w:p>
        </w:tc>
      </w:tr>
      <w:tr>
        <w:tc>
          <w:tcPr>
            <w:tcW w:type="dxa" w:w="1872"/>
          </w:tcPr>
          <w:p>
            <w:pPr>
              <w:spacing w:after="20"/>
            </w:pPr>
            <w:r>
              <w:rPr>
                <w:color w:val="1C3A36"/>
                <w:sz w:val="15"/>
              </w:rPr>
              <w:t>shares_mn</w:t>
            </w:r>
          </w:p>
        </w:tc>
        <w:tc>
          <w:tcPr>
            <w:tcW w:type="dxa" w:w="1440"/>
          </w:tcPr>
          <w:p>
            <w:pPr>
              <w:spacing w:after="20"/>
            </w:pPr>
            <w:r>
              <w:rPr>
                <w:color w:val="1C3A36"/>
                <w:sz w:val="15"/>
              </w:rPr>
              <w:t>1,291.5</w:t>
            </w:r>
          </w:p>
        </w:tc>
        <w:tc>
          <w:tcPr>
            <w:tcW w:type="dxa" w:w="1037"/>
          </w:tcPr>
          <w:p>
            <w:pPr>
              <w:spacing w:after="20"/>
            </w:pPr>
            <w:r>
              <w:rPr>
                <w:color w:val="1C3A36"/>
                <w:sz w:val="15"/>
              </w:rPr>
              <w:t>2025-12-31</w:t>
            </w:r>
          </w:p>
        </w:tc>
        <w:tc>
          <w:tcPr>
            <w:tcW w:type="dxa" w:w="5832"/>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1872"/>
          </w:tcPr>
          <w:p>
            <w:pPr>
              <w:spacing w:after="20"/>
            </w:pPr>
            <w:r>
              <w:rPr>
                <w:color w:val="1C3A36"/>
                <w:sz w:val="15"/>
              </w:rPr>
              <w:t>rev_h2_25</w:t>
            </w:r>
          </w:p>
        </w:tc>
        <w:tc>
          <w:tcPr>
            <w:tcW w:type="dxa" w:w="1440"/>
          </w:tcPr>
          <w:p>
            <w:pPr>
              <w:spacing w:after="20"/>
            </w:pPr>
            <w:r>
              <w:rPr>
                <w:color w:val="1C3A36"/>
                <w:sz w:val="15"/>
              </w:rPr>
              <w:t>20,735,725,812.0</w:t>
            </w:r>
          </w:p>
        </w:tc>
        <w:tc>
          <w:tcPr>
            <w:tcW w:type="dxa" w:w="1037"/>
          </w:tcPr>
          <w:p>
            <w:pPr>
              <w:spacing w:after="20"/>
            </w:pPr>
            <w:r>
              <w:rPr>
                <w:color w:val="1C3A36"/>
                <w:sz w:val="15"/>
              </w:rPr>
              <w:t>2025-12-31</w:t>
            </w:r>
          </w:p>
        </w:tc>
        <w:tc>
          <w:tcPr>
            <w:tcW w:type="dxa" w:w="5832"/>
          </w:tcPr>
          <w:p>
            <w:pPr>
              <w:spacing w:after="20"/>
            </w:pPr>
            <w:r>
              <w:rPr>
                <w:color w:val="1C3A36"/>
                <w:sz w:val="15"/>
              </w:rPr>
              <w:t>Net sales, six months to 31-Dec-2025. Audited consolidated FS, transition period 1-Jul-2025 to 31-Dec-2025, Crowe unqualified, 18-Feb-2026</w:t>
            </w:r>
          </w:p>
        </w:tc>
      </w:tr>
      <w:tr>
        <w:tc>
          <w:tcPr>
            <w:tcW w:type="dxa" w:w="1872"/>
          </w:tcPr>
          <w:p>
            <w:pPr>
              <w:spacing w:after="20"/>
            </w:pPr>
            <w:r>
              <w:rPr>
                <w:color w:val="1C3A36"/>
                <w:sz w:val="15"/>
              </w:rPr>
              <w:t>cogs_h2_25</w:t>
            </w:r>
          </w:p>
        </w:tc>
        <w:tc>
          <w:tcPr>
            <w:tcW w:type="dxa" w:w="1440"/>
          </w:tcPr>
          <w:p>
            <w:pPr>
              <w:spacing w:after="20"/>
            </w:pPr>
            <w:r>
              <w:rPr>
                <w:color w:val="1C3A36"/>
                <w:sz w:val="15"/>
              </w:rPr>
              <w:t>19,461,550,746.0</w:t>
            </w:r>
          </w:p>
        </w:tc>
        <w:tc>
          <w:tcPr>
            <w:tcW w:type="dxa" w:w="1037"/>
          </w:tcPr>
          <w:p>
            <w:pPr>
              <w:spacing w:after="20"/>
            </w:pPr>
            <w:r>
              <w:rPr>
                <w:color w:val="1C3A36"/>
                <w:sz w:val="15"/>
              </w:rPr>
              <w:t>2025-12-31</w:t>
            </w:r>
          </w:p>
        </w:tc>
        <w:tc>
          <w:tcPr>
            <w:tcW w:type="dxa" w:w="5832"/>
          </w:tcPr>
          <w:p>
            <w:pPr>
              <w:spacing w:after="20"/>
            </w:pPr>
            <w:r>
              <w:rPr>
                <w:color w:val="1C3A36"/>
                <w:sz w:val="15"/>
              </w:rPr>
              <w:t>Cost of sales, six months to 31-Dec-2025. Audited consolidated FS, transition period 1-Jul-2025 to 31-Dec-2025, Crowe unqualified, 18-Feb-2026</w:t>
            </w:r>
          </w:p>
        </w:tc>
      </w:tr>
      <w:tr>
        <w:tc>
          <w:tcPr>
            <w:tcW w:type="dxa" w:w="1872"/>
          </w:tcPr>
          <w:p>
            <w:pPr>
              <w:spacing w:after="20"/>
            </w:pPr>
            <w:r>
              <w:rPr>
                <w:color w:val="1C3A36"/>
                <w:sz w:val="15"/>
              </w:rPr>
              <w:t>ga_h2_25</w:t>
            </w:r>
          </w:p>
        </w:tc>
        <w:tc>
          <w:tcPr>
            <w:tcW w:type="dxa" w:w="1440"/>
          </w:tcPr>
          <w:p>
            <w:pPr>
              <w:spacing w:after="20"/>
            </w:pPr>
            <w:r>
              <w:rPr>
                <w:color w:val="1C3A36"/>
                <w:sz w:val="15"/>
              </w:rPr>
              <w:t>585,636,101.0</w:t>
            </w:r>
          </w:p>
        </w:tc>
        <w:tc>
          <w:tcPr>
            <w:tcW w:type="dxa" w:w="1037"/>
          </w:tcPr>
          <w:p>
            <w:pPr>
              <w:spacing w:after="20"/>
            </w:pPr>
            <w:r>
              <w:rPr>
                <w:color w:val="1C3A36"/>
                <w:sz w:val="15"/>
              </w:rPr>
              <w:t>2025-12-31</w:t>
            </w:r>
          </w:p>
        </w:tc>
        <w:tc>
          <w:tcPr>
            <w:tcW w:type="dxa" w:w="5832"/>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1872"/>
          </w:tcPr>
          <w:p>
            <w:pPr>
              <w:spacing w:after="20"/>
            </w:pPr>
            <w:r>
              <w:rPr>
                <w:color w:val="1C3A36"/>
                <w:sz w:val="15"/>
              </w:rPr>
              <w:t>mkt_h2_25</w:t>
            </w:r>
          </w:p>
        </w:tc>
        <w:tc>
          <w:tcPr>
            <w:tcW w:type="dxa" w:w="1440"/>
          </w:tcPr>
          <w:p>
            <w:pPr>
              <w:spacing w:after="20"/>
            </w:pPr>
            <w:r>
              <w:rPr>
                <w:color w:val="1C3A36"/>
                <w:sz w:val="15"/>
              </w:rPr>
              <w:t>93,729,199.0</w:t>
            </w:r>
          </w:p>
        </w:tc>
        <w:tc>
          <w:tcPr>
            <w:tcW w:type="dxa" w:w="1037"/>
          </w:tcPr>
          <w:p>
            <w:pPr>
              <w:spacing w:after="20"/>
            </w:pPr>
            <w:r>
              <w:rPr>
                <w:color w:val="1C3A36"/>
                <w:sz w:val="15"/>
              </w:rPr>
              <w:t>2025-12-31</w:t>
            </w:r>
          </w:p>
        </w:tc>
        <w:tc>
          <w:tcPr>
            <w:tcW w:type="dxa" w:w="5832"/>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1872"/>
          </w:tcPr>
          <w:p>
            <w:pPr>
              <w:spacing w:after="20"/>
            </w:pPr>
            <w:r>
              <w:rPr>
                <w:color w:val="1C3A36"/>
                <w:sz w:val="15"/>
              </w:rPr>
              <w:t>othexp_h2_25</w:t>
            </w:r>
          </w:p>
        </w:tc>
        <w:tc>
          <w:tcPr>
            <w:tcW w:type="dxa" w:w="1440"/>
          </w:tcPr>
          <w:p>
            <w:pPr>
              <w:spacing w:after="20"/>
            </w:pPr>
            <w:r>
              <w:rPr>
                <w:color w:val="1C3A36"/>
                <w:sz w:val="15"/>
              </w:rPr>
              <w:t>108,781,309.0</w:t>
            </w:r>
          </w:p>
        </w:tc>
        <w:tc>
          <w:tcPr>
            <w:tcW w:type="dxa" w:w="1037"/>
          </w:tcPr>
          <w:p>
            <w:pPr>
              <w:spacing w:after="20"/>
            </w:pPr>
            <w:r>
              <w:rPr>
                <w:color w:val="1C3A36"/>
                <w:sz w:val="15"/>
              </w:rPr>
              <w:t>2025-12-25</w:t>
            </w:r>
          </w:p>
        </w:tc>
        <w:tc>
          <w:tcPr>
            <w:tcW w:type="dxa" w:w="5832"/>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1872"/>
          </w:tcPr>
          <w:p>
            <w:pPr>
              <w:spacing w:after="20"/>
            </w:pPr>
            <w:r>
              <w:rPr>
                <w:color w:val="1C3A36"/>
                <w:sz w:val="15"/>
              </w:rPr>
              <w:t>othrev_h2_25</w:t>
            </w:r>
          </w:p>
        </w:tc>
        <w:tc>
          <w:tcPr>
            <w:tcW w:type="dxa" w:w="1440"/>
          </w:tcPr>
          <w:p>
            <w:pPr>
              <w:spacing w:after="20"/>
            </w:pPr>
            <w:r>
              <w:rPr>
                <w:color w:val="1C3A36"/>
                <w:sz w:val="15"/>
              </w:rPr>
              <w:t>345,744,052.0</w:t>
            </w:r>
          </w:p>
        </w:tc>
        <w:tc>
          <w:tcPr>
            <w:tcW w:type="dxa" w:w="1037"/>
          </w:tcPr>
          <w:p>
            <w:pPr>
              <w:spacing w:after="20"/>
            </w:pPr>
            <w:r>
              <w:rPr>
                <w:color w:val="1C3A36"/>
                <w:sz w:val="15"/>
              </w:rPr>
              <w:t>2025-12-31</w:t>
            </w:r>
          </w:p>
        </w:tc>
        <w:tc>
          <w:tcPr>
            <w:tcW w:type="dxa" w:w="5832"/>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1872"/>
          </w:tcPr>
          <w:p>
            <w:pPr>
              <w:spacing w:after="20"/>
            </w:pPr>
            <w:r>
              <w:rPr>
                <w:color w:val="1C3A36"/>
                <w:sz w:val="15"/>
              </w:rPr>
              <w:t>invinc_h2_25</w:t>
            </w:r>
          </w:p>
        </w:tc>
        <w:tc>
          <w:tcPr>
            <w:tcW w:type="dxa" w:w="1440"/>
          </w:tcPr>
          <w:p>
            <w:pPr>
              <w:spacing w:after="20"/>
            </w:pPr>
            <w:r>
              <w:rPr>
                <w:color w:val="1C3A36"/>
                <w:sz w:val="15"/>
              </w:rPr>
              <w:t>13,520,000.0</w:t>
            </w:r>
          </w:p>
        </w:tc>
        <w:tc>
          <w:tcPr>
            <w:tcW w:type="dxa" w:w="1037"/>
          </w:tcPr>
          <w:p>
            <w:pPr>
              <w:spacing w:after="20"/>
            </w:pPr>
            <w:r>
              <w:rPr>
                <w:color w:val="1C3A36"/>
                <w:sz w:val="15"/>
              </w:rPr>
              <w:t>2025-12-31</w:t>
            </w:r>
          </w:p>
        </w:tc>
        <w:tc>
          <w:tcPr>
            <w:tcW w:type="dxa" w:w="5832"/>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1872"/>
          </w:tcPr>
          <w:p>
            <w:pPr>
              <w:spacing w:after="20"/>
            </w:pPr>
            <w:r>
              <w:rPr>
                <w:color w:val="1C3A36"/>
                <w:sz w:val="15"/>
              </w:rPr>
              <w:t>prov_h2_25</w:t>
            </w:r>
          </w:p>
        </w:tc>
        <w:tc>
          <w:tcPr>
            <w:tcW w:type="dxa" w:w="1440"/>
          </w:tcPr>
          <w:p>
            <w:pPr>
              <w:spacing w:after="20"/>
            </w:pPr>
            <w:r>
              <w:rPr>
                <w:color w:val="1C3A36"/>
                <w:sz w:val="15"/>
              </w:rPr>
              <w:t>2,467,769.0</w:t>
            </w:r>
          </w:p>
        </w:tc>
        <w:tc>
          <w:tcPr>
            <w:tcW w:type="dxa" w:w="1037"/>
          </w:tcPr>
          <w:p>
            <w:pPr>
              <w:spacing w:after="20"/>
            </w:pPr>
            <w:r>
              <w:rPr>
                <w:color w:val="1C3A36"/>
                <w:sz w:val="15"/>
              </w:rPr>
              <w:t>2025-12-31</w:t>
            </w:r>
          </w:p>
        </w:tc>
        <w:tc>
          <w:tcPr>
            <w:tcW w:type="dxa" w:w="5832"/>
          </w:tcPr>
          <w:p>
            <w:pPr>
              <w:spacing w:after="20"/>
            </w:pPr>
            <w:r>
              <w:rPr>
                <w:color w:val="1C3A36"/>
                <w:sz w:val="15"/>
              </w:rPr>
              <w:t>Formed provisions charged in the six months to 31-Dec-2025. Audited consolidated FS, transition period 1-Jul-2025 to 31-Dec-2025, Crowe unqualified, 18-Feb-2026</w:t>
            </w:r>
          </w:p>
        </w:tc>
      </w:tr>
      <w:tr>
        <w:tc>
          <w:tcPr>
            <w:tcW w:type="dxa" w:w="1872"/>
          </w:tcPr>
          <w:p>
            <w:pPr>
              <w:spacing w:after="20"/>
            </w:pPr>
            <w:r>
              <w:rPr>
                <w:color w:val="1C3A36"/>
                <w:sz w:val="15"/>
              </w:rPr>
              <w:t>fin_h2_25</w:t>
            </w:r>
          </w:p>
        </w:tc>
        <w:tc>
          <w:tcPr>
            <w:tcW w:type="dxa" w:w="1440"/>
          </w:tcPr>
          <w:p>
            <w:pPr>
              <w:spacing w:after="20"/>
            </w:pPr>
            <w:r>
              <w:rPr>
                <w:color w:val="1C3A36"/>
                <w:sz w:val="15"/>
              </w:rPr>
              <w:t>1,892,108.0</w:t>
            </w:r>
          </w:p>
        </w:tc>
        <w:tc>
          <w:tcPr>
            <w:tcW w:type="dxa" w:w="1037"/>
          </w:tcPr>
          <w:p>
            <w:pPr>
              <w:spacing w:after="20"/>
            </w:pPr>
            <w:r>
              <w:rPr>
                <w:color w:val="1C3A36"/>
                <w:sz w:val="15"/>
              </w:rPr>
              <w:t>2025-12-31</w:t>
            </w:r>
          </w:p>
        </w:tc>
        <w:tc>
          <w:tcPr>
            <w:tcW w:type="dxa" w:w="5832"/>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1872"/>
          </w:tcPr>
          <w:p>
            <w:pPr>
              <w:spacing w:after="20"/>
            </w:pPr>
            <w:r>
              <w:rPr>
                <w:color w:val="1C3A36"/>
                <w:sz w:val="15"/>
              </w:rPr>
              <w:t>tax_h2_25</w:t>
            </w:r>
          </w:p>
        </w:tc>
        <w:tc>
          <w:tcPr>
            <w:tcW w:type="dxa" w:w="1440"/>
          </w:tcPr>
          <w:p>
            <w:pPr>
              <w:spacing w:after="20"/>
            </w:pPr>
            <w:r>
              <w:rPr>
                <w:color w:val="1C3A36"/>
                <w:sz w:val="15"/>
              </w:rPr>
              <w:t>203,945,433.0</w:t>
            </w:r>
          </w:p>
        </w:tc>
        <w:tc>
          <w:tcPr>
            <w:tcW w:type="dxa" w:w="1037"/>
          </w:tcPr>
          <w:p>
            <w:pPr>
              <w:spacing w:after="20"/>
            </w:pPr>
            <w:r>
              <w:rPr>
                <w:color w:val="1C3A36"/>
                <w:sz w:val="15"/>
              </w:rPr>
              <w:t>2025-12-31</w:t>
            </w:r>
          </w:p>
        </w:tc>
        <w:tc>
          <w:tcPr>
            <w:tcW w:type="dxa" w:w="5832"/>
          </w:tcPr>
          <w:p>
            <w:pPr>
              <w:spacing w:after="20"/>
            </w:pPr>
            <w:r>
              <w:rPr>
                <w:color w:val="1C3A36"/>
                <w:sz w:val="15"/>
              </w:rPr>
              <w:t>Current income tax, six months to 31-Dec-2025. Audited consolidated FS, transition period 1-Jul-2025 to 31-Dec-2025, Crowe unqualified, 18-Feb-2026</w:t>
            </w:r>
          </w:p>
        </w:tc>
      </w:tr>
      <w:tr>
        <w:tc>
          <w:tcPr>
            <w:tcW w:type="dxa" w:w="1872"/>
          </w:tcPr>
          <w:p>
            <w:pPr>
              <w:spacing w:after="20"/>
            </w:pPr>
            <w:r>
              <w:rPr>
                <w:color w:val="1C3A36"/>
                <w:sz w:val="15"/>
              </w:rPr>
              <w:t>dtax_h2_25</w:t>
            </w:r>
          </w:p>
        </w:tc>
        <w:tc>
          <w:tcPr>
            <w:tcW w:type="dxa" w:w="1440"/>
          </w:tcPr>
          <w:p>
            <w:pPr>
              <w:spacing w:after="20"/>
            </w:pPr>
            <w:r>
              <w:rPr>
                <w:color w:val="1C3A36"/>
                <w:sz w:val="15"/>
              </w:rPr>
              <w:t>19,441,512.0</w:t>
            </w:r>
          </w:p>
        </w:tc>
        <w:tc>
          <w:tcPr>
            <w:tcW w:type="dxa" w:w="1037"/>
          </w:tcPr>
          <w:p>
            <w:pPr>
              <w:spacing w:after="20"/>
            </w:pPr>
            <w:r>
              <w:rPr>
                <w:color w:val="1C3A36"/>
                <w:sz w:val="15"/>
              </w:rPr>
              <w:t>2025-12-31</w:t>
            </w:r>
          </w:p>
        </w:tc>
        <w:tc>
          <w:tcPr>
            <w:tcW w:type="dxa" w:w="5832"/>
          </w:tcPr>
          <w:p>
            <w:pPr>
              <w:spacing w:after="20"/>
            </w:pPr>
            <w:r>
              <w:rPr>
                <w:color w:val="1C3A36"/>
                <w:sz w:val="15"/>
              </w:rPr>
              <w:t>Deferred tax CREDIT, six months to 31-Dec-2025. Audited consolidated FS, transition period 1-Jul-2025 to 31-Dec-2025, Crowe unqualified, 18-Feb-2026</w:t>
            </w:r>
          </w:p>
        </w:tc>
      </w:tr>
      <w:tr>
        <w:tc>
          <w:tcPr>
            <w:tcW w:type="dxa" w:w="1872"/>
          </w:tcPr>
          <w:p>
            <w:pPr>
              <w:spacing w:after="20"/>
            </w:pPr>
            <w:r>
              <w:rPr>
                <w:color w:val="1C3A36"/>
                <w:sz w:val="15"/>
              </w:rPr>
              <w:t>pat_h2_25</w:t>
            </w:r>
          </w:p>
        </w:tc>
        <w:tc>
          <w:tcPr>
            <w:tcW w:type="dxa" w:w="1440"/>
          </w:tcPr>
          <w:p>
            <w:pPr>
              <w:spacing w:after="20"/>
            </w:pPr>
            <w:r>
              <w:rPr>
                <w:color w:val="1C3A36"/>
                <w:sz w:val="15"/>
              </w:rPr>
              <w:t>656,428,711.0</w:t>
            </w:r>
          </w:p>
        </w:tc>
        <w:tc>
          <w:tcPr>
            <w:tcW w:type="dxa" w:w="1037"/>
          </w:tcPr>
          <w:p>
            <w:pPr>
              <w:spacing w:after="20"/>
            </w:pPr>
            <w:r>
              <w:rPr>
                <w:color w:val="1C3A36"/>
                <w:sz w:val="15"/>
              </w:rPr>
              <w:t>2025-12-31</w:t>
            </w:r>
          </w:p>
        </w:tc>
        <w:tc>
          <w:tcPr>
            <w:tcW w:type="dxa" w:w="5832"/>
          </w:tcPr>
          <w:p>
            <w:pPr>
              <w:spacing w:after="20"/>
            </w:pPr>
            <w:r>
              <w:rPr>
                <w:color w:val="1C3A36"/>
                <w:sz w:val="15"/>
              </w:rPr>
              <w:t>Net profit after tax, six months to 31-Dec-2025. Audited consolidated FS, transition period 1-Jul-2025 to 31-Dec-2025, Crowe unqualified, 18-Feb-2026</w:t>
            </w:r>
          </w:p>
        </w:tc>
      </w:tr>
      <w:tr>
        <w:tc>
          <w:tcPr>
            <w:tcW w:type="dxa" w:w="1872"/>
          </w:tcPr>
          <w:p>
            <w:pPr>
              <w:spacing w:after="20"/>
            </w:pPr>
            <w:r>
              <w:rPr>
                <w:color w:val="1C3A36"/>
                <w:sz w:val="15"/>
              </w:rPr>
              <w:t>nci_h2_25</w:t>
            </w:r>
          </w:p>
        </w:tc>
        <w:tc>
          <w:tcPr>
            <w:tcW w:type="dxa" w:w="1440"/>
          </w:tcPr>
          <w:p>
            <w:pPr>
              <w:spacing w:after="20"/>
            </w:pPr>
            <w:r>
              <w:rPr>
                <w:color w:val="1C3A36"/>
                <w:sz w:val="15"/>
              </w:rPr>
              <w:t>30,488,250.0</w:t>
            </w:r>
          </w:p>
        </w:tc>
        <w:tc>
          <w:tcPr>
            <w:tcW w:type="dxa" w:w="1037"/>
          </w:tcPr>
          <w:p>
            <w:pPr>
              <w:spacing w:after="20"/>
            </w:pPr>
            <w:r>
              <w:rPr>
                <w:color w:val="1C3A36"/>
                <w:sz w:val="15"/>
              </w:rPr>
              <w:t>2025-12-31</w:t>
            </w:r>
          </w:p>
        </w:tc>
        <w:tc>
          <w:tcPr>
            <w:tcW w:type="dxa" w:w="5832"/>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1872"/>
          </w:tcPr>
          <w:p>
            <w:pPr>
              <w:spacing w:after="20"/>
            </w:pPr>
            <w:r>
              <w:rPr>
                <w:color w:val="1C3A36"/>
                <w:sz w:val="15"/>
              </w:rPr>
              <w:t>emp_h2_25</w:t>
            </w:r>
          </w:p>
        </w:tc>
        <w:tc>
          <w:tcPr>
            <w:tcW w:type="dxa" w:w="1440"/>
          </w:tcPr>
          <w:p>
            <w:pPr>
              <w:spacing w:after="20"/>
            </w:pPr>
            <w:r>
              <w:rPr>
                <w:color w:val="1C3A36"/>
                <w:sz w:val="15"/>
              </w:rPr>
              <w:t>67,467,871.0</w:t>
            </w:r>
          </w:p>
        </w:tc>
        <w:tc>
          <w:tcPr>
            <w:tcW w:type="dxa" w:w="1037"/>
          </w:tcPr>
          <w:p>
            <w:pPr>
              <w:spacing w:after="20"/>
            </w:pPr>
            <w:r>
              <w:rPr>
                <w:color w:val="1C3A36"/>
                <w:sz w:val="15"/>
              </w:rPr>
              <w:t>2025-12-31</w:t>
            </w:r>
          </w:p>
        </w:tc>
        <w:tc>
          <w:tcPr>
            <w:tcW w:type="dxa" w:w="5832"/>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1872"/>
          </w:tcPr>
          <w:p>
            <w:pPr>
              <w:spacing w:after="20"/>
            </w:pPr>
            <w:r>
              <w:rPr>
                <w:color w:val="1C3A36"/>
                <w:sz w:val="15"/>
              </w:rPr>
              <w:t>rev_q1_26</w:t>
            </w:r>
          </w:p>
        </w:tc>
        <w:tc>
          <w:tcPr>
            <w:tcW w:type="dxa" w:w="1440"/>
          </w:tcPr>
          <w:p>
            <w:pPr>
              <w:spacing w:after="20"/>
            </w:pPr>
            <w:r>
              <w:rPr>
                <w:color w:val="1C3A36"/>
                <w:sz w:val="15"/>
              </w:rPr>
              <w:t>10,510,779,160.0</w:t>
            </w:r>
          </w:p>
        </w:tc>
        <w:tc>
          <w:tcPr>
            <w:tcW w:type="dxa" w:w="1037"/>
          </w:tcPr>
          <w:p>
            <w:pPr>
              <w:spacing w:after="20"/>
            </w:pPr>
            <w:r>
              <w:rPr>
                <w:color w:val="1C3A36"/>
                <w:sz w:val="15"/>
              </w:rPr>
              <w:t>2026-03-31</w:t>
            </w:r>
          </w:p>
        </w:tc>
        <w:tc>
          <w:tcPr>
            <w:tcW w:type="dxa" w:w="5832"/>
          </w:tcPr>
          <w:p>
            <w:pPr>
              <w:spacing w:after="20"/>
            </w:pPr>
            <w:r>
              <w:rPr>
                <w:color w:val="1C3A36"/>
                <w:sz w:val="15"/>
              </w:rPr>
              <w:t>Net sales, three months to 31-Mar-2026. Reviewed consolidated FS, three months to 31-Mar-2026</w:t>
            </w:r>
          </w:p>
        </w:tc>
      </w:tr>
      <w:tr>
        <w:tc>
          <w:tcPr>
            <w:tcW w:type="dxa" w:w="1872"/>
          </w:tcPr>
          <w:p>
            <w:pPr>
              <w:spacing w:after="20"/>
            </w:pPr>
            <w:r>
              <w:rPr>
                <w:color w:val="1C3A36"/>
                <w:sz w:val="15"/>
              </w:rPr>
              <w:t>cogs_q1_26</w:t>
            </w:r>
          </w:p>
        </w:tc>
        <w:tc>
          <w:tcPr>
            <w:tcW w:type="dxa" w:w="1440"/>
          </w:tcPr>
          <w:p>
            <w:pPr>
              <w:spacing w:after="20"/>
            </w:pPr>
            <w:r>
              <w:rPr>
                <w:color w:val="1C3A36"/>
                <w:sz w:val="15"/>
              </w:rPr>
              <w:t>9,439,744,195.0</w:t>
            </w:r>
          </w:p>
        </w:tc>
        <w:tc>
          <w:tcPr>
            <w:tcW w:type="dxa" w:w="1037"/>
          </w:tcPr>
          <w:p>
            <w:pPr>
              <w:spacing w:after="20"/>
            </w:pPr>
            <w:r>
              <w:rPr>
                <w:color w:val="1C3A36"/>
                <w:sz w:val="15"/>
              </w:rPr>
              <w:t>2026-03-31</w:t>
            </w:r>
          </w:p>
        </w:tc>
        <w:tc>
          <w:tcPr>
            <w:tcW w:type="dxa" w:w="5832"/>
          </w:tcPr>
          <w:p>
            <w:pPr>
              <w:spacing w:after="20"/>
            </w:pPr>
            <w:r>
              <w:rPr>
                <w:color w:val="1C3A36"/>
                <w:sz w:val="15"/>
              </w:rPr>
              <w:t>Cost of sales, three months to 31-Mar-2026. Reviewed consolidated FS, three months to 31-Mar-2026</w:t>
            </w:r>
          </w:p>
        </w:tc>
      </w:tr>
      <w:tr>
        <w:tc>
          <w:tcPr>
            <w:tcW w:type="dxa" w:w="1872"/>
          </w:tcPr>
          <w:p>
            <w:pPr>
              <w:spacing w:after="20"/>
            </w:pPr>
            <w:r>
              <w:rPr>
                <w:color w:val="1C3A36"/>
                <w:sz w:val="15"/>
              </w:rPr>
              <w:t>ga_q1_26</w:t>
            </w:r>
          </w:p>
        </w:tc>
        <w:tc>
          <w:tcPr>
            <w:tcW w:type="dxa" w:w="1440"/>
          </w:tcPr>
          <w:p>
            <w:pPr>
              <w:spacing w:after="20"/>
            </w:pPr>
            <w:r>
              <w:rPr>
                <w:color w:val="1C3A36"/>
                <w:sz w:val="15"/>
              </w:rPr>
              <w:t>365,952,237.0</w:t>
            </w:r>
          </w:p>
        </w:tc>
        <w:tc>
          <w:tcPr>
            <w:tcW w:type="dxa" w:w="1037"/>
          </w:tcPr>
          <w:p>
            <w:pPr>
              <w:spacing w:after="20"/>
            </w:pPr>
            <w:r>
              <w:rPr>
                <w:color w:val="1C3A36"/>
                <w:sz w:val="15"/>
              </w:rPr>
              <w:t>2026-03-31</w:t>
            </w:r>
          </w:p>
        </w:tc>
        <w:tc>
          <w:tcPr>
            <w:tcW w:type="dxa" w:w="5832"/>
          </w:tcPr>
          <w:p>
            <w:pPr>
              <w:spacing w:after="20"/>
            </w:pPr>
            <w:r>
              <w:rPr>
                <w:color w:val="1C3A36"/>
                <w:sz w:val="15"/>
              </w:rPr>
              <w:t>General and administrative expenses, three months to 31-Mar-2026. Reviewed consolidated FS, three months to 31-Mar-2026</w:t>
            </w:r>
          </w:p>
        </w:tc>
      </w:tr>
      <w:tr>
        <w:tc>
          <w:tcPr>
            <w:tcW w:type="dxa" w:w="1872"/>
          </w:tcPr>
          <w:p>
            <w:pPr>
              <w:spacing w:after="20"/>
            </w:pPr>
            <w:r>
              <w:rPr>
                <w:color w:val="1C3A36"/>
                <w:sz w:val="15"/>
              </w:rPr>
              <w:t>mkt_q1_26</w:t>
            </w:r>
          </w:p>
        </w:tc>
        <w:tc>
          <w:tcPr>
            <w:tcW w:type="dxa" w:w="1440"/>
          </w:tcPr>
          <w:p>
            <w:pPr>
              <w:spacing w:after="20"/>
            </w:pPr>
            <w:r>
              <w:rPr>
                <w:color w:val="1C3A36"/>
                <w:sz w:val="15"/>
              </w:rPr>
              <w:t>60,830,975.0</w:t>
            </w:r>
          </w:p>
        </w:tc>
        <w:tc>
          <w:tcPr>
            <w:tcW w:type="dxa" w:w="1037"/>
          </w:tcPr>
          <w:p>
            <w:pPr>
              <w:spacing w:after="20"/>
            </w:pPr>
            <w:r>
              <w:rPr>
                <w:color w:val="1C3A36"/>
                <w:sz w:val="15"/>
              </w:rPr>
              <w:t>2026-03-31</w:t>
            </w:r>
          </w:p>
        </w:tc>
        <w:tc>
          <w:tcPr>
            <w:tcW w:type="dxa" w:w="5832"/>
          </w:tcPr>
          <w:p>
            <w:pPr>
              <w:spacing w:after="20"/>
            </w:pPr>
            <w:r>
              <w:rPr>
                <w:color w:val="1C3A36"/>
                <w:sz w:val="15"/>
              </w:rPr>
              <w:t>Marketing and selling expenses, three months to 31-Mar-2026. Reviewed consolidated FS, three months to 31-Mar-2026</w:t>
            </w:r>
          </w:p>
        </w:tc>
      </w:tr>
      <w:tr>
        <w:tc>
          <w:tcPr>
            <w:tcW w:type="dxa" w:w="1872"/>
          </w:tcPr>
          <w:p>
            <w:pPr>
              <w:spacing w:after="20"/>
            </w:pPr>
            <w:r>
              <w:rPr>
                <w:color w:val="1C3A36"/>
                <w:sz w:val="15"/>
              </w:rPr>
              <w:t>othexp_q1_26</w:t>
            </w:r>
          </w:p>
        </w:tc>
        <w:tc>
          <w:tcPr>
            <w:tcW w:type="dxa" w:w="1440"/>
          </w:tcPr>
          <w:p>
            <w:pPr>
              <w:spacing w:after="20"/>
            </w:pPr>
            <w:r>
              <w:rPr>
                <w:color w:val="1C3A36"/>
                <w:sz w:val="15"/>
              </w:rPr>
              <w:t>1,080,000.0</w:t>
            </w:r>
          </w:p>
        </w:tc>
        <w:tc>
          <w:tcPr>
            <w:tcW w:type="dxa" w:w="1037"/>
          </w:tcPr>
          <w:p>
            <w:pPr>
              <w:spacing w:after="20"/>
            </w:pPr>
            <w:r>
              <w:rPr>
                <w:color w:val="1C3A36"/>
                <w:sz w:val="15"/>
              </w:rPr>
              <w:t>2026-03-31</w:t>
            </w:r>
          </w:p>
        </w:tc>
        <w:tc>
          <w:tcPr>
            <w:tcW w:type="dxa" w:w="5832"/>
          </w:tcPr>
          <w:p>
            <w:pPr>
              <w:spacing w:after="20"/>
            </w:pPr>
            <w:r>
              <w:rPr>
                <w:color w:val="1C3A36"/>
                <w:sz w:val="15"/>
              </w:rPr>
              <w:t>Other operating expenses, three months to 31-Mar-2026. Reviewed consolidated FS, three months to 31-Mar-2026</w:t>
            </w:r>
          </w:p>
        </w:tc>
      </w:tr>
      <w:tr>
        <w:tc>
          <w:tcPr>
            <w:tcW w:type="dxa" w:w="1872"/>
          </w:tcPr>
          <w:p>
            <w:pPr>
              <w:spacing w:after="20"/>
            </w:pPr>
            <w:r>
              <w:rPr>
                <w:color w:val="1C3A36"/>
                <w:sz w:val="15"/>
              </w:rPr>
              <w:t>othrev_q1_26</w:t>
            </w:r>
          </w:p>
        </w:tc>
        <w:tc>
          <w:tcPr>
            <w:tcW w:type="dxa" w:w="1440"/>
          </w:tcPr>
          <w:p>
            <w:pPr>
              <w:spacing w:after="20"/>
            </w:pPr>
            <w:r>
              <w:rPr>
                <w:color w:val="1C3A36"/>
                <w:sz w:val="15"/>
              </w:rPr>
              <w:t>225,556,509.0</w:t>
            </w:r>
          </w:p>
        </w:tc>
        <w:tc>
          <w:tcPr>
            <w:tcW w:type="dxa" w:w="1037"/>
          </w:tcPr>
          <w:p>
            <w:pPr>
              <w:spacing w:after="20"/>
            </w:pPr>
            <w:r>
              <w:rPr>
                <w:color w:val="1C3A36"/>
                <w:sz w:val="15"/>
              </w:rPr>
              <w:t>2026-03-31</w:t>
            </w:r>
          </w:p>
        </w:tc>
        <w:tc>
          <w:tcPr>
            <w:tcW w:type="dxa" w:w="5832"/>
          </w:tcPr>
          <w:p>
            <w:pPr>
              <w:spacing w:after="20"/>
            </w:pPr>
            <w:r>
              <w:rPr>
                <w:color w:val="1C3A36"/>
                <w:sz w:val="15"/>
              </w:rPr>
              <w:t>Other revenue, three months to 31-Mar-2026. Reviewed consolidated FS, three months to 31-Mar-2026</w:t>
            </w:r>
          </w:p>
        </w:tc>
      </w:tr>
      <w:tr>
        <w:tc>
          <w:tcPr>
            <w:tcW w:type="dxa" w:w="1872"/>
          </w:tcPr>
          <w:p>
            <w:pPr>
              <w:spacing w:after="20"/>
            </w:pPr>
            <w:r>
              <w:rPr>
                <w:color w:val="1C3A36"/>
                <w:sz w:val="15"/>
              </w:rPr>
              <w:t>prov_q1_26</w:t>
            </w:r>
          </w:p>
        </w:tc>
        <w:tc>
          <w:tcPr>
            <w:tcW w:type="dxa" w:w="1440"/>
          </w:tcPr>
          <w:p>
            <w:pPr>
              <w:spacing w:after="20"/>
            </w:pPr>
            <w:r>
              <w:rPr>
                <w:color w:val="1C3A36"/>
                <w:sz w:val="15"/>
              </w:rPr>
              <w:t>30,000,000.0</w:t>
            </w:r>
          </w:p>
        </w:tc>
        <w:tc>
          <w:tcPr>
            <w:tcW w:type="dxa" w:w="1037"/>
          </w:tcPr>
          <w:p>
            <w:pPr>
              <w:spacing w:after="20"/>
            </w:pPr>
            <w:r>
              <w:rPr>
                <w:color w:val="1C3A36"/>
                <w:sz w:val="15"/>
              </w:rPr>
              <w:t>2026-03-31</w:t>
            </w:r>
          </w:p>
        </w:tc>
        <w:tc>
          <w:tcPr>
            <w:tcW w:type="dxa" w:w="5832"/>
          </w:tcPr>
          <w:p>
            <w:pPr>
              <w:spacing w:after="20"/>
            </w:pPr>
            <w:r>
              <w:rPr>
                <w:color w:val="1C3A36"/>
                <w:sz w:val="15"/>
              </w:rPr>
              <w:t>Formed provisions, three months to 31-Mar-2026. Reviewed consolidated FS, three months to 31-Mar-2026</w:t>
            </w:r>
          </w:p>
        </w:tc>
      </w:tr>
      <w:tr>
        <w:tc>
          <w:tcPr>
            <w:tcW w:type="dxa" w:w="1872"/>
          </w:tcPr>
          <w:p>
            <w:pPr>
              <w:spacing w:after="20"/>
            </w:pPr>
            <w:r>
              <w:rPr>
                <w:color w:val="1C3A36"/>
                <w:sz w:val="15"/>
              </w:rPr>
              <w:t>ecl_q1_26</w:t>
            </w:r>
          </w:p>
        </w:tc>
        <w:tc>
          <w:tcPr>
            <w:tcW w:type="dxa" w:w="1440"/>
          </w:tcPr>
          <w:p>
            <w:pPr>
              <w:spacing w:after="20"/>
            </w:pPr>
            <w:r>
              <w:rPr>
                <w:color w:val="1C3A36"/>
                <w:sz w:val="15"/>
              </w:rPr>
              <w:t>20,323,123.0</w:t>
            </w:r>
          </w:p>
        </w:tc>
        <w:tc>
          <w:tcPr>
            <w:tcW w:type="dxa" w:w="1037"/>
          </w:tcPr>
          <w:p>
            <w:pPr>
              <w:spacing w:after="20"/>
            </w:pPr>
            <w:r>
              <w:rPr>
                <w:color w:val="1C3A36"/>
                <w:sz w:val="15"/>
              </w:rPr>
              <w:t>2026-03-31</w:t>
            </w:r>
          </w:p>
        </w:tc>
        <w:tc>
          <w:tcPr>
            <w:tcW w:type="dxa" w:w="5832"/>
          </w:tcPr>
          <w:p>
            <w:pPr>
              <w:spacing w:after="20"/>
            </w:pPr>
            <w:r>
              <w:rPr>
                <w:color w:val="1C3A36"/>
                <w:sz w:val="15"/>
              </w:rPr>
              <w:t>Expected credit losses formed, three months to 31-Mar-2026. Reviewed consolidated FS, three months to 31-Mar-2026</w:t>
            </w:r>
          </w:p>
        </w:tc>
      </w:tr>
      <w:tr>
        <w:tc>
          <w:tcPr>
            <w:tcW w:type="dxa" w:w="1872"/>
          </w:tcPr>
          <w:p>
            <w:pPr>
              <w:spacing w:after="20"/>
            </w:pPr>
            <w:r>
              <w:rPr>
                <w:color w:val="1C3A36"/>
                <w:sz w:val="15"/>
              </w:rPr>
              <w:t>fin_q1_26</w:t>
            </w:r>
          </w:p>
        </w:tc>
        <w:tc>
          <w:tcPr>
            <w:tcW w:type="dxa" w:w="1440"/>
          </w:tcPr>
          <w:p>
            <w:pPr>
              <w:spacing w:after="20"/>
            </w:pPr>
            <w:r>
              <w:rPr>
                <w:color w:val="1C3A36"/>
                <w:sz w:val="15"/>
              </w:rPr>
              <w:t>982,219.0</w:t>
            </w:r>
          </w:p>
        </w:tc>
        <w:tc>
          <w:tcPr>
            <w:tcW w:type="dxa" w:w="1037"/>
          </w:tcPr>
          <w:p>
            <w:pPr>
              <w:spacing w:after="20"/>
            </w:pPr>
            <w:r>
              <w:rPr>
                <w:color w:val="1C3A36"/>
                <w:sz w:val="15"/>
              </w:rPr>
              <w:t>2026-03-31</w:t>
            </w:r>
          </w:p>
        </w:tc>
        <w:tc>
          <w:tcPr>
            <w:tcW w:type="dxa" w:w="5832"/>
          </w:tcPr>
          <w:p>
            <w:pPr>
              <w:spacing w:after="20"/>
            </w:pPr>
            <w:r>
              <w:rPr>
                <w:color w:val="1C3A36"/>
                <w:sz w:val="15"/>
              </w:rPr>
              <w:t>Finance cost, three months to 31-Mar-2026. Reviewed consolidated FS, three months to 31-Mar-2026</w:t>
            </w:r>
          </w:p>
        </w:tc>
      </w:tr>
      <w:tr>
        <w:tc>
          <w:tcPr>
            <w:tcW w:type="dxa" w:w="1872"/>
          </w:tcPr>
          <w:p>
            <w:pPr>
              <w:spacing w:after="20"/>
            </w:pPr>
            <w:r>
              <w:rPr>
                <w:color w:val="1C3A36"/>
                <w:sz w:val="15"/>
              </w:rPr>
              <w:t>tax_q1_26</w:t>
            </w:r>
          </w:p>
        </w:tc>
        <w:tc>
          <w:tcPr>
            <w:tcW w:type="dxa" w:w="1440"/>
          </w:tcPr>
          <w:p>
            <w:pPr>
              <w:spacing w:after="20"/>
            </w:pPr>
            <w:r>
              <w:rPr>
                <w:color w:val="1C3A36"/>
                <w:sz w:val="15"/>
              </w:rPr>
              <w:t>175,094,101.0</w:t>
            </w:r>
          </w:p>
        </w:tc>
        <w:tc>
          <w:tcPr>
            <w:tcW w:type="dxa" w:w="1037"/>
          </w:tcPr>
          <w:p>
            <w:pPr>
              <w:spacing w:after="20"/>
            </w:pPr>
            <w:r>
              <w:rPr>
                <w:color w:val="1C3A36"/>
                <w:sz w:val="15"/>
              </w:rPr>
              <w:t>2026-03-31</w:t>
            </w:r>
          </w:p>
        </w:tc>
        <w:tc>
          <w:tcPr>
            <w:tcW w:type="dxa" w:w="5832"/>
          </w:tcPr>
          <w:p>
            <w:pPr>
              <w:spacing w:after="20"/>
            </w:pPr>
            <w:r>
              <w:rPr>
                <w:color w:val="1C3A36"/>
                <w:sz w:val="15"/>
              </w:rPr>
              <w:t>Current income tax, three months to 31-Mar-2026. Reviewed consolidated FS, three months to 31-Mar-2026</w:t>
            </w:r>
          </w:p>
        </w:tc>
      </w:tr>
      <w:tr>
        <w:tc>
          <w:tcPr>
            <w:tcW w:type="dxa" w:w="1872"/>
          </w:tcPr>
          <w:p>
            <w:pPr>
              <w:spacing w:after="20"/>
            </w:pPr>
            <w:r>
              <w:rPr>
                <w:color w:val="1C3A36"/>
                <w:sz w:val="15"/>
              </w:rPr>
              <w:t>dtax_q1_26</w:t>
            </w:r>
          </w:p>
        </w:tc>
        <w:tc>
          <w:tcPr>
            <w:tcW w:type="dxa" w:w="1440"/>
          </w:tcPr>
          <w:p>
            <w:pPr>
              <w:spacing w:after="20"/>
            </w:pPr>
            <w:r>
              <w:rPr>
                <w:color w:val="1C3A36"/>
                <w:sz w:val="15"/>
              </w:rPr>
              <w:t>-7,209,684.0</w:t>
            </w:r>
          </w:p>
        </w:tc>
        <w:tc>
          <w:tcPr>
            <w:tcW w:type="dxa" w:w="1037"/>
          </w:tcPr>
          <w:p>
            <w:pPr>
              <w:spacing w:after="20"/>
            </w:pPr>
            <w:r>
              <w:rPr>
                <w:color w:val="1C3A36"/>
                <w:sz w:val="15"/>
              </w:rPr>
              <w:t>2026-03-31</w:t>
            </w:r>
          </w:p>
        </w:tc>
        <w:tc>
          <w:tcPr>
            <w:tcW w:type="dxa" w:w="5832"/>
          </w:tcPr>
          <w:p>
            <w:pPr>
              <w:spacing w:after="20"/>
            </w:pPr>
            <w:r>
              <w:rPr>
                <w:color w:val="1C3A36"/>
                <w:sz w:val="15"/>
              </w:rPr>
              <w:t>Deferred tax EXPENSE (negative = charge), three months to 31-Mar-2026. Reviewed consolidated FS, three months to 31-Mar-2026</w:t>
            </w:r>
          </w:p>
        </w:tc>
      </w:tr>
      <w:tr>
        <w:tc>
          <w:tcPr>
            <w:tcW w:type="dxa" w:w="1872"/>
          </w:tcPr>
          <w:p>
            <w:pPr>
              <w:spacing w:after="20"/>
            </w:pPr>
            <w:r>
              <w:rPr>
                <w:color w:val="1C3A36"/>
                <w:sz w:val="15"/>
              </w:rPr>
              <w:t>pat_q1_26</w:t>
            </w:r>
          </w:p>
        </w:tc>
        <w:tc>
          <w:tcPr>
            <w:tcW w:type="dxa" w:w="1440"/>
          </w:tcPr>
          <w:p>
            <w:pPr>
              <w:spacing w:after="20"/>
            </w:pPr>
            <w:r>
              <w:rPr>
                <w:color w:val="1C3A36"/>
                <w:sz w:val="15"/>
              </w:rPr>
              <w:t>635,119,535.0</w:t>
            </w:r>
          </w:p>
        </w:tc>
        <w:tc>
          <w:tcPr>
            <w:tcW w:type="dxa" w:w="1037"/>
          </w:tcPr>
          <w:p>
            <w:pPr>
              <w:spacing w:after="20"/>
            </w:pPr>
            <w:r>
              <w:rPr>
                <w:color w:val="1C3A36"/>
                <w:sz w:val="15"/>
              </w:rPr>
              <w:t>2026-03-31</w:t>
            </w:r>
          </w:p>
        </w:tc>
        <w:tc>
          <w:tcPr>
            <w:tcW w:type="dxa" w:w="5832"/>
          </w:tcPr>
          <w:p>
            <w:pPr>
              <w:spacing w:after="20"/>
            </w:pPr>
            <w:r>
              <w:rPr>
                <w:color w:val="1C3A36"/>
                <w:sz w:val="15"/>
              </w:rPr>
              <w:t>Net profit after tax, three months to 31-Mar-2026. Reviewed consolidated FS, three months to 31-Mar-2026</w:t>
            </w:r>
          </w:p>
        </w:tc>
      </w:tr>
      <w:tr>
        <w:tc>
          <w:tcPr>
            <w:tcW w:type="dxa" w:w="1872"/>
          </w:tcPr>
          <w:p>
            <w:pPr>
              <w:spacing w:after="20"/>
            </w:pPr>
            <w:r>
              <w:rPr>
                <w:color w:val="1C3A36"/>
                <w:sz w:val="15"/>
              </w:rPr>
              <w:t>nci_q1_26</w:t>
            </w:r>
          </w:p>
        </w:tc>
        <w:tc>
          <w:tcPr>
            <w:tcW w:type="dxa" w:w="1440"/>
          </w:tcPr>
          <w:p>
            <w:pPr>
              <w:spacing w:after="20"/>
            </w:pPr>
            <w:r>
              <w:rPr>
                <w:color w:val="1C3A36"/>
                <w:sz w:val="15"/>
              </w:rPr>
              <w:t>22,627,676.0</w:t>
            </w:r>
          </w:p>
        </w:tc>
        <w:tc>
          <w:tcPr>
            <w:tcW w:type="dxa" w:w="1037"/>
          </w:tcPr>
          <w:p>
            <w:pPr>
              <w:spacing w:after="20"/>
            </w:pPr>
            <w:r>
              <w:rPr>
                <w:color w:val="1C3A36"/>
                <w:sz w:val="15"/>
              </w:rPr>
              <w:t>2026-03-31</w:t>
            </w:r>
          </w:p>
        </w:tc>
        <w:tc>
          <w:tcPr>
            <w:tcW w:type="dxa" w:w="5832"/>
          </w:tcPr>
          <w:p>
            <w:pPr>
              <w:spacing w:after="20"/>
            </w:pPr>
            <w:r>
              <w:rPr>
                <w:color w:val="1C3A36"/>
                <w:sz w:val="15"/>
              </w:rPr>
              <w:t>Non-controlling interest share of profit, three months to 31-Mar-2026. Reviewed consolidated FS, three months to 31-Mar-2026</w:t>
            </w:r>
          </w:p>
        </w:tc>
      </w:tr>
      <w:tr>
        <w:tc>
          <w:tcPr>
            <w:tcW w:type="dxa" w:w="1872"/>
          </w:tcPr>
          <w:p>
            <w:pPr>
              <w:spacing w:after="20"/>
            </w:pPr>
            <w:r>
              <w:rPr>
                <w:color w:val="1C3A36"/>
                <w:sz w:val="15"/>
              </w:rPr>
              <w:t>rev_h2_24</w:t>
            </w:r>
          </w:p>
        </w:tc>
        <w:tc>
          <w:tcPr>
            <w:tcW w:type="dxa" w:w="1440"/>
          </w:tcPr>
          <w:p>
            <w:pPr>
              <w:spacing w:after="20"/>
            </w:pPr>
            <w:r>
              <w:rPr>
                <w:color w:val="1C3A36"/>
                <w:sz w:val="15"/>
              </w:rPr>
              <w:t>18,246,078,901.0</w:t>
            </w:r>
          </w:p>
        </w:tc>
        <w:tc>
          <w:tcPr>
            <w:tcW w:type="dxa" w:w="1037"/>
          </w:tcPr>
          <w:p>
            <w:pPr>
              <w:spacing w:after="20"/>
            </w:pPr>
            <w:r>
              <w:rPr>
                <w:color w:val="1C3A36"/>
                <w:sz w:val="15"/>
              </w:rPr>
              <w:t>2024-12-31</w:t>
            </w:r>
          </w:p>
        </w:tc>
        <w:tc>
          <w:tcPr>
            <w:tcW w:type="dxa" w:w="5832"/>
          </w:tcPr>
          <w:p>
            <w:pPr>
              <w:spacing w:after="20"/>
            </w:pPr>
            <w:r>
              <w:rPr>
                <w:color w:val="1C3A36"/>
                <w:sz w:val="15"/>
              </w:rPr>
              <w:t>Net sales, six months to 31-Dec-2024 (comparative column). Audited consolidated FS, transition period 1-Jul-2025 to 31-Dec-2025, Crowe unqualified, 18-Feb-2026</w:t>
            </w:r>
          </w:p>
        </w:tc>
      </w:tr>
      <w:tr>
        <w:tc>
          <w:tcPr>
            <w:tcW w:type="dxa" w:w="1872"/>
          </w:tcPr>
          <w:p>
            <w:pPr>
              <w:spacing w:after="20"/>
            </w:pPr>
            <w:r>
              <w:rPr>
                <w:color w:val="1C3A36"/>
                <w:sz w:val="15"/>
              </w:rPr>
              <w:t>cogs_h2_24</w:t>
            </w:r>
          </w:p>
        </w:tc>
        <w:tc>
          <w:tcPr>
            <w:tcW w:type="dxa" w:w="1440"/>
          </w:tcPr>
          <w:p>
            <w:pPr>
              <w:spacing w:after="20"/>
            </w:pPr>
            <w:r>
              <w:rPr>
                <w:color w:val="1C3A36"/>
                <w:sz w:val="15"/>
              </w:rPr>
              <w:t>16,995,436,456.0</w:t>
            </w:r>
          </w:p>
        </w:tc>
        <w:tc>
          <w:tcPr>
            <w:tcW w:type="dxa" w:w="1037"/>
          </w:tcPr>
          <w:p>
            <w:pPr>
              <w:spacing w:after="20"/>
            </w:pPr>
            <w:r>
              <w:rPr>
                <w:color w:val="1C3A36"/>
                <w:sz w:val="15"/>
              </w:rPr>
              <w:t>2024-12-31</w:t>
            </w:r>
          </w:p>
        </w:tc>
        <w:tc>
          <w:tcPr>
            <w:tcW w:type="dxa" w:w="5832"/>
          </w:tcPr>
          <w:p>
            <w:pPr>
              <w:spacing w:after="20"/>
            </w:pPr>
            <w:r>
              <w:rPr>
                <w:color w:val="1C3A36"/>
                <w:sz w:val="15"/>
              </w:rPr>
              <w:t>Cost of sales, six months to 31-Dec-2024 (comparative column). Audited consolidated FS, transition period 1-Jul-2025 to 31-Dec-2025, Crowe unqualified, 18-Feb-2026</w:t>
            </w:r>
          </w:p>
        </w:tc>
      </w:tr>
      <w:tr>
        <w:tc>
          <w:tcPr>
            <w:tcW w:type="dxa" w:w="1872"/>
          </w:tcPr>
          <w:p>
            <w:pPr>
              <w:spacing w:after="20"/>
            </w:pPr>
            <w:r>
              <w:rPr>
                <w:color w:val="1C3A36"/>
                <w:sz w:val="15"/>
              </w:rPr>
              <w:t>pat_h2_24</w:t>
            </w:r>
          </w:p>
        </w:tc>
        <w:tc>
          <w:tcPr>
            <w:tcW w:type="dxa" w:w="1440"/>
          </w:tcPr>
          <w:p>
            <w:pPr>
              <w:spacing w:after="20"/>
            </w:pPr>
            <w:r>
              <w:rPr>
                <w:color w:val="1C3A36"/>
                <w:sz w:val="15"/>
              </w:rPr>
              <w:t>641,640,411.0</w:t>
            </w:r>
          </w:p>
        </w:tc>
        <w:tc>
          <w:tcPr>
            <w:tcW w:type="dxa" w:w="1037"/>
          </w:tcPr>
          <w:p>
            <w:pPr>
              <w:spacing w:after="20"/>
            </w:pPr>
            <w:r>
              <w:rPr>
                <w:color w:val="1C3A36"/>
                <w:sz w:val="15"/>
              </w:rPr>
              <w:t>2024-12-31</w:t>
            </w:r>
          </w:p>
        </w:tc>
        <w:tc>
          <w:tcPr>
            <w:tcW w:type="dxa" w:w="5832"/>
          </w:tcPr>
          <w:p>
            <w:pPr>
              <w:spacing w:after="20"/>
            </w:pPr>
            <w:r>
              <w:rPr>
                <w:color w:val="1C3A36"/>
                <w:sz w:val="15"/>
              </w:rPr>
              <w:t>Net profit after tax, six months to 31-Dec-2024. Audited consolidated FS, transition period 1-Jul-2025 to 31-Dec-2025, Crowe unqualified, 18-Feb-2026</w:t>
            </w:r>
          </w:p>
        </w:tc>
      </w:tr>
      <w:tr>
        <w:tc>
          <w:tcPr>
            <w:tcW w:type="dxa" w:w="1872"/>
          </w:tcPr>
          <w:p>
            <w:pPr>
              <w:spacing w:after="20"/>
            </w:pPr>
            <w:r>
              <w:rPr>
                <w:color w:val="1C3A36"/>
                <w:sz w:val="15"/>
              </w:rPr>
              <w:t>rev_q1_25</w:t>
            </w:r>
          </w:p>
        </w:tc>
        <w:tc>
          <w:tcPr>
            <w:tcW w:type="dxa" w:w="1440"/>
          </w:tcPr>
          <w:p>
            <w:pPr>
              <w:spacing w:after="20"/>
            </w:pPr>
            <w:r>
              <w:rPr>
                <w:color w:val="1C3A36"/>
                <w:sz w:val="15"/>
              </w:rPr>
              <w:t>10,068,471,935.0</w:t>
            </w:r>
          </w:p>
        </w:tc>
        <w:tc>
          <w:tcPr>
            <w:tcW w:type="dxa" w:w="1037"/>
          </w:tcPr>
          <w:p>
            <w:pPr>
              <w:spacing w:after="20"/>
            </w:pPr>
            <w:r>
              <w:rPr>
                <w:color w:val="1C3A36"/>
                <w:sz w:val="15"/>
              </w:rPr>
              <w:t>2025-03-31</w:t>
            </w:r>
          </w:p>
        </w:tc>
        <w:tc>
          <w:tcPr>
            <w:tcW w:type="dxa" w:w="5832"/>
          </w:tcPr>
          <w:p>
            <w:pPr>
              <w:spacing w:after="20"/>
            </w:pPr>
            <w:r>
              <w:rPr>
                <w:color w:val="1C3A36"/>
                <w:sz w:val="15"/>
              </w:rPr>
              <w:t>Net sales, three months to 31-Mar-2025 (comparative column). Reviewed consolidated FS, three months to 31-Mar-2026</w:t>
            </w:r>
          </w:p>
        </w:tc>
      </w:tr>
      <w:tr>
        <w:tc>
          <w:tcPr>
            <w:tcW w:type="dxa" w:w="1872"/>
          </w:tcPr>
          <w:p>
            <w:pPr>
              <w:spacing w:after="20"/>
            </w:pPr>
            <w:r>
              <w:rPr>
                <w:color w:val="1C3A36"/>
                <w:sz w:val="15"/>
              </w:rPr>
              <w:t>cogs_q1_25</w:t>
            </w:r>
          </w:p>
        </w:tc>
        <w:tc>
          <w:tcPr>
            <w:tcW w:type="dxa" w:w="1440"/>
          </w:tcPr>
          <w:p>
            <w:pPr>
              <w:spacing w:after="20"/>
            </w:pPr>
            <w:r>
              <w:rPr>
                <w:color w:val="1C3A36"/>
                <w:sz w:val="15"/>
              </w:rPr>
              <w:t>9,559,699,263.0</w:t>
            </w:r>
          </w:p>
        </w:tc>
        <w:tc>
          <w:tcPr>
            <w:tcW w:type="dxa" w:w="1037"/>
          </w:tcPr>
          <w:p>
            <w:pPr>
              <w:spacing w:after="20"/>
            </w:pPr>
            <w:r>
              <w:rPr>
                <w:color w:val="1C3A36"/>
                <w:sz w:val="15"/>
              </w:rPr>
              <w:t>2025-03-31</w:t>
            </w:r>
          </w:p>
        </w:tc>
        <w:tc>
          <w:tcPr>
            <w:tcW w:type="dxa" w:w="5832"/>
          </w:tcPr>
          <w:p>
            <w:pPr>
              <w:spacing w:after="20"/>
            </w:pPr>
            <w:r>
              <w:rPr>
                <w:color w:val="1C3A36"/>
                <w:sz w:val="15"/>
              </w:rPr>
              <w:t>Cost of sales, three months to 31-Mar-2025 (comparative column). Reviewed consolidated FS, three months to 31-Mar-2026</w:t>
            </w:r>
          </w:p>
        </w:tc>
      </w:tr>
      <w:tr>
        <w:tc>
          <w:tcPr>
            <w:tcW w:type="dxa" w:w="1872"/>
          </w:tcPr>
          <w:p>
            <w:pPr>
              <w:spacing w:after="20"/>
            </w:pPr>
            <w:r>
              <w:rPr>
                <w:color w:val="1C3A36"/>
                <w:sz w:val="15"/>
              </w:rPr>
              <w:t>pat_fy25_full</w:t>
            </w:r>
          </w:p>
        </w:tc>
        <w:tc>
          <w:tcPr>
            <w:tcW w:type="dxa" w:w="1440"/>
          </w:tcPr>
          <w:p>
            <w:pPr>
              <w:spacing w:after="20"/>
            </w:pPr>
            <w:r>
              <w:rPr>
                <w:color w:val="1C3A36"/>
                <w:sz w:val="15"/>
              </w:rPr>
              <w:t>1,488,520,098.0</w:t>
            </w:r>
          </w:p>
        </w:tc>
        <w:tc>
          <w:tcPr>
            <w:tcW w:type="dxa" w:w="1037"/>
          </w:tcPr>
          <w:p>
            <w:pPr>
              <w:spacing w:after="20"/>
            </w:pPr>
            <w:r>
              <w:rPr>
                <w:color w:val="1C3A36"/>
                <w:sz w:val="15"/>
              </w:rPr>
              <w:t>2025-06-30</w:t>
            </w:r>
          </w:p>
        </w:tc>
        <w:tc>
          <w:tcPr>
            <w:tcW w:type="dxa" w:w="5832"/>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1872"/>
          </w:tcPr>
          <w:p>
            <w:pPr>
              <w:spacing w:after="20"/>
            </w:pPr>
            <w:r>
              <w:rPr>
                <w:color w:val="1C3A36"/>
                <w:sz w:val="15"/>
              </w:rPr>
              <w:t>prod_t</w:t>
            </w:r>
          </w:p>
        </w:tc>
        <w:tc>
          <w:tcPr>
            <w:tcW w:type="dxa" w:w="1440"/>
          </w:tcPr>
          <w:p>
            <w:pPr>
              <w:spacing w:after="20"/>
            </w:pPr>
            <w:r>
              <w:rPr>
                <w:color w:val="1C3A36"/>
                <w:sz w:val="15"/>
              </w:rPr>
              <w:t>oils: 54,969.0; wax: 41,774.2; gasoil: 171,684.9; naphtha: 41,430.9; lpg: 23,735.8; fueloil: 460,153.6; hfo: 14,327.5; waste: 7.82</w:t>
            </w:r>
          </w:p>
        </w:tc>
        <w:tc>
          <w:tcPr>
            <w:tcW w:type="dxa" w:w="1037"/>
          </w:tcPr>
          <w:p>
            <w:pPr>
              <w:spacing w:after="20"/>
            </w:pPr>
            <w:r>
              <w:rPr>
                <w:color w:val="1C3A36"/>
                <w:sz w:val="15"/>
              </w:rPr>
              <w:t>2025-12-31</w:t>
            </w:r>
          </w:p>
        </w:tc>
        <w:tc>
          <w:tcPr>
            <w:tcW w:type="dxa" w:w="5832"/>
          </w:tcPr>
          <w:p>
            <w:pPr>
              <w:spacing w:after="20"/>
            </w:pPr>
            <w:r>
              <w:rPr>
                <w:color w:val="1C3A36"/>
                <w:sz w:val="15"/>
              </w:rPr>
              <w:t>Tonnes sold by product line, six months to 31-Dec-2025 (note 14-A). Audited consolidated FS, transition period 1-Jul-2025 to 31-Dec-2025, Crowe unqualified, 18-Feb-2026</w:t>
            </w:r>
          </w:p>
        </w:tc>
      </w:tr>
      <w:tr>
        <w:tc>
          <w:tcPr>
            <w:tcW w:type="dxa" w:w="1872"/>
          </w:tcPr>
          <w:p>
            <w:pPr>
              <w:spacing w:after="20"/>
            </w:pPr>
            <w:r>
              <w:rPr>
                <w:color w:val="1C3A36"/>
                <w:sz w:val="15"/>
              </w:rPr>
              <w:t>prod_v</w:t>
            </w:r>
          </w:p>
        </w:tc>
        <w:tc>
          <w:tcPr>
            <w:tcW w:type="dxa" w:w="1440"/>
          </w:tcPr>
          <w:p>
            <w:pPr>
              <w:spacing w:after="20"/>
            </w:pPr>
            <w:r>
              <w:rPr>
                <w:color w:val="1C3A36"/>
                <w:sz w:val="15"/>
              </w:rPr>
              <w:t>oils: 2,597,280,264.0; wax: 2,041,969,329.0; gasoil: 5,121,703,599.0; naphtha: 958,746,631.0; lpg: 816,258,520.0; fueloil: 8,975,569,716.0; hfo: 224,110,353.0; waste: 87,400.0</w:t>
            </w:r>
          </w:p>
        </w:tc>
        <w:tc>
          <w:tcPr>
            <w:tcW w:type="dxa" w:w="1037"/>
          </w:tcPr>
          <w:p>
            <w:pPr>
              <w:spacing w:after="20"/>
            </w:pPr>
            <w:r>
              <w:rPr>
                <w:color w:val="1C3A36"/>
                <w:sz w:val="15"/>
              </w:rPr>
              <w:t>2025-12-31</w:t>
            </w:r>
          </w:p>
        </w:tc>
        <w:tc>
          <w:tcPr>
            <w:tcW w:type="dxa" w:w="5832"/>
          </w:tcPr>
          <w:p>
            <w:pPr>
              <w:spacing w:after="20"/>
            </w:pPr>
            <w:r>
              <w:rPr>
                <w:color w:val="1C3A36"/>
                <w:sz w:val="15"/>
              </w:rPr>
              <w:t>Sales value by product line, EGP, six months to 31-Dec-2025 (note 14-A). Audited consolidated FS, transition period 1-Jul-2025 to 31-Dec-2025, Crowe unqualified, 18-Feb-2026</w:t>
            </w:r>
          </w:p>
        </w:tc>
      </w:tr>
      <w:tr>
        <w:tc>
          <w:tcPr>
            <w:tcW w:type="dxa" w:w="1872"/>
          </w:tcPr>
          <w:p>
            <w:pPr>
              <w:spacing w:after="20"/>
            </w:pPr>
            <w:r>
              <w:rPr>
                <w:color w:val="1C3A36"/>
                <w:sz w:val="15"/>
              </w:rPr>
              <w:t>prod_v_prior</w:t>
            </w:r>
          </w:p>
        </w:tc>
        <w:tc>
          <w:tcPr>
            <w:tcW w:type="dxa" w:w="1440"/>
          </w:tcPr>
          <w:p>
            <w:pPr>
              <w:spacing w:after="20"/>
            </w:pPr>
            <w:r>
              <w:rPr>
                <w:color w:val="1C3A36"/>
                <w:sz w:val="15"/>
              </w:rPr>
              <w:t>oils: 2,526,857,239.0; wax: 1,683,792,907.0; gasoil: 5,219,594,878.0; naphtha: 1,034,502,087.0; lpg: 687,509,617.0; fueloil: 6,954,252,764.0; hfo: 139,454,409.0; waste: 115,000.0</w:t>
            </w:r>
          </w:p>
        </w:tc>
        <w:tc>
          <w:tcPr>
            <w:tcW w:type="dxa" w:w="1037"/>
          </w:tcPr>
          <w:p>
            <w:pPr>
              <w:spacing w:after="20"/>
            </w:pPr>
            <w:r>
              <w:rPr>
                <w:color w:val="1C3A36"/>
                <w:sz w:val="15"/>
              </w:rPr>
              <w:t>2024-12-31</w:t>
            </w:r>
          </w:p>
        </w:tc>
        <w:tc>
          <w:tcPr>
            <w:tcW w:type="dxa" w:w="5832"/>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1872"/>
          </w:tcPr>
          <w:p>
            <w:pPr>
              <w:spacing w:after="20"/>
            </w:pPr>
            <w:r>
              <w:rPr>
                <w:color w:val="1C3A36"/>
                <w:sz w:val="15"/>
              </w:rPr>
              <w:t>cos_salaries</w:t>
            </w:r>
          </w:p>
        </w:tc>
        <w:tc>
          <w:tcPr>
            <w:tcW w:type="dxa" w:w="1440"/>
          </w:tcPr>
          <w:p>
            <w:pPr>
              <w:spacing w:after="20"/>
            </w:pPr>
            <w:r>
              <w:rPr>
                <w:color w:val="1C3A36"/>
                <w:sz w:val="15"/>
              </w:rPr>
              <w:t>881,019,497.0</w:t>
            </w:r>
          </w:p>
        </w:tc>
        <w:tc>
          <w:tcPr>
            <w:tcW w:type="dxa" w:w="1037"/>
          </w:tcPr>
          <w:p>
            <w:pPr>
              <w:spacing w:after="20"/>
            </w:pPr>
            <w:r>
              <w:rPr>
                <w:color w:val="1C3A36"/>
                <w:sz w:val="15"/>
              </w:rPr>
              <w:t>2025-12-31</w:t>
            </w:r>
          </w:p>
        </w:tc>
        <w:tc>
          <w:tcPr>
            <w:tcW w:type="dxa" w:w="5832"/>
          </w:tcPr>
          <w:p>
            <w:pPr>
              <w:spacing w:after="20"/>
            </w:pPr>
            <w:r>
              <w:rPr>
                <w:color w:val="1C3A36"/>
                <w:sz w:val="15"/>
              </w:rPr>
              <w:t>Cost of sales — salaries, six months to 31-Dec-2025 (note 15-A). Audited consolidated FS, transition period 1-Jul-2025 to 31-Dec-2025, Crowe unqualified, 18-Feb-2026</w:t>
            </w:r>
          </w:p>
        </w:tc>
      </w:tr>
      <w:tr>
        <w:tc>
          <w:tcPr>
            <w:tcW w:type="dxa" w:w="1872"/>
          </w:tcPr>
          <w:p>
            <w:pPr>
              <w:spacing w:after="20"/>
            </w:pPr>
            <w:r>
              <w:rPr>
                <w:color w:val="1C3A36"/>
                <w:sz w:val="15"/>
              </w:rPr>
              <w:t>cos_raw</w:t>
            </w:r>
          </w:p>
        </w:tc>
        <w:tc>
          <w:tcPr>
            <w:tcW w:type="dxa" w:w="1440"/>
          </w:tcPr>
          <w:p>
            <w:pPr>
              <w:spacing w:after="20"/>
            </w:pPr>
            <w:r>
              <w:rPr>
                <w:color w:val="1C3A36"/>
                <w:sz w:val="15"/>
              </w:rPr>
              <w:t>17,650,102,725.0</w:t>
            </w:r>
          </w:p>
        </w:tc>
        <w:tc>
          <w:tcPr>
            <w:tcW w:type="dxa" w:w="1037"/>
          </w:tcPr>
          <w:p>
            <w:pPr>
              <w:spacing w:after="20"/>
            </w:pPr>
            <w:r>
              <w:rPr>
                <w:color w:val="1C3A36"/>
                <w:sz w:val="15"/>
              </w:rPr>
              <w:t>2025-12-31</w:t>
            </w:r>
          </w:p>
        </w:tc>
        <w:tc>
          <w:tcPr>
            <w:tcW w:type="dxa" w:w="5832"/>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1872"/>
          </w:tcPr>
          <w:p>
            <w:pPr>
              <w:spacing w:after="20"/>
            </w:pPr>
            <w:r>
              <w:rPr>
                <w:color w:val="1C3A36"/>
                <w:sz w:val="15"/>
              </w:rPr>
              <w:t>cos_support</w:t>
            </w:r>
          </w:p>
        </w:tc>
        <w:tc>
          <w:tcPr>
            <w:tcW w:type="dxa" w:w="1440"/>
          </w:tcPr>
          <w:p>
            <w:pPr>
              <w:spacing w:after="20"/>
            </w:pPr>
            <w:r>
              <w:rPr>
                <w:color w:val="1C3A36"/>
                <w:sz w:val="15"/>
              </w:rPr>
              <w:t>64,533,723.0</w:t>
            </w:r>
          </w:p>
        </w:tc>
        <w:tc>
          <w:tcPr>
            <w:tcW w:type="dxa" w:w="1037"/>
          </w:tcPr>
          <w:p>
            <w:pPr>
              <w:spacing w:after="20"/>
            </w:pPr>
            <w:r>
              <w:rPr>
                <w:color w:val="1C3A36"/>
                <w:sz w:val="15"/>
              </w:rPr>
              <w:t>2025-12-31</w:t>
            </w:r>
          </w:p>
        </w:tc>
        <w:tc>
          <w:tcPr>
            <w:tcW w:type="dxa" w:w="5832"/>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1872"/>
          </w:tcPr>
          <w:p>
            <w:pPr>
              <w:spacing w:after="20"/>
            </w:pPr>
            <w:r>
              <w:rPr>
                <w:color w:val="1C3A36"/>
                <w:sz w:val="15"/>
              </w:rPr>
              <w:t>cos_dep</w:t>
            </w:r>
          </w:p>
        </w:tc>
        <w:tc>
          <w:tcPr>
            <w:tcW w:type="dxa" w:w="1440"/>
          </w:tcPr>
          <w:p>
            <w:pPr>
              <w:spacing w:after="20"/>
            </w:pPr>
            <w:r>
              <w:rPr>
                <w:color w:val="1C3A36"/>
                <w:sz w:val="15"/>
              </w:rPr>
              <w:t>58,748,046.0</w:t>
            </w:r>
          </w:p>
        </w:tc>
        <w:tc>
          <w:tcPr>
            <w:tcW w:type="dxa" w:w="1037"/>
          </w:tcPr>
          <w:p>
            <w:pPr>
              <w:spacing w:after="20"/>
            </w:pPr>
            <w:r>
              <w:rPr>
                <w:color w:val="1C3A36"/>
                <w:sz w:val="15"/>
              </w:rPr>
              <w:t>2025-12-31</w:t>
            </w:r>
          </w:p>
        </w:tc>
        <w:tc>
          <w:tcPr>
            <w:tcW w:type="dxa" w:w="5832"/>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1872"/>
          </w:tcPr>
          <w:p>
            <w:pPr>
              <w:spacing w:after="20"/>
            </w:pPr>
            <w:r>
              <w:rPr>
                <w:color w:val="1C3A36"/>
                <w:sz w:val="15"/>
              </w:rPr>
              <w:t>cos_other</w:t>
            </w:r>
          </w:p>
        </w:tc>
        <w:tc>
          <w:tcPr>
            <w:tcW w:type="dxa" w:w="1440"/>
          </w:tcPr>
          <w:p>
            <w:pPr>
              <w:spacing w:after="20"/>
            </w:pPr>
            <w:r>
              <w:rPr>
                <w:color w:val="1C3A36"/>
                <w:sz w:val="15"/>
              </w:rPr>
              <w:t>807,146,755.0</w:t>
            </w:r>
          </w:p>
        </w:tc>
        <w:tc>
          <w:tcPr>
            <w:tcW w:type="dxa" w:w="1037"/>
          </w:tcPr>
          <w:p>
            <w:pPr>
              <w:spacing w:after="20"/>
            </w:pPr>
            <w:r>
              <w:rPr>
                <w:color w:val="1C3A36"/>
                <w:sz w:val="15"/>
              </w:rPr>
              <w:t>2025-12-31</w:t>
            </w:r>
          </w:p>
        </w:tc>
        <w:tc>
          <w:tcPr>
            <w:tcW w:type="dxa" w:w="5832"/>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1872"/>
          </w:tcPr>
          <w:p>
            <w:pPr>
              <w:spacing w:after="20"/>
            </w:pPr>
            <w:r>
              <w:rPr>
                <w:color w:val="1C3A36"/>
                <w:sz w:val="15"/>
              </w:rPr>
              <w:t>cos_salaries_24</w:t>
            </w:r>
          </w:p>
        </w:tc>
        <w:tc>
          <w:tcPr>
            <w:tcW w:type="dxa" w:w="1440"/>
          </w:tcPr>
          <w:p>
            <w:pPr>
              <w:spacing w:after="20"/>
            </w:pPr>
            <w:r>
              <w:rPr>
                <w:color w:val="1C3A36"/>
                <w:sz w:val="15"/>
              </w:rPr>
              <w:t>634,571,733.0</w:t>
            </w:r>
          </w:p>
        </w:tc>
        <w:tc>
          <w:tcPr>
            <w:tcW w:type="dxa" w:w="1037"/>
          </w:tcPr>
          <w:p>
            <w:pPr>
              <w:spacing w:after="20"/>
            </w:pPr>
            <w:r>
              <w:rPr>
                <w:color w:val="1C3A36"/>
                <w:sz w:val="15"/>
              </w:rPr>
              <w:t>2024-12-31</w:t>
            </w:r>
          </w:p>
        </w:tc>
        <w:tc>
          <w:tcPr>
            <w:tcW w:type="dxa" w:w="5832"/>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1872"/>
          </w:tcPr>
          <w:p>
            <w:pPr>
              <w:spacing w:after="20"/>
            </w:pPr>
            <w:r>
              <w:rPr>
                <w:color w:val="1C3A36"/>
                <w:sz w:val="15"/>
              </w:rPr>
              <w:t>cos_raw_24</w:t>
            </w:r>
          </w:p>
        </w:tc>
        <w:tc>
          <w:tcPr>
            <w:tcW w:type="dxa" w:w="1440"/>
          </w:tcPr>
          <w:p>
            <w:pPr>
              <w:spacing w:after="20"/>
            </w:pPr>
            <w:r>
              <w:rPr>
                <w:color w:val="1C3A36"/>
                <w:sz w:val="15"/>
              </w:rPr>
              <w:t>15,597,464,119.0</w:t>
            </w:r>
          </w:p>
        </w:tc>
        <w:tc>
          <w:tcPr>
            <w:tcW w:type="dxa" w:w="1037"/>
          </w:tcPr>
          <w:p>
            <w:pPr>
              <w:spacing w:after="20"/>
            </w:pPr>
            <w:r>
              <w:rPr>
                <w:color w:val="1C3A36"/>
                <w:sz w:val="15"/>
              </w:rPr>
              <w:t>2024-12-31</w:t>
            </w:r>
          </w:p>
        </w:tc>
        <w:tc>
          <w:tcPr>
            <w:tcW w:type="dxa" w:w="5832"/>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1872"/>
          </w:tcPr>
          <w:p>
            <w:pPr>
              <w:spacing w:after="20"/>
            </w:pPr>
            <w:r>
              <w:rPr>
                <w:color w:val="1C3A36"/>
                <w:sz w:val="15"/>
              </w:rPr>
              <w:t>cos_support_24</w:t>
            </w:r>
          </w:p>
        </w:tc>
        <w:tc>
          <w:tcPr>
            <w:tcW w:type="dxa" w:w="1440"/>
          </w:tcPr>
          <w:p>
            <w:pPr>
              <w:spacing w:after="20"/>
            </w:pPr>
            <w:r>
              <w:rPr>
                <w:color w:val="1C3A36"/>
                <w:sz w:val="15"/>
              </w:rPr>
              <w:t>68,294,446.0</w:t>
            </w:r>
          </w:p>
        </w:tc>
        <w:tc>
          <w:tcPr>
            <w:tcW w:type="dxa" w:w="1037"/>
          </w:tcPr>
          <w:p>
            <w:pPr>
              <w:spacing w:after="20"/>
            </w:pPr>
            <w:r>
              <w:rPr>
                <w:color w:val="1C3A36"/>
                <w:sz w:val="15"/>
              </w:rPr>
              <w:t>2024-12-31</w:t>
            </w:r>
          </w:p>
        </w:tc>
        <w:tc>
          <w:tcPr>
            <w:tcW w:type="dxa" w:w="5832"/>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1872"/>
          </w:tcPr>
          <w:p>
            <w:pPr>
              <w:spacing w:after="20"/>
            </w:pPr>
            <w:r>
              <w:rPr>
                <w:color w:val="1C3A36"/>
                <w:sz w:val="15"/>
              </w:rPr>
              <w:t>cos_dep_24</w:t>
            </w:r>
          </w:p>
        </w:tc>
        <w:tc>
          <w:tcPr>
            <w:tcW w:type="dxa" w:w="1440"/>
          </w:tcPr>
          <w:p>
            <w:pPr>
              <w:spacing w:after="20"/>
            </w:pPr>
            <w:r>
              <w:rPr>
                <w:color w:val="1C3A36"/>
                <w:sz w:val="15"/>
              </w:rPr>
              <w:t>53,507,611.0</w:t>
            </w:r>
          </w:p>
        </w:tc>
        <w:tc>
          <w:tcPr>
            <w:tcW w:type="dxa" w:w="1037"/>
          </w:tcPr>
          <w:p>
            <w:pPr>
              <w:spacing w:after="20"/>
            </w:pPr>
            <w:r>
              <w:rPr>
                <w:color w:val="1C3A36"/>
                <w:sz w:val="15"/>
              </w:rPr>
              <w:t>2024-12-31</w:t>
            </w:r>
          </w:p>
        </w:tc>
        <w:tc>
          <w:tcPr>
            <w:tcW w:type="dxa" w:w="5832"/>
          </w:tcPr>
          <w:p>
            <w:pPr>
              <w:spacing w:after="20"/>
            </w:pPr>
            <w:r>
              <w:rPr>
                <w:color w:val="1C3A36"/>
                <w:sz w:val="15"/>
              </w:rPr>
              <w:t>Cost of sales — depreciation, six months to 31-Dec-2024. Audited consolidated FS, transition period 1-Jul-2025 to 31-Dec-2025, Crowe unqualified, 18-Feb-2026</w:t>
            </w:r>
          </w:p>
        </w:tc>
      </w:tr>
      <w:tr>
        <w:tc>
          <w:tcPr>
            <w:tcW w:type="dxa" w:w="1872"/>
          </w:tcPr>
          <w:p>
            <w:pPr>
              <w:spacing w:after="20"/>
            </w:pPr>
            <w:r>
              <w:rPr>
                <w:color w:val="1C3A36"/>
                <w:sz w:val="15"/>
              </w:rPr>
              <w:t>cos_other_24</w:t>
            </w:r>
          </w:p>
        </w:tc>
        <w:tc>
          <w:tcPr>
            <w:tcW w:type="dxa" w:w="1440"/>
          </w:tcPr>
          <w:p>
            <w:pPr>
              <w:spacing w:after="20"/>
            </w:pPr>
            <w:r>
              <w:rPr>
                <w:color w:val="1C3A36"/>
                <w:sz w:val="15"/>
              </w:rPr>
              <w:t>641,598,547.0</w:t>
            </w:r>
          </w:p>
        </w:tc>
        <w:tc>
          <w:tcPr>
            <w:tcW w:type="dxa" w:w="1037"/>
          </w:tcPr>
          <w:p>
            <w:pPr>
              <w:spacing w:after="20"/>
            </w:pPr>
            <w:r>
              <w:rPr>
                <w:color w:val="1C3A36"/>
                <w:sz w:val="15"/>
              </w:rPr>
              <w:t>2024-12-31</w:t>
            </w:r>
          </w:p>
        </w:tc>
        <w:tc>
          <w:tcPr>
            <w:tcW w:type="dxa" w:w="5832"/>
          </w:tcPr>
          <w:p>
            <w:pPr>
              <w:spacing w:after="20"/>
            </w:pPr>
            <w:r>
              <w:rPr>
                <w:color w:val="1C3A36"/>
                <w:sz w:val="15"/>
              </w:rPr>
              <w:t>Cost of sales — other expenses, six months to 31-Dec-2024. Audited consolidated FS, transition period 1-Jul-2025 to 31-Dec-2025, Crowe unqualified, 18-Feb-2026</w:t>
            </w:r>
          </w:p>
        </w:tc>
      </w:tr>
      <w:tr>
        <w:tc>
          <w:tcPr>
            <w:tcW w:type="dxa" w:w="1872"/>
          </w:tcPr>
          <w:p>
            <w:pPr>
              <w:spacing w:after="20"/>
            </w:pPr>
            <w:r>
              <w:rPr>
                <w:color w:val="1C3A36"/>
                <w:sz w:val="15"/>
              </w:rPr>
              <w:t>ppe_net</w:t>
            </w:r>
          </w:p>
        </w:tc>
        <w:tc>
          <w:tcPr>
            <w:tcW w:type="dxa" w:w="1440"/>
          </w:tcPr>
          <w:p>
            <w:pPr>
              <w:spacing w:after="20"/>
            </w:pPr>
            <w:r>
              <w:rPr>
                <w:color w:val="1C3A36"/>
                <w:sz w:val="15"/>
              </w:rPr>
              <w:t>893,016,274.0</w:t>
            </w:r>
          </w:p>
        </w:tc>
        <w:tc>
          <w:tcPr>
            <w:tcW w:type="dxa" w:w="1037"/>
          </w:tcPr>
          <w:p>
            <w:pPr>
              <w:spacing w:after="20"/>
            </w:pPr>
            <w:r>
              <w:rPr>
                <w:color w:val="1C3A36"/>
                <w:sz w:val="15"/>
              </w:rPr>
              <w:t>2025-12-31</w:t>
            </w:r>
          </w:p>
        </w:tc>
        <w:tc>
          <w:tcPr>
            <w:tcW w:type="dxa" w:w="5832"/>
          </w:tcPr>
          <w:p>
            <w:pPr>
              <w:spacing w:after="20"/>
            </w:pPr>
            <w:r>
              <w:rPr>
                <w:color w:val="1C3A36"/>
                <w:sz w:val="15"/>
              </w:rPr>
              <w:t>Fixed assets net of accumulated depreciation at 31-Dec-2025 (note 6). Cost 2,740,810,692 less accumulated depreciation 1,847,794,418 — the plant is 67% written down, and 273,466,121 of it is fully depreciated and still in use. Audited consolidated FS, transition period 1-Jul-2025 to 31-Dec-2025, Crowe unqualified, 18-Feb-2026</w:t>
            </w:r>
          </w:p>
        </w:tc>
      </w:tr>
      <w:tr>
        <w:tc>
          <w:tcPr>
            <w:tcW w:type="dxa" w:w="1872"/>
          </w:tcPr>
          <w:p>
            <w:pPr>
              <w:spacing w:after="20"/>
            </w:pPr>
            <w:r>
              <w:rPr>
                <w:color w:val="1C3A36"/>
                <w:sz w:val="15"/>
              </w:rPr>
              <w:t>puc</w:t>
            </w:r>
          </w:p>
        </w:tc>
        <w:tc>
          <w:tcPr>
            <w:tcW w:type="dxa" w:w="1440"/>
          </w:tcPr>
          <w:p>
            <w:pPr>
              <w:spacing w:after="20"/>
            </w:pPr>
            <w:r>
              <w:rPr>
                <w:color w:val="1C3A36"/>
                <w:sz w:val="15"/>
              </w:rPr>
              <w:t>407,323,203.0</w:t>
            </w:r>
          </w:p>
        </w:tc>
        <w:tc>
          <w:tcPr>
            <w:tcW w:type="dxa" w:w="1037"/>
          </w:tcPr>
          <w:p>
            <w:pPr>
              <w:spacing w:after="20"/>
            </w:pPr>
            <w:r>
              <w:rPr>
                <w:color w:val="1C3A36"/>
                <w:sz w:val="15"/>
              </w:rPr>
              <w:t>2025-12-31</w:t>
            </w:r>
          </w:p>
        </w:tc>
        <w:tc>
          <w:tcPr>
            <w:tcW w:type="dxa" w:w="5832"/>
          </w:tcPr>
          <w:p>
            <w:pPr>
              <w:spacing w:after="20"/>
            </w:pPr>
            <w:r>
              <w:rPr>
                <w:color w:val="1C3A36"/>
                <w:sz w:val="15"/>
              </w:rPr>
              <w:t>Projects under construction at 31-Dec-2025 (note 7): assets in development 376,746,526 (administrative building, warehouses, civil projects, ERP system) plus investment expenditure 30,576,677. Audited consolidated FS, transition period 1-Jul-2025 to 31-Dec-2025, Crowe unqualified, 18-Feb-2026</w:t>
            </w:r>
          </w:p>
        </w:tc>
      </w:tr>
      <w:tr>
        <w:tc>
          <w:tcPr>
            <w:tcW w:type="dxa" w:w="1872"/>
          </w:tcPr>
          <w:p>
            <w:pPr>
              <w:spacing w:after="20"/>
            </w:pPr>
            <w:r>
              <w:rPr>
                <w:color w:val="1C3A36"/>
                <w:sz w:val="15"/>
              </w:rPr>
              <w:t>inventory</w:t>
            </w:r>
          </w:p>
        </w:tc>
        <w:tc>
          <w:tcPr>
            <w:tcW w:type="dxa" w:w="1440"/>
          </w:tcPr>
          <w:p>
            <w:pPr>
              <w:spacing w:after="20"/>
            </w:pPr>
            <w:r>
              <w:rPr>
                <w:color w:val="1C3A36"/>
                <w:sz w:val="15"/>
              </w:rPr>
              <w:t>2,847,392,506.0</w:t>
            </w:r>
          </w:p>
        </w:tc>
        <w:tc>
          <w:tcPr>
            <w:tcW w:type="dxa" w:w="1037"/>
          </w:tcPr>
          <w:p>
            <w:pPr>
              <w:spacing w:after="20"/>
            </w:pPr>
            <w:r>
              <w:rPr>
                <w:color w:val="1C3A36"/>
                <w:sz w:val="15"/>
              </w:rPr>
              <w:t>2025-12-31</w:t>
            </w:r>
          </w:p>
        </w:tc>
        <w:tc>
          <w:tcPr>
            <w:tcW w:type="dxa" w:w="5832"/>
          </w:tcPr>
          <w:p>
            <w:pPr>
              <w:spacing w:after="20"/>
            </w:pPr>
            <w:r>
              <w:rPr>
                <w:color w:val="1C3A36"/>
                <w:sz w:val="15"/>
              </w:rPr>
              <w:t>Inventory net of impairment at 31-Dec-2025 (note 9-A): work in process 792,134,042, finished goods 1,166,168,582, spare parts 309,298,239, supporting materials 283,470,554, raw materials 118,754,225, goods for resale 155,793,361. Audited consolidated FS, transition period 1-Jul-2025 to 31-Dec-2025, Crowe unqualified, 18-Feb-2026</w:t>
            </w:r>
          </w:p>
        </w:tc>
      </w:tr>
      <w:tr>
        <w:tc>
          <w:tcPr>
            <w:tcW w:type="dxa" w:w="1872"/>
          </w:tcPr>
          <w:p>
            <w:pPr>
              <w:spacing w:after="20"/>
            </w:pPr>
            <w:r>
              <w:rPr>
                <w:color w:val="1C3A36"/>
                <w:sz w:val="15"/>
              </w:rPr>
              <w:t>recv</w:t>
            </w:r>
          </w:p>
        </w:tc>
        <w:tc>
          <w:tcPr>
            <w:tcW w:type="dxa" w:w="1440"/>
          </w:tcPr>
          <w:p>
            <w:pPr>
              <w:spacing w:after="20"/>
            </w:pPr>
            <w:r>
              <w:rPr>
                <w:color w:val="1C3A36"/>
                <w:sz w:val="15"/>
              </w:rPr>
              <w:t>573,136,185.0</w:t>
            </w:r>
          </w:p>
        </w:tc>
        <w:tc>
          <w:tcPr>
            <w:tcW w:type="dxa" w:w="1037"/>
          </w:tcPr>
          <w:p>
            <w:pPr>
              <w:spacing w:after="20"/>
            </w:pPr>
            <w:r>
              <w:rPr>
                <w:color w:val="1C3A36"/>
                <w:sz w:val="15"/>
              </w:rPr>
              <w:t>2025-12-31</w:t>
            </w:r>
          </w:p>
        </w:tc>
        <w:tc>
          <w:tcPr>
            <w:tcW w:type="dxa" w:w="5832"/>
          </w:tcPr>
          <w:p>
            <w:pPr>
              <w:spacing w:after="20"/>
            </w:pPr>
            <w:r>
              <w:rPr>
                <w:color w:val="1C3A36"/>
                <w:sz w:val="15"/>
              </w:rPr>
              <w:t>Accounts receivable net at 31-Dec-2025 (note 9-B). 100% undue and unimpaired on the ageing analysis. Counterparties include Shell, ExxonMobil, Chevron, Total, TAQA/Castrol, Emarat Misr, OLA Energy and Petromine alongside the state companies. Audited consolidated FS, transition period 1-Jul-2025 to 31-Dec-2025, Crowe unqualified, 18-Feb-2026</w:t>
            </w:r>
          </w:p>
        </w:tc>
      </w:tr>
      <w:tr>
        <w:tc>
          <w:tcPr>
            <w:tcW w:type="dxa" w:w="1872"/>
          </w:tcPr>
          <w:p>
            <w:pPr>
              <w:spacing w:after="20"/>
            </w:pPr>
            <w:r>
              <w:rPr>
                <w:color w:val="1C3A36"/>
                <w:sz w:val="15"/>
              </w:rPr>
              <w:t>debtors</w:t>
            </w:r>
          </w:p>
        </w:tc>
        <w:tc>
          <w:tcPr>
            <w:tcW w:type="dxa" w:w="1440"/>
          </w:tcPr>
          <w:p>
            <w:pPr>
              <w:spacing w:after="20"/>
            </w:pPr>
            <w:r>
              <w:rPr>
                <w:color w:val="1C3A36"/>
                <w:sz w:val="15"/>
              </w:rPr>
              <w:t>366,012,664.0</w:t>
            </w:r>
          </w:p>
        </w:tc>
        <w:tc>
          <w:tcPr>
            <w:tcW w:type="dxa" w:w="1037"/>
          </w:tcPr>
          <w:p>
            <w:pPr>
              <w:spacing w:after="20"/>
            </w:pPr>
            <w:r>
              <w:rPr>
                <w:color w:val="1C3A36"/>
                <w:sz w:val="15"/>
              </w:rPr>
              <w:t>2025-12-31</w:t>
            </w:r>
          </w:p>
        </w:tc>
        <w:tc>
          <w:tcPr>
            <w:tcW w:type="dxa" w:w="5832"/>
          </w:tcPr>
          <w:p>
            <w:pPr>
              <w:spacing w:after="20"/>
            </w:pPr>
            <w:r>
              <w:rPr>
                <w:color w:val="1C3A36"/>
                <w:sz w:val="15"/>
              </w:rPr>
              <w:t>Debtors and other debit balances net at 31-Dec-2025 (notes 9-C, 9-D). Audited consolidated FS, transition period 1-Jul-2025 to 31-Dec-2025, Crowe unqualified, 18-Feb-2026</w:t>
            </w:r>
          </w:p>
        </w:tc>
      </w:tr>
      <w:tr>
        <w:tc>
          <w:tcPr>
            <w:tcW w:type="dxa" w:w="1872"/>
          </w:tcPr>
          <w:p>
            <w:pPr>
              <w:spacing w:after="20"/>
            </w:pPr>
            <w:r>
              <w:rPr>
                <w:color w:val="1C3A36"/>
                <w:sz w:val="15"/>
              </w:rPr>
              <w:t>cash</w:t>
            </w:r>
          </w:p>
        </w:tc>
        <w:tc>
          <w:tcPr>
            <w:tcW w:type="dxa" w:w="1440"/>
          </w:tcPr>
          <w:p>
            <w:pPr>
              <w:spacing w:after="20"/>
            </w:pPr>
            <w:r>
              <w:rPr>
                <w:color w:val="1C3A36"/>
                <w:sz w:val="15"/>
              </w:rPr>
              <w:t>2,463,522,365.0</w:t>
            </w:r>
          </w:p>
        </w:tc>
        <w:tc>
          <w:tcPr>
            <w:tcW w:type="dxa" w:w="1037"/>
          </w:tcPr>
          <w:p>
            <w:pPr>
              <w:spacing w:after="20"/>
            </w:pPr>
            <w:r>
              <w:rPr>
                <w:color w:val="1C3A36"/>
                <w:sz w:val="15"/>
              </w:rPr>
              <w:t>2025-12-31</w:t>
            </w:r>
          </w:p>
        </w:tc>
        <w:tc>
          <w:tcPr>
            <w:tcW w:type="dxa" w:w="5832"/>
          </w:tcPr>
          <w:p>
            <w:pPr>
              <w:spacing w:after="20"/>
            </w:pPr>
            <w:r>
              <w:rPr>
                <w:color w:val="1C3A36"/>
                <w:sz w:val="15"/>
              </w:rPr>
              <w:t>Cash at banks and on hand at 31-Dec-2025 (note 9-E): time deposits 883,351,250 plus current accounts 2,127,100,720 plus cash on hand 166,405, less expected credit losses 38,345,960, less PLEDGED deposits 508,750,050 which sit in other financial investments. Audited consolidated FS, transition period 1-Jul-2025 to 31-Dec-2025, Crowe unqualified, 18-Feb-2026</w:t>
            </w:r>
          </w:p>
        </w:tc>
      </w:tr>
      <w:tr>
        <w:tc>
          <w:tcPr>
            <w:tcW w:type="dxa" w:w="1872"/>
          </w:tcPr>
          <w:p>
            <w:pPr>
              <w:spacing w:after="20"/>
            </w:pPr>
            <w:r>
              <w:rPr>
                <w:color w:val="1C3A36"/>
                <w:sz w:val="15"/>
              </w:rPr>
              <w:t>fin_inv</w:t>
            </w:r>
          </w:p>
        </w:tc>
        <w:tc>
          <w:tcPr>
            <w:tcW w:type="dxa" w:w="1440"/>
          </w:tcPr>
          <w:p>
            <w:pPr>
              <w:spacing w:after="20"/>
            </w:pPr>
            <w:r>
              <w:rPr>
                <w:color w:val="1C3A36"/>
                <w:sz w:val="15"/>
              </w:rPr>
              <w:t>508,750,050.0</w:t>
            </w:r>
          </w:p>
        </w:tc>
        <w:tc>
          <w:tcPr>
            <w:tcW w:type="dxa" w:w="1037"/>
          </w:tcPr>
          <w:p>
            <w:pPr>
              <w:spacing w:after="20"/>
            </w:pPr>
            <w:r>
              <w:rPr>
                <w:color w:val="1C3A36"/>
                <w:sz w:val="15"/>
              </w:rPr>
              <w:t>2025-12-31</w:t>
            </w:r>
          </w:p>
        </w:tc>
        <w:tc>
          <w:tcPr>
            <w:tcW w:type="dxa" w:w="5832"/>
          </w:tcPr>
          <w:p>
            <w:pPr>
              <w:spacing w:after="20"/>
            </w:pPr>
            <w:r>
              <w:rPr>
                <w:color w:val="1C3A36"/>
                <w:sz w:val="15"/>
              </w:rPr>
              <w:t>Other financial investments at 31-Dec-2025 — deposits PLEDGED against credit facilities, so not free cash (note 9-E). Audited consolidated FS, transition period 1-Jul-2025 to 31-Dec-2025, Crowe unqualified, 18-Feb-2026</w:t>
            </w:r>
          </w:p>
        </w:tc>
      </w:tr>
      <w:tr>
        <w:tc>
          <w:tcPr>
            <w:tcW w:type="dxa" w:w="1872"/>
          </w:tcPr>
          <w:p>
            <w:pPr>
              <w:spacing w:after="20"/>
            </w:pPr>
            <w:r>
              <w:rPr>
                <w:color w:val="1C3A36"/>
                <w:sz w:val="15"/>
              </w:rPr>
              <w:t>fvoci</w:t>
            </w:r>
          </w:p>
        </w:tc>
        <w:tc>
          <w:tcPr>
            <w:tcW w:type="dxa" w:w="1440"/>
          </w:tcPr>
          <w:p>
            <w:pPr>
              <w:spacing w:after="20"/>
            </w:pPr>
            <w:r>
              <w:rPr>
                <w:color w:val="1C3A36"/>
                <w:sz w:val="15"/>
              </w:rPr>
              <w:t>69,608,696.0</w:t>
            </w:r>
          </w:p>
        </w:tc>
        <w:tc>
          <w:tcPr>
            <w:tcW w:type="dxa" w:w="1037"/>
          </w:tcPr>
          <w:p>
            <w:pPr>
              <w:spacing w:after="20"/>
            </w:pPr>
            <w:r>
              <w:rPr>
                <w:color w:val="1C3A36"/>
                <w:sz w:val="15"/>
              </w:rPr>
              <w:t>2025-12-31</w:t>
            </w:r>
          </w:p>
        </w:tc>
        <w:tc>
          <w:tcPr>
            <w:tcW w:type="dxa" w:w="5832"/>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1872"/>
          </w:tcPr>
          <w:p>
            <w:pPr>
              <w:spacing w:after="20"/>
            </w:pPr>
            <w:r>
              <w:rPr>
                <w:color w:val="1C3A36"/>
                <w:sz w:val="15"/>
              </w:rPr>
              <w:t>assets_snap</w:t>
            </w:r>
          </w:p>
        </w:tc>
        <w:tc>
          <w:tcPr>
            <w:tcW w:type="dxa" w:w="1440"/>
          </w:tcPr>
          <w:p>
            <w:pPr>
              <w:spacing w:after="20"/>
            </w:pPr>
            <w:r>
              <w:rPr>
                <w:color w:val="1C3A36"/>
                <w:sz w:val="15"/>
              </w:rPr>
              <w:t>8,136,418,030.0</w:t>
            </w:r>
          </w:p>
        </w:tc>
        <w:tc>
          <w:tcPr>
            <w:tcW w:type="dxa" w:w="1037"/>
          </w:tcPr>
          <w:p>
            <w:pPr>
              <w:spacing w:after="20"/>
            </w:pPr>
            <w:r>
              <w:rPr>
                <w:color w:val="1C3A36"/>
                <w:sz w:val="15"/>
              </w:rPr>
              <w:t>2025-12-31</w:t>
            </w:r>
          </w:p>
        </w:tc>
        <w:tc>
          <w:tcPr>
            <w:tcW w:type="dxa" w:w="5832"/>
          </w:tcPr>
          <w:p>
            <w:pPr>
              <w:spacing w:after="20"/>
            </w:pPr>
            <w:r>
              <w:rPr>
                <w:color w:val="1C3A36"/>
                <w:sz w:val="15"/>
              </w:rPr>
              <w:t>Total assets at 31-Dec-2025. Audited consolidated FS, transition period 1-Jul-2025 to 31-Dec-2025, Crowe unqualified, 18-Feb-2026</w:t>
            </w:r>
          </w:p>
        </w:tc>
      </w:tr>
      <w:tr>
        <w:tc>
          <w:tcPr>
            <w:tcW w:type="dxa" w:w="1872"/>
          </w:tcPr>
          <w:p>
            <w:pPr>
              <w:spacing w:after="20"/>
            </w:pPr>
            <w:r>
              <w:rPr>
                <w:color w:val="1C3A36"/>
                <w:sz w:val="15"/>
              </w:rPr>
              <w:t>liab_snap</w:t>
            </w:r>
          </w:p>
        </w:tc>
        <w:tc>
          <w:tcPr>
            <w:tcW w:type="dxa" w:w="1440"/>
          </w:tcPr>
          <w:p>
            <w:pPr>
              <w:spacing w:after="20"/>
            </w:pPr>
            <w:r>
              <w:rPr>
                <w:color w:val="1C3A36"/>
                <w:sz w:val="15"/>
              </w:rPr>
              <w:t>3,311,643,082.0</w:t>
            </w:r>
          </w:p>
        </w:tc>
        <w:tc>
          <w:tcPr>
            <w:tcW w:type="dxa" w:w="1037"/>
          </w:tcPr>
          <w:p>
            <w:pPr>
              <w:spacing w:after="20"/>
            </w:pPr>
            <w:r>
              <w:rPr>
                <w:color w:val="1C3A36"/>
                <w:sz w:val="15"/>
              </w:rPr>
              <w:t>2025-12-31</w:t>
            </w:r>
          </w:p>
        </w:tc>
        <w:tc>
          <w:tcPr>
            <w:tcW w:type="dxa" w:w="5832"/>
          </w:tcPr>
          <w:p>
            <w:pPr>
              <w:spacing w:after="20"/>
            </w:pPr>
            <w:r>
              <w:rPr>
                <w:color w:val="1C3A36"/>
                <w:sz w:val="15"/>
              </w:rPr>
              <w:t>Total liabilities at 31-Dec-2025. Audited consolidated FS, transition period 1-Jul-2025 to 31-Dec-2025, Crowe unqualified, 18-Feb-2026</w:t>
            </w:r>
          </w:p>
        </w:tc>
      </w:tr>
      <w:tr>
        <w:tc>
          <w:tcPr>
            <w:tcW w:type="dxa" w:w="1872"/>
          </w:tcPr>
          <w:p>
            <w:pPr>
              <w:spacing w:after="20"/>
            </w:pPr>
            <w:r>
              <w:rPr>
                <w:color w:val="1C3A36"/>
                <w:sz w:val="15"/>
              </w:rPr>
              <w:t>eq_parent</w:t>
            </w:r>
          </w:p>
        </w:tc>
        <w:tc>
          <w:tcPr>
            <w:tcW w:type="dxa" w:w="1440"/>
          </w:tcPr>
          <w:p>
            <w:pPr>
              <w:spacing w:after="20"/>
            </w:pPr>
            <w:r>
              <w:rPr>
                <w:color w:val="1C3A36"/>
                <w:sz w:val="15"/>
              </w:rPr>
              <w:t>4,790,695,948.0</w:t>
            </w:r>
          </w:p>
        </w:tc>
        <w:tc>
          <w:tcPr>
            <w:tcW w:type="dxa" w:w="1037"/>
          </w:tcPr>
          <w:p>
            <w:pPr>
              <w:spacing w:after="20"/>
            </w:pPr>
            <w:r>
              <w:rPr>
                <w:color w:val="1C3A36"/>
                <w:sz w:val="15"/>
              </w:rPr>
              <w:t>2025-12-31</w:t>
            </w:r>
          </w:p>
        </w:tc>
        <w:tc>
          <w:tcPr>
            <w:tcW w:type="dxa" w:w="5832"/>
          </w:tcPr>
          <w:p>
            <w:pPr>
              <w:spacing w:after="20"/>
            </w:pPr>
            <w:r>
              <w:rPr>
                <w:color w:val="1C3A36"/>
                <w:sz w:val="15"/>
              </w:rPr>
              <w:t>Total AMOC (parent) equity at 31-Dec-2025. Audited consolidated FS, transition period 1-Jul-2025 to 31-Dec-2025, Crowe unqualified, 18-Feb-2026</w:t>
            </w:r>
          </w:p>
        </w:tc>
      </w:tr>
      <w:tr>
        <w:tc>
          <w:tcPr>
            <w:tcW w:type="dxa" w:w="1872"/>
          </w:tcPr>
          <w:p>
            <w:pPr>
              <w:spacing w:after="20"/>
            </w:pPr>
            <w:r>
              <w:rPr>
                <w:color w:val="1C3A36"/>
                <w:sz w:val="15"/>
              </w:rPr>
              <w:t>eq_nci</w:t>
            </w:r>
          </w:p>
        </w:tc>
        <w:tc>
          <w:tcPr>
            <w:tcW w:type="dxa" w:w="1440"/>
          </w:tcPr>
          <w:p>
            <w:pPr>
              <w:spacing w:after="20"/>
            </w:pPr>
            <w:r>
              <w:rPr>
                <w:color w:val="1C3A36"/>
                <w:sz w:val="15"/>
              </w:rPr>
              <w:t>34,079,000.0</w:t>
            </w:r>
          </w:p>
        </w:tc>
        <w:tc>
          <w:tcPr>
            <w:tcW w:type="dxa" w:w="1037"/>
          </w:tcPr>
          <w:p>
            <w:pPr>
              <w:spacing w:after="20"/>
            </w:pPr>
            <w:r>
              <w:rPr>
                <w:color w:val="1C3A36"/>
                <w:sz w:val="15"/>
              </w:rPr>
              <w:t>2025-12-31</w:t>
            </w:r>
          </w:p>
        </w:tc>
        <w:tc>
          <w:tcPr>
            <w:tcW w:type="dxa" w:w="5832"/>
          </w:tcPr>
          <w:p>
            <w:pPr>
              <w:spacing w:after="20"/>
            </w:pPr>
            <w:r>
              <w:rPr>
                <w:color w:val="1C3A36"/>
                <w:sz w:val="15"/>
              </w:rPr>
              <w:t>Non-controlling interest carrying amount at 31-Dec-2025. Audited consolidated FS, transition period 1-Jul-2025 to 31-Dec-2025, Crowe unqualified, 18-Feb-2026</w:t>
            </w:r>
          </w:p>
        </w:tc>
      </w:tr>
      <w:tr>
        <w:tc>
          <w:tcPr>
            <w:tcW w:type="dxa" w:w="1872"/>
          </w:tcPr>
          <w:p>
            <w:pPr>
              <w:spacing w:after="20"/>
            </w:pPr>
            <w:r>
              <w:rPr>
                <w:color w:val="1C3A36"/>
                <w:sz w:val="15"/>
              </w:rPr>
              <w:t>debt_lt</w:t>
            </w:r>
          </w:p>
        </w:tc>
        <w:tc>
          <w:tcPr>
            <w:tcW w:type="dxa" w:w="1440"/>
          </w:tcPr>
          <w:p>
            <w:pPr>
              <w:spacing w:after="20"/>
            </w:pPr>
            <w:r>
              <w:rPr>
                <w:color w:val="1C3A36"/>
                <w:sz w:val="15"/>
              </w:rPr>
              <w:t>11,805,265.0</w:t>
            </w:r>
          </w:p>
        </w:tc>
        <w:tc>
          <w:tcPr>
            <w:tcW w:type="dxa" w:w="1037"/>
          </w:tcPr>
          <w:p>
            <w:pPr>
              <w:spacing w:after="20"/>
            </w:pPr>
            <w:r>
              <w:rPr>
                <w:color w:val="1C3A36"/>
                <w:sz w:val="15"/>
              </w:rPr>
              <w:t>2025-12-31</w:t>
            </w:r>
          </w:p>
        </w:tc>
        <w:tc>
          <w:tcPr>
            <w:tcW w:type="dxa" w:w="5832"/>
          </w:tcPr>
          <w:p>
            <w:pPr>
              <w:spacing w:after="20"/>
            </w:pPr>
            <w:r>
              <w:rPr>
                <w:color w:val="1C3A36"/>
                <w:sz w:val="15"/>
              </w:rPr>
              <w:t>Long-term loans at 31-Dec-2025 (note 20). Audited consolidated FS, transition period 1-Jul-2025 to 31-Dec-2025, Crowe unqualified, 18-Feb-2026</w:t>
            </w:r>
          </w:p>
        </w:tc>
      </w:tr>
      <w:tr>
        <w:tc>
          <w:tcPr>
            <w:tcW w:type="dxa" w:w="1872"/>
          </w:tcPr>
          <w:p>
            <w:pPr>
              <w:spacing w:after="20"/>
            </w:pPr>
            <w:r>
              <w:rPr>
                <w:color w:val="1C3A36"/>
                <w:sz w:val="15"/>
              </w:rPr>
              <w:t>debt_st</w:t>
            </w:r>
          </w:p>
        </w:tc>
        <w:tc>
          <w:tcPr>
            <w:tcW w:type="dxa" w:w="1440"/>
          </w:tcPr>
          <w:p>
            <w:pPr>
              <w:spacing w:after="20"/>
            </w:pPr>
            <w:r>
              <w:rPr>
                <w:color w:val="1C3A36"/>
                <w:sz w:val="15"/>
              </w:rPr>
              <w:t>9,172,172.0</w:t>
            </w:r>
          </w:p>
        </w:tc>
        <w:tc>
          <w:tcPr>
            <w:tcW w:type="dxa" w:w="1037"/>
          </w:tcPr>
          <w:p>
            <w:pPr>
              <w:spacing w:after="20"/>
            </w:pPr>
            <w:r>
              <w:rPr>
                <w:color w:val="1C3A36"/>
                <w:sz w:val="15"/>
              </w:rPr>
              <w:t>2025-12-31</w:t>
            </w:r>
          </w:p>
        </w:tc>
        <w:tc>
          <w:tcPr>
            <w:tcW w:type="dxa" w:w="5832"/>
          </w:tcPr>
          <w:p>
            <w:pPr>
              <w:spacing w:after="20"/>
            </w:pPr>
            <w:r>
              <w:rPr>
                <w:color w:val="1C3A36"/>
                <w:sz w:val="15"/>
              </w:rPr>
              <w:t>Short-term loans and facilities at 31-Dec-2025 (note 20). Audited consolidated FS, transition period 1-Jul-2025 to 31-Dec-2025, Crowe unqualified, 18-Feb-2026</w:t>
            </w:r>
          </w:p>
        </w:tc>
      </w:tr>
      <w:tr>
        <w:tc>
          <w:tcPr>
            <w:tcW w:type="dxa" w:w="1872"/>
          </w:tcPr>
          <w:p>
            <w:pPr>
              <w:spacing w:after="20"/>
            </w:pPr>
            <w:r>
              <w:rPr>
                <w:color w:val="1C3A36"/>
                <w:sz w:val="15"/>
              </w:rPr>
              <w:t>leases</w:t>
            </w:r>
          </w:p>
        </w:tc>
        <w:tc>
          <w:tcPr>
            <w:tcW w:type="dxa" w:w="1440"/>
          </w:tcPr>
          <w:p>
            <w:pPr>
              <w:spacing w:after="20"/>
            </w:pPr>
            <w:r>
              <w:rPr>
                <w:color w:val="1C3A36"/>
                <w:sz w:val="15"/>
              </w:rPr>
              <w:t>4,278,324.0</w:t>
            </w:r>
          </w:p>
        </w:tc>
        <w:tc>
          <w:tcPr>
            <w:tcW w:type="dxa" w:w="1037"/>
          </w:tcPr>
          <w:p>
            <w:pPr>
              <w:spacing w:after="20"/>
            </w:pPr>
            <w:r>
              <w:rPr>
                <w:color w:val="1C3A36"/>
                <w:sz w:val="15"/>
              </w:rPr>
              <w:t>2025-12-31</w:t>
            </w:r>
          </w:p>
        </w:tc>
        <w:tc>
          <w:tcPr>
            <w:tcW w:type="dxa" w:w="5832"/>
          </w:tcPr>
          <w:p>
            <w:pPr>
              <w:spacing w:after="20"/>
            </w:pPr>
            <w:r>
              <w:rPr>
                <w:color w:val="1C3A36"/>
                <w:sz w:val="15"/>
              </w:rPr>
              <w:t>Total lease liabilities at 31-Dec-2025 (note 8-2-2). Audited consolidated FS, transition period 1-Jul-2025 to 31-Dec-2025, Crowe unqualified, 18-Feb-2026</w:t>
            </w:r>
          </w:p>
        </w:tc>
      </w:tr>
      <w:tr>
        <w:tc>
          <w:tcPr>
            <w:tcW w:type="dxa" w:w="1872"/>
          </w:tcPr>
          <w:p>
            <w:pPr>
              <w:spacing w:after="20"/>
            </w:pPr>
            <w:r>
              <w:rPr>
                <w:color w:val="1C3A36"/>
                <w:sz w:val="15"/>
              </w:rPr>
              <w:t>payables</w:t>
            </w:r>
          </w:p>
        </w:tc>
        <w:tc>
          <w:tcPr>
            <w:tcW w:type="dxa" w:w="1440"/>
          </w:tcPr>
          <w:p>
            <w:pPr>
              <w:spacing w:after="20"/>
            </w:pPr>
            <w:r>
              <w:rPr>
                <w:color w:val="1C3A36"/>
                <w:sz w:val="15"/>
              </w:rPr>
              <w:t>7,942,650.0</w:t>
            </w:r>
          </w:p>
        </w:tc>
        <w:tc>
          <w:tcPr>
            <w:tcW w:type="dxa" w:w="1037"/>
          </w:tcPr>
          <w:p>
            <w:pPr>
              <w:spacing w:after="20"/>
            </w:pPr>
            <w:r>
              <w:rPr>
                <w:color w:val="1C3A36"/>
                <w:sz w:val="15"/>
              </w:rPr>
              <w:t>2025-12-31</w:t>
            </w:r>
          </w:p>
        </w:tc>
        <w:tc>
          <w:tcPr>
            <w:tcW w:type="dxa" w:w="5832"/>
          </w:tcPr>
          <w:p>
            <w:pPr>
              <w:spacing w:after="20"/>
            </w:pPr>
            <w:r>
              <w:rPr>
                <w:color w:val="1C3A36"/>
                <w:sz w:val="15"/>
              </w:rPr>
              <w:t>Accounts and notes payable at 31-Dec-2025 (note 10-3). The previous edition modelled a trade payable of about 2.5bn funding the working capital cycle; the actual trade payable is under 8mn and the funding sits in the EGPC current account instead. Audited consolidated FS, transition period 1-Jul-2025 to 31-Dec-2025, Crowe unqualified, 18-Feb-2026</w:t>
            </w:r>
          </w:p>
        </w:tc>
      </w:tr>
      <w:tr>
        <w:tc>
          <w:tcPr>
            <w:tcW w:type="dxa" w:w="1872"/>
          </w:tcPr>
          <w:p>
            <w:pPr>
              <w:spacing w:after="20"/>
            </w:pPr>
            <w:r>
              <w:rPr>
                <w:color w:val="1C3A36"/>
                <w:sz w:val="15"/>
              </w:rPr>
              <w:t>creditors</w:t>
            </w:r>
          </w:p>
        </w:tc>
        <w:tc>
          <w:tcPr>
            <w:tcW w:type="dxa" w:w="1440"/>
          </w:tcPr>
          <w:p>
            <w:pPr>
              <w:spacing w:after="20"/>
            </w:pPr>
            <w:r>
              <w:rPr>
                <w:color w:val="1C3A36"/>
                <w:sz w:val="15"/>
              </w:rPr>
              <w:t>2,044,446,416.0</w:t>
            </w:r>
          </w:p>
        </w:tc>
        <w:tc>
          <w:tcPr>
            <w:tcW w:type="dxa" w:w="1037"/>
          </w:tcPr>
          <w:p>
            <w:pPr>
              <w:spacing w:after="20"/>
            </w:pPr>
            <w:r>
              <w:rPr>
                <w:color w:val="1C3A36"/>
                <w:sz w:val="15"/>
              </w:rPr>
              <w:t>2025-12-31</w:t>
            </w:r>
          </w:p>
        </w:tc>
        <w:tc>
          <w:tcPr>
            <w:tcW w:type="dxa" w:w="5832"/>
          </w:tcPr>
          <w:p>
            <w:pPr>
              <w:spacing w:after="20"/>
            </w:pPr>
            <w:r>
              <w:rPr>
                <w:color w:val="1C3A36"/>
                <w:sz w:val="15"/>
              </w:rPr>
              <w:t>Creditors and other credit balances at 31-Dec-2025 (note 11): EGPC current account 1,132,353,505, deposits 70,891,867, miscellaneous taxes 47,021,719, dividends payable 517,250,000, miscellaneous creditors 148,226,091, customer advances 60,028,880. Audited consolidated FS, transition period 1-Jul-2025 to 31-Dec-2025, Crowe unqualified, 18-Feb-2026</w:t>
            </w:r>
          </w:p>
        </w:tc>
      </w:tr>
      <w:tr>
        <w:tc>
          <w:tcPr>
            <w:tcW w:type="dxa" w:w="1872"/>
          </w:tcPr>
          <w:p>
            <w:pPr>
              <w:spacing w:after="20"/>
            </w:pPr>
            <w:r>
              <w:rPr>
                <w:color w:val="1C3A36"/>
                <w:sz w:val="15"/>
              </w:rPr>
              <w:t>provisions</w:t>
            </w:r>
          </w:p>
        </w:tc>
        <w:tc>
          <w:tcPr>
            <w:tcW w:type="dxa" w:w="1440"/>
          </w:tcPr>
          <w:p>
            <w:pPr>
              <w:spacing w:after="20"/>
            </w:pPr>
            <w:r>
              <w:rPr>
                <w:color w:val="1C3A36"/>
                <w:sz w:val="15"/>
              </w:rPr>
              <w:t>921,440,353.0</w:t>
            </w:r>
          </w:p>
        </w:tc>
        <w:tc>
          <w:tcPr>
            <w:tcW w:type="dxa" w:w="1037"/>
          </w:tcPr>
          <w:p>
            <w:pPr>
              <w:spacing w:after="20"/>
            </w:pPr>
            <w:r>
              <w:rPr>
                <w:color w:val="1C3A36"/>
                <w:sz w:val="15"/>
              </w:rPr>
              <w:t>2025-12-31</w:t>
            </w:r>
          </w:p>
        </w:tc>
        <w:tc>
          <w:tcPr>
            <w:tcW w:type="dxa" w:w="5832"/>
          </w:tcPr>
          <w:p>
            <w:pPr>
              <w:spacing w:after="20"/>
            </w:pPr>
            <w:r>
              <w:rPr>
                <w:color w:val="1C3A36"/>
                <w:sz w:val="15"/>
              </w:rPr>
              <w:t>Provisions at 31-Dec-2025 (note 10-1): tax disputes 904,609,345 and claims and disputes 16,831,008. A contingent liability worth EGP 0.71 a share that the previous edition never carried at all</w:t>
            </w:r>
          </w:p>
        </w:tc>
      </w:tr>
      <w:tr>
        <w:tc>
          <w:tcPr>
            <w:tcW w:type="dxa" w:w="1872"/>
          </w:tcPr>
          <w:p>
            <w:pPr>
              <w:spacing w:after="20"/>
            </w:pPr>
            <w:r>
              <w:rPr>
                <w:color w:val="1C3A36"/>
                <w:sz w:val="15"/>
              </w:rPr>
              <w:t>dtax_liab</w:t>
            </w:r>
          </w:p>
        </w:tc>
        <w:tc>
          <w:tcPr>
            <w:tcW w:type="dxa" w:w="1440"/>
          </w:tcPr>
          <w:p>
            <w:pPr>
              <w:spacing w:after="20"/>
            </w:pPr>
            <w:r>
              <w:rPr>
                <w:color w:val="1C3A36"/>
                <w:sz w:val="15"/>
              </w:rPr>
              <w:t>108,612,469.0</w:t>
            </w:r>
          </w:p>
        </w:tc>
        <w:tc>
          <w:tcPr>
            <w:tcW w:type="dxa" w:w="1037"/>
          </w:tcPr>
          <w:p>
            <w:pPr>
              <w:spacing w:after="20"/>
            </w:pPr>
            <w:r>
              <w:rPr>
                <w:color w:val="1C3A36"/>
                <w:sz w:val="15"/>
              </w:rPr>
              <w:t>2025-12-31</w:t>
            </w:r>
          </w:p>
        </w:tc>
        <w:tc>
          <w:tcPr>
            <w:tcW w:type="dxa" w:w="5832"/>
          </w:tcPr>
          <w:p>
            <w:pPr>
              <w:spacing w:after="20"/>
            </w:pPr>
            <w:r>
              <w:rPr>
                <w:color w:val="1C3A36"/>
                <w:sz w:val="15"/>
              </w:rPr>
              <w:t>Deferred tax liability at 31-Dec-2025 (note 13-A). Audited consolidated FS, transition period 1-Jul-2025 to 31-Dec-2025, Crowe unqualified, 18-Feb-2026</w:t>
            </w:r>
          </w:p>
        </w:tc>
      </w:tr>
      <w:tr>
        <w:tc>
          <w:tcPr>
            <w:tcW w:type="dxa" w:w="1872"/>
          </w:tcPr>
          <w:p>
            <w:pPr>
              <w:spacing w:after="20"/>
            </w:pPr>
            <w:r>
              <w:rPr>
                <w:color w:val="1C3A36"/>
                <w:sz w:val="15"/>
              </w:rPr>
              <w:t>tax_due</w:t>
            </w:r>
          </w:p>
        </w:tc>
        <w:tc>
          <w:tcPr>
            <w:tcW w:type="dxa" w:w="1440"/>
          </w:tcPr>
          <w:p>
            <w:pPr>
              <w:spacing w:after="20"/>
            </w:pPr>
            <w:r>
              <w:rPr>
                <w:color w:val="1C3A36"/>
                <w:sz w:val="15"/>
              </w:rPr>
              <w:t>203,945,433.0</w:t>
            </w:r>
          </w:p>
        </w:tc>
        <w:tc>
          <w:tcPr>
            <w:tcW w:type="dxa" w:w="1037"/>
          </w:tcPr>
          <w:p>
            <w:pPr>
              <w:spacing w:after="20"/>
            </w:pPr>
            <w:r>
              <w:rPr>
                <w:color w:val="1C3A36"/>
                <w:sz w:val="15"/>
              </w:rPr>
              <w:t>2025-12-31</w:t>
            </w:r>
          </w:p>
        </w:tc>
        <w:tc>
          <w:tcPr>
            <w:tcW w:type="dxa" w:w="5832"/>
          </w:tcPr>
          <w:p>
            <w:pPr>
              <w:spacing w:after="20"/>
            </w:pPr>
            <w:r>
              <w:rPr>
                <w:color w:val="1C3A36"/>
                <w:sz w:val="15"/>
              </w:rPr>
              <w:t>Due to the tax authority at 31-Dec-2025 (note 10-2). Audited consolidated FS, transition period 1-Jul-2025 to 31-Dec-2025, Crowe unqualified, 18-Feb-2026</w:t>
            </w:r>
          </w:p>
        </w:tc>
      </w:tr>
      <w:tr>
        <w:tc>
          <w:tcPr>
            <w:tcW w:type="dxa" w:w="1872"/>
          </w:tcPr>
          <w:p>
            <w:pPr>
              <w:spacing w:after="20"/>
            </w:pPr>
            <w:r>
              <w:rPr>
                <w:color w:val="1C3A36"/>
                <w:sz w:val="15"/>
              </w:rPr>
              <w:t>assets_jun25</w:t>
            </w:r>
          </w:p>
        </w:tc>
        <w:tc>
          <w:tcPr>
            <w:tcW w:type="dxa" w:w="1440"/>
          </w:tcPr>
          <w:p>
            <w:pPr>
              <w:spacing w:after="20"/>
            </w:pPr>
            <w:r>
              <w:rPr>
                <w:color w:val="1C3A36"/>
                <w:sz w:val="15"/>
              </w:rPr>
              <w:t>10,327,865,642.0</w:t>
            </w:r>
          </w:p>
        </w:tc>
        <w:tc>
          <w:tcPr>
            <w:tcW w:type="dxa" w:w="1037"/>
          </w:tcPr>
          <w:p>
            <w:pPr>
              <w:spacing w:after="20"/>
            </w:pPr>
            <w:r>
              <w:rPr>
                <w:color w:val="1C3A36"/>
                <w:sz w:val="15"/>
              </w:rPr>
              <w:t>2025-06-30</w:t>
            </w:r>
          </w:p>
        </w:tc>
        <w:tc>
          <w:tcPr>
            <w:tcW w:type="dxa" w:w="5832"/>
          </w:tcPr>
          <w:p>
            <w:pPr>
              <w:spacing w:after="20"/>
            </w:pPr>
            <w:r>
              <w:rPr>
                <w:color w:val="1C3A36"/>
                <w:sz w:val="15"/>
              </w:rPr>
              <w:t>Total assets at 30-Jun-2025 (comparative column). Audited consolidated FS, transition period 1-Jul-2025 to 31-Dec-2025, Crowe unqualified, 18-Feb-2026</w:t>
            </w:r>
          </w:p>
        </w:tc>
      </w:tr>
      <w:tr>
        <w:tc>
          <w:tcPr>
            <w:tcW w:type="dxa" w:w="1872"/>
          </w:tcPr>
          <w:p>
            <w:pPr>
              <w:spacing w:after="20"/>
            </w:pPr>
            <w:r>
              <w:rPr>
                <w:color w:val="1C3A36"/>
                <w:sz w:val="15"/>
              </w:rPr>
              <w:t>eq_parent_jun25</w:t>
            </w:r>
          </w:p>
        </w:tc>
        <w:tc>
          <w:tcPr>
            <w:tcW w:type="dxa" w:w="1440"/>
          </w:tcPr>
          <w:p>
            <w:pPr>
              <w:spacing w:after="20"/>
            </w:pPr>
            <w:r>
              <w:rPr>
                <w:color w:val="1C3A36"/>
                <w:sz w:val="15"/>
              </w:rPr>
              <w:t>5,353,528,855.0</w:t>
            </w:r>
          </w:p>
        </w:tc>
        <w:tc>
          <w:tcPr>
            <w:tcW w:type="dxa" w:w="1037"/>
          </w:tcPr>
          <w:p>
            <w:pPr>
              <w:spacing w:after="20"/>
            </w:pPr>
            <w:r>
              <w:rPr>
                <w:color w:val="1C3A36"/>
                <w:sz w:val="15"/>
              </w:rPr>
              <w:t>2025-06-30</w:t>
            </w:r>
          </w:p>
        </w:tc>
        <w:tc>
          <w:tcPr>
            <w:tcW w:type="dxa" w:w="5832"/>
          </w:tcPr>
          <w:p>
            <w:pPr>
              <w:spacing w:after="20"/>
            </w:pPr>
            <w:r>
              <w:rPr>
                <w:color w:val="1C3A36"/>
                <w:sz w:val="15"/>
              </w:rPr>
              <w:t>Total AMOC equity at 30-Jun-2025 (comparative column). Audited consolidated FS, transition period 1-Jul-2025 to 31-Dec-2025, Crowe unqualified, 18-Feb-2026</w:t>
            </w:r>
          </w:p>
        </w:tc>
      </w:tr>
      <w:tr>
        <w:tc>
          <w:tcPr>
            <w:tcW w:type="dxa" w:w="1872"/>
          </w:tcPr>
          <w:p>
            <w:pPr>
              <w:spacing w:after="20"/>
            </w:pPr>
            <w:r>
              <w:rPr>
                <w:color w:val="1C3A36"/>
                <w:sz w:val="15"/>
              </w:rPr>
              <w:t>assets_dec24</w:t>
            </w:r>
          </w:p>
        </w:tc>
        <w:tc>
          <w:tcPr>
            <w:tcW w:type="dxa" w:w="1440"/>
          </w:tcPr>
          <w:p>
            <w:pPr>
              <w:spacing w:after="20"/>
            </w:pPr>
            <w:r>
              <w:rPr>
                <w:color w:val="1C3A36"/>
                <w:sz w:val="15"/>
              </w:rPr>
              <w:t>7,747,725,648.0</w:t>
            </w:r>
          </w:p>
        </w:tc>
        <w:tc>
          <w:tcPr>
            <w:tcW w:type="dxa" w:w="1037"/>
          </w:tcPr>
          <w:p>
            <w:pPr>
              <w:spacing w:after="20"/>
            </w:pPr>
            <w:r>
              <w:rPr>
                <w:color w:val="1C3A36"/>
                <w:sz w:val="15"/>
              </w:rPr>
              <w:t>2024-12-31</w:t>
            </w:r>
          </w:p>
        </w:tc>
        <w:tc>
          <w:tcPr>
            <w:tcW w:type="dxa" w:w="5832"/>
          </w:tcPr>
          <w:p>
            <w:pPr>
              <w:spacing w:after="20"/>
            </w:pPr>
            <w:r>
              <w:rPr>
                <w:color w:val="1C3A36"/>
                <w:sz w:val="15"/>
              </w:rPr>
              <w:t>Total assets at 31-Dec-2024. Limited-review consolidated FS, six months to 31-Dec-2024</w:t>
            </w:r>
          </w:p>
        </w:tc>
      </w:tr>
      <w:tr>
        <w:tc>
          <w:tcPr>
            <w:tcW w:type="dxa" w:w="1872"/>
          </w:tcPr>
          <w:p>
            <w:pPr>
              <w:spacing w:after="20"/>
            </w:pPr>
            <w:r>
              <w:rPr>
                <w:color w:val="1C3A36"/>
                <w:sz w:val="15"/>
              </w:rPr>
              <w:t>eq_parent_dec24</w:t>
            </w:r>
          </w:p>
        </w:tc>
        <w:tc>
          <w:tcPr>
            <w:tcW w:type="dxa" w:w="1440"/>
          </w:tcPr>
          <w:p>
            <w:pPr>
              <w:spacing w:after="20"/>
            </w:pPr>
            <w:r>
              <w:rPr>
                <w:color w:val="1C3A36"/>
                <w:sz w:val="15"/>
              </w:rPr>
              <w:t>4,430,087,458.0</w:t>
            </w:r>
          </w:p>
        </w:tc>
        <w:tc>
          <w:tcPr>
            <w:tcW w:type="dxa" w:w="1037"/>
          </w:tcPr>
          <w:p>
            <w:pPr>
              <w:spacing w:after="20"/>
            </w:pPr>
            <w:r>
              <w:rPr>
                <w:color w:val="1C3A36"/>
                <w:sz w:val="15"/>
              </w:rPr>
              <w:t>2024-12-31</w:t>
            </w:r>
          </w:p>
        </w:tc>
        <w:tc>
          <w:tcPr>
            <w:tcW w:type="dxa" w:w="5832"/>
          </w:tcPr>
          <w:p>
            <w:pPr>
              <w:spacing w:after="20"/>
            </w:pPr>
            <w:r>
              <w:rPr>
                <w:color w:val="1C3A36"/>
                <w:sz w:val="15"/>
              </w:rPr>
              <w:t>Total AMOC equity at 31-Dec-2024. Limited-review consolidated FS, six months to 31-Dec-2024</w:t>
            </w:r>
          </w:p>
        </w:tc>
      </w:tr>
      <w:tr>
        <w:tc>
          <w:tcPr>
            <w:tcW w:type="dxa" w:w="1872"/>
          </w:tcPr>
          <w:p>
            <w:pPr>
              <w:spacing w:after="20"/>
            </w:pPr>
            <w:r>
              <w:rPr>
                <w:color w:val="1C3A36"/>
                <w:sz w:val="15"/>
              </w:rPr>
              <w:t>assets_jun24</w:t>
            </w:r>
          </w:p>
        </w:tc>
        <w:tc>
          <w:tcPr>
            <w:tcW w:type="dxa" w:w="1440"/>
          </w:tcPr>
          <w:p>
            <w:pPr>
              <w:spacing w:after="20"/>
            </w:pPr>
            <w:r>
              <w:rPr>
                <w:color w:val="1C3A36"/>
                <w:sz w:val="15"/>
              </w:rPr>
              <w:t>8,386,961,675.0</w:t>
            </w:r>
          </w:p>
        </w:tc>
        <w:tc>
          <w:tcPr>
            <w:tcW w:type="dxa" w:w="1037"/>
          </w:tcPr>
          <w:p>
            <w:pPr>
              <w:spacing w:after="20"/>
            </w:pPr>
            <w:r>
              <w:rPr>
                <w:color w:val="1C3A36"/>
                <w:sz w:val="15"/>
              </w:rPr>
              <w:t>2024-06-30</w:t>
            </w:r>
          </w:p>
        </w:tc>
        <w:tc>
          <w:tcPr>
            <w:tcW w:type="dxa" w:w="5832"/>
          </w:tcPr>
          <w:p>
            <w:pPr>
              <w:spacing w:after="20"/>
            </w:pPr>
            <w:r>
              <w:rPr>
                <w:color w:val="1C3A36"/>
                <w:sz w:val="15"/>
              </w:rPr>
              <w:t>Total assets at 30-Jun-2024 (comparative column). Limited-review consolidated FS, six months to 31-Dec-2024</w:t>
            </w:r>
          </w:p>
        </w:tc>
      </w:tr>
      <w:tr>
        <w:tc>
          <w:tcPr>
            <w:tcW w:type="dxa" w:w="1872"/>
          </w:tcPr>
          <w:p>
            <w:pPr>
              <w:spacing w:after="20"/>
            </w:pPr>
            <w:r>
              <w:rPr>
                <w:color w:val="1C3A36"/>
                <w:sz w:val="15"/>
              </w:rPr>
              <w:t>eq_parent_jun24</w:t>
            </w:r>
          </w:p>
        </w:tc>
        <w:tc>
          <w:tcPr>
            <w:tcW w:type="dxa" w:w="1440"/>
          </w:tcPr>
          <w:p>
            <w:pPr>
              <w:spacing w:after="20"/>
            </w:pPr>
            <w:r>
              <w:rPr>
                <w:color w:val="1C3A36"/>
                <w:sz w:val="15"/>
              </w:rPr>
              <w:t>4,922,226,388.0</w:t>
            </w:r>
          </w:p>
        </w:tc>
        <w:tc>
          <w:tcPr>
            <w:tcW w:type="dxa" w:w="1037"/>
          </w:tcPr>
          <w:p>
            <w:pPr>
              <w:spacing w:after="20"/>
            </w:pPr>
            <w:r>
              <w:rPr>
                <w:color w:val="1C3A36"/>
                <w:sz w:val="15"/>
              </w:rPr>
              <w:t>2024-06-30</w:t>
            </w:r>
          </w:p>
        </w:tc>
        <w:tc>
          <w:tcPr>
            <w:tcW w:type="dxa" w:w="5832"/>
          </w:tcPr>
          <w:p>
            <w:pPr>
              <w:spacing w:after="20"/>
            </w:pPr>
            <w:r>
              <w:rPr>
                <w:color w:val="1C3A36"/>
                <w:sz w:val="15"/>
              </w:rPr>
              <w:t>Total AMOC equity at 30-Jun-2024 (comparative column). Limited-review consolidated FS, six months to 31-Dec-2024</w:t>
            </w:r>
          </w:p>
        </w:tc>
      </w:tr>
      <w:tr>
        <w:tc>
          <w:tcPr>
            <w:tcW w:type="dxa" w:w="1872"/>
          </w:tcPr>
          <w:p>
            <w:pPr>
              <w:spacing w:after="20"/>
            </w:pPr>
            <w:r>
              <w:rPr>
                <w:color w:val="1C3A36"/>
                <w:sz w:val="15"/>
              </w:rPr>
              <w:t>ppe_jun25</w:t>
            </w:r>
          </w:p>
        </w:tc>
        <w:tc>
          <w:tcPr>
            <w:tcW w:type="dxa" w:w="1440"/>
          </w:tcPr>
          <w:p>
            <w:pPr>
              <w:spacing w:after="20"/>
            </w:pPr>
            <w:r>
              <w:rPr>
                <w:color w:val="1C3A36"/>
                <w:sz w:val="15"/>
              </w:rPr>
              <w:t>937,851,261.0</w:t>
            </w:r>
          </w:p>
        </w:tc>
        <w:tc>
          <w:tcPr>
            <w:tcW w:type="dxa" w:w="1037"/>
          </w:tcPr>
          <w:p>
            <w:pPr>
              <w:spacing w:after="20"/>
            </w:pPr>
            <w:r>
              <w:rPr>
                <w:color w:val="1C3A36"/>
                <w:sz w:val="15"/>
              </w:rPr>
              <w:t>2025-06-30</w:t>
            </w:r>
          </w:p>
        </w:tc>
        <w:tc>
          <w:tcPr>
            <w:tcW w:type="dxa" w:w="5832"/>
          </w:tcPr>
          <w:p>
            <w:pPr>
              <w:spacing w:after="20"/>
            </w:pPr>
            <w:r>
              <w:rPr>
                <w:color w:val="1C3A36"/>
                <w:sz w:val="15"/>
              </w:rPr>
              <w:t>Fixed assets net at 30-Jun-2025. Audited consolidated FS, transition period 1-Jul-2025 to 31-Dec-2025, Crowe unqualified, 18-Feb-2026</w:t>
            </w:r>
          </w:p>
        </w:tc>
      </w:tr>
      <w:tr>
        <w:tc>
          <w:tcPr>
            <w:tcW w:type="dxa" w:w="1872"/>
          </w:tcPr>
          <w:p>
            <w:pPr>
              <w:spacing w:after="20"/>
            </w:pPr>
            <w:r>
              <w:rPr>
                <w:color w:val="1C3A36"/>
                <w:sz w:val="15"/>
              </w:rPr>
              <w:t>inv_jun25</w:t>
            </w:r>
          </w:p>
        </w:tc>
        <w:tc>
          <w:tcPr>
            <w:tcW w:type="dxa" w:w="1440"/>
          </w:tcPr>
          <w:p>
            <w:pPr>
              <w:spacing w:after="20"/>
            </w:pPr>
            <w:r>
              <w:rPr>
                <w:color w:val="1C3A36"/>
                <w:sz w:val="15"/>
              </w:rPr>
              <w:t>3,735,009,103.0</w:t>
            </w:r>
          </w:p>
        </w:tc>
        <w:tc>
          <w:tcPr>
            <w:tcW w:type="dxa" w:w="1037"/>
          </w:tcPr>
          <w:p>
            <w:pPr>
              <w:spacing w:after="20"/>
            </w:pPr>
            <w:r>
              <w:rPr>
                <w:color w:val="1C3A36"/>
                <w:sz w:val="15"/>
              </w:rPr>
              <w:t>2025-06-30</w:t>
            </w:r>
          </w:p>
        </w:tc>
        <w:tc>
          <w:tcPr>
            <w:tcW w:type="dxa" w:w="5832"/>
          </w:tcPr>
          <w:p>
            <w:pPr>
              <w:spacing w:after="20"/>
            </w:pPr>
            <w:r>
              <w:rPr>
                <w:color w:val="1C3A36"/>
                <w:sz w:val="15"/>
              </w:rPr>
              <w:t>Inventory at 30-Jun-2025. Audited consolidated FS, transition period 1-Jul-2025 to 31-Dec-2025, Crowe unqualified, 18-Feb-2026</w:t>
            </w:r>
          </w:p>
        </w:tc>
      </w:tr>
      <w:tr>
        <w:tc>
          <w:tcPr>
            <w:tcW w:type="dxa" w:w="1872"/>
          </w:tcPr>
          <w:p>
            <w:pPr>
              <w:spacing w:after="20"/>
            </w:pPr>
            <w:r>
              <w:rPr>
                <w:color w:val="1C3A36"/>
                <w:sz w:val="15"/>
              </w:rPr>
              <w:t>recv_jun25</w:t>
            </w:r>
          </w:p>
        </w:tc>
        <w:tc>
          <w:tcPr>
            <w:tcW w:type="dxa" w:w="1440"/>
          </w:tcPr>
          <w:p>
            <w:pPr>
              <w:spacing w:after="20"/>
            </w:pPr>
            <w:r>
              <w:rPr>
                <w:color w:val="1C3A36"/>
                <w:sz w:val="15"/>
              </w:rPr>
              <w:t>894,888,039.0</w:t>
            </w:r>
          </w:p>
        </w:tc>
        <w:tc>
          <w:tcPr>
            <w:tcW w:type="dxa" w:w="1037"/>
          </w:tcPr>
          <w:p>
            <w:pPr>
              <w:spacing w:after="20"/>
            </w:pPr>
            <w:r>
              <w:rPr>
                <w:color w:val="1C3A36"/>
                <w:sz w:val="15"/>
              </w:rPr>
              <w:t>2025-06-30</w:t>
            </w:r>
          </w:p>
        </w:tc>
        <w:tc>
          <w:tcPr>
            <w:tcW w:type="dxa" w:w="5832"/>
          </w:tcPr>
          <w:p>
            <w:pPr>
              <w:spacing w:after="20"/>
            </w:pPr>
            <w:r>
              <w:rPr>
                <w:color w:val="1C3A36"/>
                <w:sz w:val="15"/>
              </w:rPr>
              <w:t>Accounts receivable at 30-Jun-2025. Audited consolidated FS, transition period 1-Jul-2025 to 31-Dec-2025, Crowe unqualified, 18-Feb-2026</w:t>
            </w:r>
          </w:p>
        </w:tc>
      </w:tr>
      <w:tr>
        <w:tc>
          <w:tcPr>
            <w:tcW w:type="dxa" w:w="1872"/>
          </w:tcPr>
          <w:p>
            <w:pPr>
              <w:spacing w:after="20"/>
            </w:pPr>
            <w:r>
              <w:rPr>
                <w:color w:val="1C3A36"/>
                <w:sz w:val="15"/>
              </w:rPr>
              <w:t>debtors_jun25</w:t>
            </w:r>
          </w:p>
        </w:tc>
        <w:tc>
          <w:tcPr>
            <w:tcW w:type="dxa" w:w="1440"/>
          </w:tcPr>
          <w:p>
            <w:pPr>
              <w:spacing w:after="20"/>
            </w:pPr>
            <w:r>
              <w:rPr>
                <w:color w:val="1C3A36"/>
                <w:sz w:val="15"/>
              </w:rPr>
              <w:t>611,842,230.0</w:t>
            </w:r>
          </w:p>
        </w:tc>
        <w:tc>
          <w:tcPr>
            <w:tcW w:type="dxa" w:w="1037"/>
          </w:tcPr>
          <w:p>
            <w:pPr>
              <w:spacing w:after="20"/>
            </w:pPr>
            <w:r>
              <w:rPr>
                <w:color w:val="1C3A36"/>
                <w:sz w:val="15"/>
              </w:rPr>
              <w:t>2025-06-30</w:t>
            </w:r>
          </w:p>
        </w:tc>
        <w:tc>
          <w:tcPr>
            <w:tcW w:type="dxa" w:w="5832"/>
          </w:tcPr>
          <w:p>
            <w:pPr>
              <w:spacing w:after="20"/>
            </w:pPr>
            <w:r>
              <w:rPr>
                <w:color w:val="1C3A36"/>
                <w:sz w:val="15"/>
              </w:rPr>
              <w:t>Debtors and other debit balances at 30-Jun-2025. Audited consolidated FS, transition period 1-Jul-2025 to 31-Dec-2025, Crowe unqualified, 18-Feb-2026</w:t>
            </w:r>
          </w:p>
        </w:tc>
      </w:tr>
      <w:tr>
        <w:tc>
          <w:tcPr>
            <w:tcW w:type="dxa" w:w="1872"/>
          </w:tcPr>
          <w:p>
            <w:pPr>
              <w:spacing w:after="20"/>
            </w:pPr>
            <w:r>
              <w:rPr>
                <w:color w:val="1C3A36"/>
                <w:sz w:val="15"/>
              </w:rPr>
              <w:t>creditors_jun25</w:t>
            </w:r>
          </w:p>
        </w:tc>
        <w:tc>
          <w:tcPr>
            <w:tcW w:type="dxa" w:w="1440"/>
          </w:tcPr>
          <w:p>
            <w:pPr>
              <w:spacing w:after="20"/>
            </w:pPr>
            <w:r>
              <w:rPr>
                <w:color w:val="1C3A36"/>
                <w:sz w:val="15"/>
              </w:rPr>
              <w:t>3,102,041,816.0</w:t>
            </w:r>
          </w:p>
        </w:tc>
        <w:tc>
          <w:tcPr>
            <w:tcW w:type="dxa" w:w="1037"/>
          </w:tcPr>
          <w:p>
            <w:pPr>
              <w:spacing w:after="20"/>
            </w:pPr>
            <w:r>
              <w:rPr>
                <w:color w:val="1C3A36"/>
                <w:sz w:val="15"/>
              </w:rPr>
              <w:t>2025-06-30</w:t>
            </w:r>
          </w:p>
        </w:tc>
        <w:tc>
          <w:tcPr>
            <w:tcW w:type="dxa" w:w="5832"/>
          </w:tcPr>
          <w:p>
            <w:pPr>
              <w:spacing w:after="20"/>
            </w:pPr>
            <w:r>
              <w:rPr>
                <w:color w:val="1C3A36"/>
                <w:sz w:val="15"/>
              </w:rPr>
              <w:t>Creditors and other credit balances at 30-Jun-2025. Audited consolidated FS, transition period 1-Jul-2025 to 31-Dec-2025, Crowe unqualified, 18-Feb-2026</w:t>
            </w:r>
          </w:p>
        </w:tc>
      </w:tr>
      <w:tr>
        <w:tc>
          <w:tcPr>
            <w:tcW w:type="dxa" w:w="1872"/>
          </w:tcPr>
          <w:p>
            <w:pPr>
              <w:spacing w:after="20"/>
            </w:pPr>
            <w:r>
              <w:rPr>
                <w:color w:val="1C3A36"/>
                <w:sz w:val="15"/>
              </w:rPr>
              <w:t>payables_jun25</w:t>
            </w:r>
          </w:p>
        </w:tc>
        <w:tc>
          <w:tcPr>
            <w:tcW w:type="dxa" w:w="1440"/>
          </w:tcPr>
          <w:p>
            <w:pPr>
              <w:spacing w:after="20"/>
            </w:pPr>
            <w:r>
              <w:rPr>
                <w:color w:val="1C3A36"/>
                <w:sz w:val="15"/>
              </w:rPr>
              <w:t>15,486,636.0</w:t>
            </w:r>
          </w:p>
        </w:tc>
        <w:tc>
          <w:tcPr>
            <w:tcW w:type="dxa" w:w="1037"/>
          </w:tcPr>
          <w:p>
            <w:pPr>
              <w:spacing w:after="20"/>
            </w:pPr>
            <w:r>
              <w:rPr>
                <w:color w:val="1C3A36"/>
                <w:sz w:val="15"/>
              </w:rPr>
              <w:t>2025-06-30</w:t>
            </w:r>
          </w:p>
        </w:tc>
        <w:tc>
          <w:tcPr>
            <w:tcW w:type="dxa" w:w="5832"/>
          </w:tcPr>
          <w:p>
            <w:pPr>
              <w:spacing w:after="20"/>
            </w:pPr>
            <w:r>
              <w:rPr>
                <w:color w:val="1C3A36"/>
                <w:sz w:val="15"/>
              </w:rPr>
              <w:t>Accounts and notes payable at 30-Jun-2025. Audited consolidated FS, transition period 1-Jul-2025 to 31-Dec-2025, Crowe unqualified, 18-Feb-2026</w:t>
            </w:r>
          </w:p>
        </w:tc>
      </w:tr>
      <w:tr>
        <w:tc>
          <w:tcPr>
            <w:tcW w:type="dxa" w:w="1872"/>
          </w:tcPr>
          <w:p>
            <w:pPr>
              <w:spacing w:after="20"/>
            </w:pPr>
            <w:r>
              <w:rPr>
                <w:color w:val="1C3A36"/>
                <w:sz w:val="15"/>
              </w:rPr>
              <w:t>cash_jun25</w:t>
            </w:r>
          </w:p>
        </w:tc>
        <w:tc>
          <w:tcPr>
            <w:tcW w:type="dxa" w:w="1440"/>
          </w:tcPr>
          <w:p>
            <w:pPr>
              <w:spacing w:after="20"/>
            </w:pPr>
            <w:r>
              <w:rPr>
                <w:color w:val="1C3A36"/>
                <w:sz w:val="15"/>
              </w:rPr>
              <w:t>3,141,779,939.0</w:t>
            </w:r>
          </w:p>
        </w:tc>
        <w:tc>
          <w:tcPr>
            <w:tcW w:type="dxa" w:w="1037"/>
          </w:tcPr>
          <w:p>
            <w:pPr>
              <w:spacing w:after="20"/>
            </w:pPr>
            <w:r>
              <w:rPr>
                <w:color w:val="1C3A36"/>
                <w:sz w:val="15"/>
              </w:rPr>
              <w:t>2025-06-30</w:t>
            </w:r>
          </w:p>
        </w:tc>
        <w:tc>
          <w:tcPr>
            <w:tcW w:type="dxa" w:w="5832"/>
          </w:tcPr>
          <w:p>
            <w:pPr>
              <w:spacing w:after="20"/>
            </w:pPr>
            <w:r>
              <w:rPr>
                <w:color w:val="1C3A36"/>
                <w:sz w:val="15"/>
              </w:rPr>
              <w:t>Cash at banks and on hand at 30-Jun-2025. Audited consolidated FS, transition period 1-Jul-2025 to 31-Dec-2025, Crowe unqualified, 18-Feb-2026</w:t>
            </w:r>
          </w:p>
        </w:tc>
      </w:tr>
      <w:tr>
        <w:tc>
          <w:tcPr>
            <w:tcW w:type="dxa" w:w="1872"/>
          </w:tcPr>
          <w:p>
            <w:pPr>
              <w:spacing w:after="20"/>
            </w:pPr>
            <w:r>
              <w:rPr>
                <w:color w:val="1C3A36"/>
                <w:sz w:val="15"/>
              </w:rPr>
              <w:t>cash_mar26</w:t>
            </w:r>
          </w:p>
        </w:tc>
        <w:tc>
          <w:tcPr>
            <w:tcW w:type="dxa" w:w="1440"/>
          </w:tcPr>
          <w:p>
            <w:pPr>
              <w:spacing w:after="20"/>
            </w:pPr>
            <w:r>
              <w:rPr>
                <w:color w:val="1C3A36"/>
                <w:sz w:val="15"/>
              </w:rPr>
              <w:t>2,204,898,542.0</w:t>
            </w:r>
          </w:p>
        </w:tc>
        <w:tc>
          <w:tcPr>
            <w:tcW w:type="dxa" w:w="1037"/>
          </w:tcPr>
          <w:p>
            <w:pPr>
              <w:spacing w:after="20"/>
            </w:pPr>
            <w:r>
              <w:rPr>
                <w:color w:val="1C3A36"/>
                <w:sz w:val="15"/>
              </w:rPr>
              <w:t>2026-03-31</w:t>
            </w:r>
          </w:p>
        </w:tc>
        <w:tc>
          <w:tcPr>
            <w:tcW w:type="dxa" w:w="5832"/>
          </w:tcPr>
          <w:p>
            <w:pPr>
              <w:spacing w:after="20"/>
            </w:pPr>
            <w:r>
              <w:rPr>
                <w:color w:val="1C3A36"/>
                <w:sz w:val="15"/>
              </w:rPr>
              <w:t>Cash and cash equivalents at 31-Mar-2026. Reviewed consolidated FS, three months to 31-Mar-2026</w:t>
            </w:r>
          </w:p>
        </w:tc>
      </w:tr>
      <w:tr>
        <w:tc>
          <w:tcPr>
            <w:tcW w:type="dxa" w:w="1872"/>
          </w:tcPr>
          <w:p>
            <w:pPr>
              <w:spacing w:after="20"/>
            </w:pPr>
            <w:r>
              <w:rPr>
                <w:color w:val="1C3A36"/>
                <w:sz w:val="15"/>
              </w:rPr>
              <w:t>eq_parent_mar26</w:t>
            </w:r>
          </w:p>
        </w:tc>
        <w:tc>
          <w:tcPr>
            <w:tcW w:type="dxa" w:w="1440"/>
          </w:tcPr>
          <w:p>
            <w:pPr>
              <w:spacing w:after="20"/>
            </w:pPr>
            <w:r>
              <w:rPr>
                <w:color w:val="1C3A36"/>
                <w:sz w:val="15"/>
              </w:rPr>
              <w:t>4,800,890,542.0</w:t>
            </w:r>
          </w:p>
        </w:tc>
        <w:tc>
          <w:tcPr>
            <w:tcW w:type="dxa" w:w="1037"/>
          </w:tcPr>
          <w:p>
            <w:pPr>
              <w:spacing w:after="20"/>
            </w:pPr>
            <w:r>
              <w:rPr>
                <w:color w:val="1C3A36"/>
                <w:sz w:val="15"/>
              </w:rPr>
              <w:t>2026-03-31</w:t>
            </w:r>
          </w:p>
        </w:tc>
        <w:tc>
          <w:tcPr>
            <w:tcW w:type="dxa" w:w="5832"/>
          </w:tcPr>
          <w:p>
            <w:pPr>
              <w:spacing w:after="20"/>
            </w:pPr>
            <w:r>
              <w:rPr>
                <w:color w:val="1C3A36"/>
                <w:sz w:val="15"/>
              </w:rPr>
              <w:t>Total parent equity at 31-Mar-2026. Reviewed consolidated FS, three months to 31-Mar-2026</w:t>
            </w:r>
          </w:p>
        </w:tc>
      </w:tr>
      <w:tr>
        <w:tc>
          <w:tcPr>
            <w:tcW w:type="dxa" w:w="1872"/>
          </w:tcPr>
          <w:p>
            <w:pPr>
              <w:spacing w:after="20"/>
            </w:pPr>
            <w:r>
              <w:rPr>
                <w:color w:val="1C3A36"/>
                <w:sz w:val="15"/>
              </w:rPr>
              <w:t>dep_h2_25</w:t>
            </w:r>
          </w:p>
        </w:tc>
        <w:tc>
          <w:tcPr>
            <w:tcW w:type="dxa" w:w="1440"/>
          </w:tcPr>
          <w:p>
            <w:pPr>
              <w:spacing w:after="20"/>
            </w:pPr>
            <w:r>
              <w:rPr>
                <w:color w:val="1C3A36"/>
                <w:sz w:val="15"/>
              </w:rPr>
              <w:t>70,125,269.0</w:t>
            </w:r>
          </w:p>
        </w:tc>
        <w:tc>
          <w:tcPr>
            <w:tcW w:type="dxa" w:w="1037"/>
          </w:tcPr>
          <w:p>
            <w:pPr>
              <w:spacing w:after="20"/>
            </w:pPr>
            <w:r>
              <w:rPr>
                <w:color w:val="1C3A36"/>
                <w:sz w:val="15"/>
              </w:rPr>
              <w:t>2025-12-31</w:t>
            </w:r>
          </w:p>
        </w:tc>
        <w:tc>
          <w:tcPr>
            <w:tcW w:type="dxa" w:w="5832"/>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1872"/>
          </w:tcPr>
          <w:p>
            <w:pPr>
              <w:spacing w:after="20"/>
            </w:pPr>
            <w:r>
              <w:rPr>
                <w:color w:val="1C3A36"/>
                <w:sz w:val="15"/>
              </w:rPr>
              <w:t>dep_q1_26</w:t>
            </w:r>
          </w:p>
        </w:tc>
        <w:tc>
          <w:tcPr>
            <w:tcW w:type="dxa" w:w="1440"/>
          </w:tcPr>
          <w:p>
            <w:pPr>
              <w:spacing w:after="20"/>
            </w:pPr>
            <w:r>
              <w:rPr>
                <w:color w:val="1C3A36"/>
                <w:sz w:val="15"/>
              </w:rPr>
              <w:t>40,597,611.0</w:t>
            </w:r>
          </w:p>
        </w:tc>
        <w:tc>
          <w:tcPr>
            <w:tcW w:type="dxa" w:w="1037"/>
          </w:tcPr>
          <w:p>
            <w:pPr>
              <w:spacing w:after="20"/>
            </w:pPr>
            <w:r>
              <w:rPr>
                <w:color w:val="1C3A36"/>
                <w:sz w:val="15"/>
              </w:rPr>
              <w:t>2026-03-31</w:t>
            </w:r>
          </w:p>
        </w:tc>
        <w:tc>
          <w:tcPr>
            <w:tcW w:type="dxa" w:w="5832"/>
          </w:tcPr>
          <w:p>
            <w:pPr>
              <w:spacing w:after="20"/>
            </w:pPr>
            <w:r>
              <w:rPr>
                <w:color w:val="1C3A36"/>
                <w:sz w:val="15"/>
              </w:rPr>
              <w:t>Fixed-asset depreciation and right-of-use amortisation, Q1-2026. Reviewed consolidated FS, three months to 31-Mar-2026</w:t>
            </w:r>
          </w:p>
        </w:tc>
      </w:tr>
      <w:tr>
        <w:tc>
          <w:tcPr>
            <w:tcW w:type="dxa" w:w="1872"/>
          </w:tcPr>
          <w:p>
            <w:pPr>
              <w:spacing w:after="20"/>
            </w:pPr>
            <w:r>
              <w:rPr>
                <w:color w:val="1C3A36"/>
                <w:sz w:val="15"/>
              </w:rPr>
              <w:t>capex_h2_25</w:t>
            </w:r>
          </w:p>
        </w:tc>
        <w:tc>
          <w:tcPr>
            <w:tcW w:type="dxa" w:w="1440"/>
          </w:tcPr>
          <w:p>
            <w:pPr>
              <w:spacing w:after="20"/>
            </w:pPr>
            <w:r>
              <w:rPr>
                <w:color w:val="1C3A36"/>
                <w:sz w:val="15"/>
              </w:rPr>
              <w:t>30,357,299.0</w:t>
            </w:r>
          </w:p>
        </w:tc>
        <w:tc>
          <w:tcPr>
            <w:tcW w:type="dxa" w:w="1037"/>
          </w:tcPr>
          <w:p>
            <w:pPr>
              <w:spacing w:after="20"/>
            </w:pPr>
            <w:r>
              <w:rPr>
                <w:color w:val="1C3A36"/>
                <w:sz w:val="15"/>
              </w:rPr>
              <w:t>2025-12-31</w:t>
            </w:r>
          </w:p>
        </w:tc>
        <w:tc>
          <w:tcPr>
            <w:tcW w:type="dxa" w:w="5832"/>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1872"/>
          </w:tcPr>
          <w:p>
            <w:pPr>
              <w:spacing w:after="20"/>
            </w:pPr>
            <w:r>
              <w:rPr>
                <w:color w:val="1C3A36"/>
                <w:sz w:val="15"/>
              </w:rPr>
              <w:t>capex_q1_26</w:t>
            </w:r>
          </w:p>
        </w:tc>
        <w:tc>
          <w:tcPr>
            <w:tcW w:type="dxa" w:w="1440"/>
          </w:tcPr>
          <w:p>
            <w:pPr>
              <w:spacing w:after="20"/>
            </w:pPr>
            <w:r>
              <w:rPr>
                <w:color w:val="1C3A36"/>
                <w:sz w:val="15"/>
              </w:rPr>
              <w:t>64,984,482.0</w:t>
            </w:r>
          </w:p>
        </w:tc>
        <w:tc>
          <w:tcPr>
            <w:tcW w:type="dxa" w:w="1037"/>
          </w:tcPr>
          <w:p>
            <w:pPr>
              <w:spacing w:after="20"/>
            </w:pPr>
            <w:r>
              <w:rPr>
                <w:color w:val="1C3A36"/>
                <w:sz w:val="15"/>
              </w:rPr>
              <w:t>2026-03-31</w:t>
            </w:r>
          </w:p>
        </w:tc>
        <w:tc>
          <w:tcPr>
            <w:tcW w:type="dxa" w:w="5832"/>
          </w:tcPr>
          <w:p>
            <w:pPr>
              <w:spacing w:after="20"/>
            </w:pPr>
            <w:r>
              <w:rPr>
                <w:color w:val="1C3A36"/>
                <w:sz w:val="15"/>
              </w:rPr>
              <w:t>Cash paid for projects under construction and fixed assets, Q1-2026. Reviewed consolidated FS, three months to 31-Mar-2026</w:t>
            </w:r>
          </w:p>
        </w:tc>
      </w:tr>
      <w:tr>
        <w:tc>
          <w:tcPr>
            <w:tcW w:type="dxa" w:w="1872"/>
          </w:tcPr>
          <w:p>
            <w:pPr>
              <w:spacing w:after="20"/>
            </w:pPr>
            <w:r>
              <w:rPr>
                <w:color w:val="1C3A36"/>
                <w:sz w:val="15"/>
              </w:rPr>
              <w:t>div_h2_25</w:t>
            </w:r>
          </w:p>
        </w:tc>
        <w:tc>
          <w:tcPr>
            <w:tcW w:type="dxa" w:w="1440"/>
          </w:tcPr>
          <w:p>
            <w:pPr>
              <w:spacing w:after="20"/>
            </w:pPr>
            <w:r>
              <w:rPr>
                <w:color w:val="1C3A36"/>
                <w:sz w:val="15"/>
              </w:rPr>
              <w:t>736,577,469.0</w:t>
            </w:r>
          </w:p>
        </w:tc>
        <w:tc>
          <w:tcPr>
            <w:tcW w:type="dxa" w:w="1037"/>
          </w:tcPr>
          <w:p>
            <w:pPr>
              <w:spacing w:after="20"/>
            </w:pPr>
            <w:r>
              <w:rPr>
                <w:color w:val="1C3A36"/>
                <w:sz w:val="15"/>
              </w:rPr>
              <w:t>2025-12-31</w:t>
            </w:r>
          </w:p>
        </w:tc>
        <w:tc>
          <w:tcPr>
            <w:tcW w:type="dxa" w:w="5832"/>
          </w:tcPr>
          <w:p>
            <w:pPr>
              <w:spacing w:after="20"/>
            </w:pPr>
            <w:r>
              <w:rPr>
                <w:color w:val="1C3A36"/>
                <w:sz w:val="15"/>
              </w:rPr>
              <w:t>Cash dividends PAID in the six months to 31-Dec-2025. Audited consolidated FS, transition period 1-Jul-2025 to 31-Dec-2025, Crowe unqualified, 18-Feb-2026</w:t>
            </w:r>
          </w:p>
        </w:tc>
      </w:tr>
      <w:tr>
        <w:tc>
          <w:tcPr>
            <w:tcW w:type="dxa" w:w="1872"/>
          </w:tcPr>
          <w:p>
            <w:pPr>
              <w:spacing w:after="20"/>
            </w:pPr>
            <w:r>
              <w:rPr>
                <w:color w:val="1C3A36"/>
                <w:sz w:val="15"/>
              </w:rPr>
              <w:t>div_q1_26</w:t>
            </w:r>
          </w:p>
        </w:tc>
        <w:tc>
          <w:tcPr>
            <w:tcW w:type="dxa" w:w="1440"/>
          </w:tcPr>
          <w:p>
            <w:pPr>
              <w:spacing w:after="20"/>
            </w:pPr>
            <w:r>
              <w:rPr>
                <w:color w:val="1C3A36"/>
                <w:sz w:val="15"/>
              </w:rPr>
              <w:t>602,957,265.0</w:t>
            </w:r>
          </w:p>
        </w:tc>
        <w:tc>
          <w:tcPr>
            <w:tcW w:type="dxa" w:w="1037"/>
          </w:tcPr>
          <w:p>
            <w:pPr>
              <w:spacing w:after="20"/>
            </w:pPr>
            <w:r>
              <w:rPr>
                <w:color w:val="1C3A36"/>
                <w:sz w:val="15"/>
              </w:rPr>
              <w:t>2026-03-31</w:t>
            </w:r>
          </w:p>
        </w:tc>
        <w:tc>
          <w:tcPr>
            <w:tcW w:type="dxa" w:w="5832"/>
          </w:tcPr>
          <w:p>
            <w:pPr>
              <w:spacing w:after="20"/>
            </w:pPr>
            <w:r>
              <w:rPr>
                <w:color w:val="1C3A36"/>
                <w:sz w:val="15"/>
              </w:rPr>
              <w:t>Cash dividends paid in Q1-2026. Reviewed consolidated FS, three months to 31-Mar-2026</w:t>
            </w:r>
          </w:p>
        </w:tc>
      </w:tr>
      <w:tr>
        <w:tc>
          <w:tcPr>
            <w:tcW w:type="dxa" w:w="1872"/>
          </w:tcPr>
          <w:p>
            <w:pPr>
              <w:spacing w:after="20"/>
            </w:pPr>
            <w:r>
              <w:rPr>
                <w:color w:val="1C3A36"/>
                <w:sz w:val="15"/>
              </w:rPr>
              <w:t>credint_h2_25</w:t>
            </w:r>
          </w:p>
        </w:tc>
        <w:tc>
          <w:tcPr>
            <w:tcW w:type="dxa" w:w="1440"/>
          </w:tcPr>
          <w:p>
            <w:pPr>
              <w:spacing w:after="20"/>
            </w:pPr>
            <w:r>
              <w:rPr>
                <w:color w:val="1C3A36"/>
                <w:sz w:val="15"/>
              </w:rPr>
              <w:t>173,216,413.0</w:t>
            </w:r>
          </w:p>
        </w:tc>
        <w:tc>
          <w:tcPr>
            <w:tcW w:type="dxa" w:w="1037"/>
          </w:tcPr>
          <w:p>
            <w:pPr>
              <w:spacing w:after="20"/>
            </w:pPr>
            <w:r>
              <w:rPr>
                <w:color w:val="1C3A36"/>
                <w:sz w:val="15"/>
              </w:rPr>
              <w:t>2025-12-31</w:t>
            </w:r>
          </w:p>
        </w:tc>
        <w:tc>
          <w:tcPr>
            <w:tcW w:type="dxa" w:w="5832"/>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1872"/>
          </w:tcPr>
          <w:p>
            <w:pPr>
              <w:spacing w:after="20"/>
            </w:pPr>
            <w:r>
              <w:rPr>
                <w:color w:val="1C3A36"/>
                <w:sz w:val="15"/>
              </w:rPr>
              <w:t>credint_q1_26</w:t>
            </w:r>
          </w:p>
        </w:tc>
        <w:tc>
          <w:tcPr>
            <w:tcW w:type="dxa" w:w="1440"/>
          </w:tcPr>
          <w:p>
            <w:pPr>
              <w:spacing w:after="20"/>
            </w:pPr>
            <w:r>
              <w:rPr>
                <w:color w:val="1C3A36"/>
                <w:sz w:val="15"/>
              </w:rPr>
              <w:t>64,104,178.0</w:t>
            </w:r>
          </w:p>
        </w:tc>
        <w:tc>
          <w:tcPr>
            <w:tcW w:type="dxa" w:w="1037"/>
          </w:tcPr>
          <w:p>
            <w:pPr>
              <w:spacing w:after="20"/>
            </w:pPr>
            <w:r>
              <w:rPr>
                <w:color w:val="1C3A36"/>
                <w:sz w:val="15"/>
              </w:rPr>
              <w:t>2026-03-31</w:t>
            </w:r>
          </w:p>
        </w:tc>
        <w:tc>
          <w:tcPr>
            <w:tcW w:type="dxa" w:w="5832"/>
          </w:tcPr>
          <w:p>
            <w:pPr>
              <w:spacing w:after="20"/>
            </w:pPr>
            <w:r>
              <w:rPr>
                <w:color w:val="1C3A36"/>
                <w:sz w:val="15"/>
              </w:rPr>
              <w:t>Credit interest earned in Q1-2026. Reviewed consolidated FS, three months to 31-Mar-2026</w:t>
            </w:r>
          </w:p>
        </w:tc>
      </w:tr>
      <w:tr>
        <w:tc>
          <w:tcPr>
            <w:tcW w:type="dxa" w:w="1872"/>
          </w:tcPr>
          <w:p>
            <w:pPr>
              <w:spacing w:after="20"/>
            </w:pPr>
            <w:r>
              <w:rPr>
                <w:color w:val="1C3A36"/>
                <w:sz w:val="15"/>
              </w:rPr>
              <w:t>div_declared</w:t>
            </w:r>
          </w:p>
        </w:tc>
        <w:tc>
          <w:tcPr>
            <w:tcW w:type="dxa" w:w="1440"/>
          </w:tcPr>
          <w:p>
            <w:pPr>
              <w:spacing w:after="20"/>
            </w:pPr>
            <w:r>
              <w:rPr>
                <w:color w:val="1C3A36"/>
                <w:sz w:val="15"/>
              </w:rPr>
              <w:t>517,250,000.0</w:t>
            </w:r>
          </w:p>
        </w:tc>
        <w:tc>
          <w:tcPr>
            <w:tcW w:type="dxa" w:w="1037"/>
          </w:tcPr>
          <w:p>
            <w:pPr>
              <w:spacing w:after="20"/>
            </w:pPr>
            <w:r>
              <w:rPr>
                <w:color w:val="1C3A36"/>
                <w:sz w:val="15"/>
              </w:rPr>
              <w:t>2025-12-31</w:t>
            </w:r>
          </w:p>
        </w:tc>
        <w:tc>
          <w:tcPr>
            <w:tcW w:type="dxa" w:w="5832"/>
          </w:tcPr>
          <w:p>
            <w:pPr>
              <w:spacing w:after="20"/>
            </w:pPr>
            <w:r>
              <w:rPr>
                <w:color w:val="1C3A36"/>
                <w:sz w:val="15"/>
              </w:rPr>
              <w:t>Dividends payable at 31-Dec-2025 (note 11, other credit balances) — declared and not yet paid at the reporting date. Audited consolidated FS, transition period 1-Jul-2025 to 31-Dec-2025, Crowe unqualified, 18-Feb-2026</w:t>
            </w:r>
          </w:p>
        </w:tc>
      </w:tr>
      <w:tr>
        <w:tc>
          <w:tcPr>
            <w:tcW w:type="dxa" w:w="1872"/>
          </w:tcPr>
          <w:p>
            <w:pPr>
              <w:spacing w:after="20"/>
            </w:pPr>
            <w:r>
              <w:rPr>
                <w:color w:val="1C3A36"/>
                <w:sz w:val="15"/>
              </w:rPr>
              <w:t>nci_share</w:t>
            </w:r>
          </w:p>
        </w:tc>
        <w:tc>
          <w:tcPr>
            <w:tcW w:type="dxa" w:w="1440"/>
          </w:tcPr>
          <w:p>
            <w:pPr>
              <w:spacing w:after="20"/>
            </w:pPr>
            <w:r>
              <w:rPr>
                <w:color w:val="1C3A36"/>
                <w:sz w:val="15"/>
              </w:rPr>
              <w:t>0.0464</w:t>
            </w:r>
          </w:p>
        </w:tc>
        <w:tc>
          <w:tcPr>
            <w:tcW w:type="dxa" w:w="1037"/>
          </w:tcPr>
          <w:p>
            <w:pPr>
              <w:spacing w:after="20"/>
            </w:pPr>
            <w:r>
              <w:rPr>
                <w:color w:val="1C3A36"/>
                <w:sz w:val="15"/>
              </w:rPr>
              <w:t>2025-12-31</w:t>
            </w:r>
          </w:p>
        </w:tc>
        <w:tc>
          <w:tcPr>
            <w:tcW w:type="dxa" w:w="5832"/>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1872"/>
          </w:tcPr>
          <w:p>
            <w:pPr>
              <w:spacing w:after="20"/>
            </w:pPr>
            <w:r>
              <w:rPr>
                <w:color w:val="1C3A36"/>
                <w:sz w:val="15"/>
              </w:rPr>
              <w:t>alexpet_stake</w:t>
            </w:r>
          </w:p>
        </w:tc>
        <w:tc>
          <w:tcPr>
            <w:tcW w:type="dxa" w:w="1440"/>
          </w:tcPr>
          <w:p>
            <w:pPr>
              <w:spacing w:after="20"/>
            </w:pPr>
            <w:r>
              <w:rPr>
                <w:color w:val="1C3A36"/>
                <w:sz w:val="15"/>
              </w:rPr>
              <w:t>0.2077</w:t>
            </w:r>
          </w:p>
        </w:tc>
        <w:tc>
          <w:tcPr>
            <w:tcW w:type="dxa" w:w="1037"/>
          </w:tcPr>
          <w:p>
            <w:pPr>
              <w:spacing w:after="20"/>
            </w:pPr>
            <w:r>
              <w:rPr>
                <w:color w:val="1C3A36"/>
                <w:sz w:val="15"/>
              </w:rPr>
              <w:t>2025-12-31</w:t>
            </w:r>
          </w:p>
        </w:tc>
        <w:tc>
          <w:tcPr>
            <w:tcW w:type="dxa" w:w="5832"/>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1872"/>
          </w:tcPr>
          <w:p>
            <w:pPr>
              <w:spacing w:after="20"/>
            </w:pPr>
            <w:r>
              <w:rPr>
                <w:color w:val="1C3A36"/>
                <w:sz w:val="15"/>
              </w:rPr>
              <w:t>egpc_sales</w:t>
            </w:r>
          </w:p>
        </w:tc>
        <w:tc>
          <w:tcPr>
            <w:tcW w:type="dxa" w:w="1440"/>
          </w:tcPr>
          <w:p>
            <w:pPr>
              <w:spacing w:after="20"/>
            </w:pPr>
            <w:r>
              <w:rPr>
                <w:color w:val="1C3A36"/>
                <w:sz w:val="15"/>
              </w:rPr>
              <w:t>15,872,300,000.0</w:t>
            </w:r>
          </w:p>
        </w:tc>
        <w:tc>
          <w:tcPr>
            <w:tcW w:type="dxa" w:w="1037"/>
          </w:tcPr>
          <w:p>
            <w:pPr>
              <w:spacing w:after="20"/>
            </w:pPr>
            <w:r>
              <w:rPr>
                <w:color w:val="1C3A36"/>
                <w:sz w:val="15"/>
              </w:rPr>
              <w:t>2025-12-31</w:t>
            </w:r>
          </w:p>
        </w:tc>
        <w:tc>
          <w:tcPr>
            <w:tcW w:type="dxa" w:w="5832"/>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1872"/>
          </w:tcPr>
          <w:p>
            <w:pPr>
              <w:spacing w:after="20"/>
            </w:pPr>
            <w:r>
              <w:rPr>
                <w:color w:val="1C3A36"/>
                <w:sz w:val="15"/>
              </w:rPr>
              <w:t>egpc_balance</w:t>
            </w:r>
          </w:p>
        </w:tc>
        <w:tc>
          <w:tcPr>
            <w:tcW w:type="dxa" w:w="1440"/>
          </w:tcPr>
          <w:p>
            <w:pPr>
              <w:spacing w:after="20"/>
            </w:pPr>
            <w:r>
              <w:rPr>
                <w:color w:val="1C3A36"/>
                <w:sz w:val="15"/>
              </w:rPr>
              <w:t>1,132,353,505.0</w:t>
            </w:r>
          </w:p>
        </w:tc>
        <w:tc>
          <w:tcPr>
            <w:tcW w:type="dxa" w:w="1037"/>
          </w:tcPr>
          <w:p>
            <w:pPr>
              <w:spacing w:after="20"/>
            </w:pPr>
            <w:r>
              <w:rPr>
                <w:color w:val="1C3A36"/>
                <w:sz w:val="15"/>
              </w:rPr>
              <w:t>2025-12-31</w:t>
            </w:r>
          </w:p>
        </w:tc>
        <w:tc>
          <w:tcPr>
            <w:tcW w:type="dxa" w:w="5832"/>
          </w:tcPr>
          <w:p>
            <w:pPr>
              <w:spacing w:after="20"/>
            </w:pPr>
            <w:r>
              <w:rPr>
                <w:color w:val="1C3A36"/>
                <w:sz w:val="15"/>
              </w:rPr>
              <w:t>EGPC current account balance owed at 31-Dec-2025 (note 11). Audited consolidated FS, transition period 1-Jul-2025 to 31-Dec-2025, Crowe unqualified, 18-Feb-2026</w:t>
            </w:r>
          </w:p>
        </w:tc>
      </w:tr>
      <w:tr>
        <w:tc>
          <w:tcPr>
            <w:tcW w:type="dxa" w:w="1872"/>
          </w:tcPr>
          <w:p>
            <w:pPr>
              <w:spacing w:after="20"/>
            </w:pPr>
            <w:r>
              <w:rPr>
                <w:color w:val="1C3A36"/>
                <w:sz w:val="15"/>
              </w:rPr>
              <w:t>payout_reported</w:t>
            </w:r>
          </w:p>
        </w:tc>
        <w:tc>
          <w:tcPr>
            <w:tcW w:type="dxa" w:w="1440"/>
          </w:tcPr>
          <w:p>
            <w:pPr>
              <w:spacing w:after="20"/>
            </w:pPr>
            <w:r>
              <w:rPr>
                <w:color w:val="1C3A36"/>
                <w:sz w:val="15"/>
              </w:rPr>
              <w:t>1.0372</w:t>
            </w:r>
          </w:p>
        </w:tc>
        <w:tc>
          <w:tcPr>
            <w:tcW w:type="dxa" w:w="1037"/>
          </w:tcPr>
          <w:p>
            <w:pPr>
              <w:spacing w:after="20"/>
            </w:pPr>
            <w:r>
              <w:rPr>
                <w:color w:val="1C3A36"/>
                <w:sz w:val="15"/>
              </w:rPr>
              <w:t>2026-03-31</w:t>
            </w:r>
          </w:p>
        </w:tc>
        <w:tc>
          <w:tcPr>
            <w:tcW w:type="dxa" w:w="5832"/>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1872"/>
          </w:tcPr>
          <w:p>
            <w:pPr>
              <w:spacing w:after="20"/>
            </w:pPr>
            <w:r>
              <w:rPr>
                <w:color w:val="1C3A36"/>
                <w:sz w:val="15"/>
              </w:rPr>
              <w:t>dps</w:t>
            </w:r>
          </w:p>
        </w:tc>
        <w:tc>
          <w:tcPr>
            <w:tcW w:type="dxa" w:w="1440"/>
          </w:tcPr>
          <w:p>
            <w:pPr>
              <w:spacing w:after="20"/>
            </w:pPr>
            <w:r>
              <w:rPr>
                <w:color w:val="1C3A36"/>
                <w:sz w:val="15"/>
              </w:rPr>
              <w:t>1.0372</w:t>
            </w:r>
          </w:p>
        </w:tc>
        <w:tc>
          <w:tcPr>
            <w:tcW w:type="dxa" w:w="1037"/>
          </w:tcPr>
          <w:p>
            <w:pPr>
              <w:spacing w:after="20"/>
            </w:pPr>
            <w:r>
              <w:rPr>
                <w:color w:val="1C3A36"/>
                <w:sz w:val="15"/>
              </w:rPr>
              <w:t>2026-03-31</w:t>
            </w:r>
          </w:p>
        </w:tc>
        <w:tc>
          <w:tcPr>
            <w:tcW w:type="dxa" w:w="5832"/>
          </w:tcPr>
          <w:p>
            <w:pPr>
              <w:spacing w:after="20"/>
            </w:pPr>
            <w:r>
              <w:rPr>
                <w:color w:val="1C3A36"/>
                <w:sz w:val="15"/>
              </w:rPr>
              <w:t>Dividend per share, cash actually paid in the audited nine months over shares outstanding. Annualising is left to the reader; the study uses the paid figure</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brent_path</w:t>
            </w:r>
          </w:p>
        </w:tc>
        <w:tc>
          <w:tcPr>
            <w:tcW w:type="dxa" w:w="1440"/>
          </w:tcPr>
          <w:p>
            <w:pPr>
              <w:spacing w:after="20"/>
            </w:pPr>
            <w:r>
              <w:rPr>
                <w:color w:val="1C3A36"/>
                <w:sz w:val="15"/>
              </w:rPr>
              <w:t>70, 71.5, 73, 74.5, 76</w:t>
            </w:r>
          </w:p>
        </w:tc>
        <w:tc>
          <w:tcPr>
            <w:tcW w:type="dxa" w:w="1037"/>
          </w:tcPr>
          <w:p>
            <w:pPr>
              <w:spacing w:after="20"/>
            </w:pPr>
            <w:r>
              <w:rPr>
                <w:color w:val="1C3A36"/>
                <w:sz w:val="15"/>
              </w:rPr>
              <w:t>2026-08-06</w:t>
            </w:r>
          </w:p>
        </w:tc>
        <w:tc>
          <w:tcPr>
            <w:tcW w:type="dxa" w:w="5832"/>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1872"/>
          </w:tcPr>
          <w:p>
            <w:pPr>
              <w:spacing w:after="20"/>
            </w:pPr>
            <w:r>
              <w:rPr>
                <w:color w:val="1C3A36"/>
                <w:sz w:val="15"/>
              </w:rPr>
              <w:t>crude_hist</w:t>
            </w:r>
          </w:p>
        </w:tc>
        <w:tc>
          <w:tcPr>
            <w:tcW w:type="dxa" w:w="1440"/>
          </w:tcPr>
          <w:p>
            <w:pPr>
              <w:spacing w:after="20"/>
            </w:pPr>
            <w:r>
              <w:rPr>
                <w:color w:val="1C3A36"/>
                <w:sz w:val="15"/>
              </w:rPr>
              <w:t>fy23: 85; fy24: 84; fy25: 74; cy25: 70</w:t>
            </w:r>
          </w:p>
        </w:tc>
        <w:tc>
          <w:tcPr>
            <w:tcW w:type="dxa" w:w="1037"/>
          </w:tcPr>
          <w:p>
            <w:pPr>
              <w:spacing w:after="20"/>
            </w:pPr>
            <w:r>
              <w:rPr>
                <w:color w:val="1C3A36"/>
                <w:sz w:val="15"/>
              </w:rPr>
              <w:t>2026-08-06</w:t>
            </w:r>
          </w:p>
        </w:tc>
        <w:tc>
          <w:tcPr>
            <w:tcW w:type="dxa" w:w="5832"/>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fixed_cost_infl</w:t>
            </w:r>
          </w:p>
        </w:tc>
        <w:tc>
          <w:tcPr>
            <w:tcW w:type="dxa" w:w="1440"/>
          </w:tcPr>
          <w:p>
            <w:pPr>
              <w:spacing w:after="20"/>
            </w:pPr>
            <w:r>
              <w:rPr>
                <w:color w:val="1C3A36"/>
                <w:sz w:val="15"/>
              </w:rPr>
              <w:t>1.33, 1.28, 1.12, 1.145, 1.13, 1.115, 1.1, 1.095</w:t>
            </w:r>
          </w:p>
        </w:tc>
        <w:tc>
          <w:tcPr>
            <w:tcW w:type="dxa" w:w="1037"/>
          </w:tcPr>
          <w:p>
            <w:pPr>
              <w:spacing w:after="20"/>
            </w:pPr>
            <w:r>
              <w:rPr>
                <w:color w:val="1C3A36"/>
                <w:sz w:val="15"/>
              </w:rPr>
              <w:t>2026-08-06</w:t>
            </w:r>
          </w:p>
        </w:tc>
        <w:tc>
          <w:tcPr>
            <w:tcW w:type="dxa" w:w="5832"/>
          </w:tcPr>
          <w:p>
            <w:pPr>
              <w:spacing w:after="20"/>
            </w:pPr>
            <w:r>
              <w:rPr>
                <w:color w:val="1C3A36"/>
                <w:sz w:val="15"/>
              </w:rPr>
              <w:t>Cumulative-year Egyptian inflation factors applied to the pound-denominated cost legs — salaries inside cost of sales, the other line, administrative and marketing expense, and capital expenditure. Historical years as printed, easing toward the central bank's published target thereafter</w:t>
            </w:r>
          </w:p>
        </w:tc>
      </w:tr>
      <w:tr>
        <w:tc>
          <w:tcPr>
            <w:tcW w:type="dxa" w:w="1872"/>
          </w:tcPr>
          <w:p>
            <w:pPr>
              <w:spacing w:after="20"/>
            </w:pPr>
            <w:r>
              <w:rPr>
                <w:color w:val="1C3A36"/>
                <w:sz w:val="15"/>
              </w:rPr>
              <w:t>fx_hist</w:t>
            </w:r>
          </w:p>
        </w:tc>
        <w:tc>
          <w:tcPr>
            <w:tcW w:type="dxa" w:w="1440"/>
          </w:tcPr>
          <w:p>
            <w:pPr>
              <w:spacing w:after="20"/>
            </w:pPr>
            <w:r>
              <w:rPr>
                <w:color w:val="1C3A36"/>
                <w:sz w:val="15"/>
              </w:rPr>
              <w:t>fy23: 28.5; fy24: 36.4; fy25: 48.9; cy25: 48.7</w:t>
            </w:r>
          </w:p>
        </w:tc>
        <w:tc>
          <w:tcPr>
            <w:tcW w:type="dxa" w:w="1037"/>
          </w:tcPr>
          <w:p>
            <w:pPr>
              <w:spacing w:after="20"/>
            </w:pPr>
            <w:r>
              <w:rPr>
                <w:color w:val="1C3A36"/>
                <w:sz w:val="15"/>
              </w:rPr>
              <w:t>2026-08-06</w:t>
            </w:r>
          </w:p>
        </w:tc>
        <w:tc>
          <w:tcPr>
            <w:tcW w:type="dxa" w:w="5832"/>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1872"/>
          </w:tcPr>
          <w:p>
            <w:pPr>
              <w:spacing w:after="20"/>
            </w:pPr>
            <w:r>
              <w:rPr>
                <w:color w:val="1C3A36"/>
                <w:sz w:val="15"/>
              </w:rPr>
              <w:t>rf</w:t>
            </w:r>
          </w:p>
        </w:tc>
        <w:tc>
          <w:tcPr>
            <w:tcW w:type="dxa" w:w="1440"/>
          </w:tcPr>
          <w:p>
            <w:pPr>
              <w:spacing w:after="20"/>
            </w:pPr>
            <w:r>
              <w:rPr>
                <w:color w:val="1C3A36"/>
                <w:sz w:val="15"/>
              </w:rPr>
              <w:t>0.2231</w:t>
            </w:r>
          </w:p>
        </w:tc>
        <w:tc>
          <w:tcPr>
            <w:tcW w:type="dxa" w:w="1037"/>
          </w:tcPr>
          <w:p>
            <w:pPr>
              <w:spacing w:after="20"/>
            </w:pPr>
            <w:r>
              <w:rPr>
                <w:color w:val="1C3A36"/>
                <w:sz w:val="15"/>
              </w:rPr>
              <w:t>2026-07-21</w:t>
            </w:r>
          </w:p>
        </w:tc>
        <w:tc>
          <w:tcPr>
            <w:tcW w:type="dxa" w:w="5832"/>
          </w:tcPr>
          <w:p>
            <w:pPr>
              <w:spacing w:after="20"/>
            </w:pPr>
            <w:r>
              <w:rPr>
                <w:color w:val="1C3A36"/>
                <w:sz w:val="15"/>
              </w:rPr>
              <w:t>Egypt 10-year local-currency government bond yield, 22.31% (house cost-of-capital reference, cached 21-Jul-2026 print, re-verified 06-Aug-2026)</w:t>
            </w:r>
          </w:p>
        </w:tc>
      </w:tr>
      <w:tr>
        <w:tc>
          <w:tcPr>
            <w:tcW w:type="dxa" w:w="1872"/>
          </w:tcPr>
          <w:p>
            <w:pPr>
              <w:spacing w:after="20"/>
            </w:pPr>
            <w:r>
              <w:rPr>
                <w:color w:val="1C3A36"/>
                <w:sz w:val="15"/>
              </w:rPr>
              <w:t>sov_spread_cds</w:t>
            </w:r>
          </w:p>
        </w:tc>
        <w:tc>
          <w:tcPr>
            <w:tcW w:type="dxa" w:w="1440"/>
          </w:tcPr>
          <w:p>
            <w:pPr>
              <w:spacing w:after="20"/>
            </w:pPr>
            <w:r>
              <w:rPr>
                <w:color w:val="1C3A36"/>
                <w:sz w:val="15"/>
              </w:rPr>
              <w:t>0.034</w:t>
            </w:r>
          </w:p>
        </w:tc>
        <w:tc>
          <w:tcPr>
            <w:tcW w:type="dxa" w:w="1037"/>
          </w:tcPr>
          <w:p>
            <w:pPr>
              <w:spacing w:after="20"/>
            </w:pPr>
            <w:r>
              <w:rPr>
                <w:color w:val="1C3A36"/>
                <w:sz w:val="15"/>
              </w:rPr>
              <w:t>2026-01-05</w:t>
            </w:r>
          </w:p>
        </w:tc>
        <w:tc>
          <w:tcPr>
            <w:tcW w:type="dxa" w:w="5832"/>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1872"/>
          </w:tcPr>
          <w:p>
            <w:pPr>
              <w:spacing w:after="20"/>
            </w:pPr>
            <w:r>
              <w:rPr>
                <w:color w:val="1C3A36"/>
                <w:sz w:val="15"/>
              </w:rPr>
              <w:t>sov_spread_rating</w:t>
            </w:r>
          </w:p>
        </w:tc>
        <w:tc>
          <w:tcPr>
            <w:tcW w:type="dxa" w:w="1440"/>
          </w:tcPr>
          <w:p>
            <w:pPr>
              <w:spacing w:after="20"/>
            </w:pPr>
            <w:r>
              <w:rPr>
                <w:color w:val="1C3A36"/>
                <w:sz w:val="15"/>
              </w:rPr>
              <w:t>0.0637</w:t>
            </w:r>
          </w:p>
        </w:tc>
        <w:tc>
          <w:tcPr>
            <w:tcW w:type="dxa" w:w="1037"/>
          </w:tcPr>
          <w:p>
            <w:pPr>
              <w:spacing w:after="20"/>
            </w:pPr>
            <w:r>
              <w:rPr>
                <w:color w:val="1C3A36"/>
                <w:sz w:val="15"/>
              </w:rPr>
              <w:t>2026-01-05</w:t>
            </w:r>
          </w:p>
        </w:tc>
        <w:tc>
          <w:tcPr>
            <w:tcW w:type="dxa" w:w="5832"/>
          </w:tcPr>
          <w:p>
            <w:pPr>
              <w:spacing w:after="20"/>
            </w:pPr>
            <w:r>
              <w:rPr>
                <w:color w:val="1C3A36"/>
                <w:sz w:val="15"/>
              </w:rPr>
              <w:t>Damodaran adjusted default spread on the rating basis, January-2026 — the alternative construction, disclosed for the audit trail</w:t>
            </w:r>
          </w:p>
        </w:tc>
      </w:tr>
      <w:tr>
        <w:tc>
          <w:tcPr>
            <w:tcW w:type="dxa" w:w="1872"/>
          </w:tcPr>
          <w:p>
            <w:pPr>
              <w:spacing w:after="20"/>
            </w:pPr>
            <w:r>
              <w:rPr>
                <w:color w:val="1C3A36"/>
                <w:sz w:val="15"/>
              </w:rPr>
              <w:t>erp_cds</w:t>
            </w:r>
          </w:p>
        </w:tc>
        <w:tc>
          <w:tcPr>
            <w:tcW w:type="dxa" w:w="1440"/>
          </w:tcPr>
          <w:p>
            <w:pPr>
              <w:spacing w:after="20"/>
            </w:pPr>
            <w:r>
              <w:rPr>
                <w:color w:val="1C3A36"/>
                <w:sz w:val="15"/>
              </w:rPr>
              <w:t>0.0941</w:t>
            </w:r>
          </w:p>
        </w:tc>
        <w:tc>
          <w:tcPr>
            <w:tcW w:type="dxa" w:w="1037"/>
          </w:tcPr>
          <w:p>
            <w:pPr>
              <w:spacing w:after="20"/>
            </w:pPr>
            <w:r>
              <w:rPr>
                <w:color w:val="1C3A36"/>
                <w:sz w:val="15"/>
              </w:rPr>
              <w:t>2026-01-05</w:t>
            </w:r>
          </w:p>
        </w:tc>
        <w:tc>
          <w:tcPr>
            <w:tcW w:type="dxa" w:w="5832"/>
          </w:tcPr>
          <w:p>
            <w:pPr>
              <w:spacing w:after="20"/>
            </w:pPr>
            <w:r>
              <w:rPr>
                <w:color w:val="1C3A36"/>
                <w:sz w:val="15"/>
              </w:rPr>
              <w:t>Damodaran original country-premium file, Egypt row, CDS column, last updated 5 January 2026 — total equity risk premium</w:t>
            </w:r>
          </w:p>
        </w:tc>
      </w:tr>
      <w:tr>
        <w:tc>
          <w:tcPr>
            <w:tcW w:type="dxa" w:w="1872"/>
          </w:tcPr>
          <w:p>
            <w:pPr>
              <w:spacing w:after="20"/>
            </w:pPr>
            <w:r>
              <w:rPr>
                <w:color w:val="1C3A36"/>
                <w:sz w:val="15"/>
              </w:rPr>
              <w:t>erp_rating</w:t>
            </w:r>
          </w:p>
        </w:tc>
        <w:tc>
          <w:tcPr>
            <w:tcW w:type="dxa" w:w="1440"/>
          </w:tcPr>
          <w:p>
            <w:pPr>
              <w:spacing w:after="20"/>
            </w:pPr>
            <w:r>
              <w:rPr>
                <w:color w:val="1C3A36"/>
                <w:sz w:val="15"/>
              </w:rPr>
              <w:t>0.1394</w:t>
            </w:r>
          </w:p>
        </w:tc>
        <w:tc>
          <w:tcPr>
            <w:tcW w:type="dxa" w:w="1037"/>
          </w:tcPr>
          <w:p>
            <w:pPr>
              <w:spacing w:after="20"/>
            </w:pPr>
            <w:r>
              <w:rPr>
                <w:color w:val="1C3A36"/>
                <w:sz w:val="15"/>
              </w:rPr>
              <w:t>2026-01-05</w:t>
            </w:r>
          </w:p>
        </w:tc>
        <w:tc>
          <w:tcPr>
            <w:tcW w:type="dxa" w:w="5832"/>
          </w:tcPr>
          <w:p>
            <w:pPr>
              <w:spacing w:after="20"/>
            </w:pPr>
            <w:r>
              <w:rPr>
                <w:color w:val="1C3A36"/>
                <w:sz w:val="15"/>
              </w:rPr>
              <w:t>Damodaran original country-premium file, Egypt row, rating basis, January-2026 — the alternative</w:t>
            </w:r>
          </w:p>
        </w:tc>
      </w:tr>
      <w:tr>
        <w:tc>
          <w:tcPr>
            <w:tcW w:type="dxa" w:w="1872"/>
          </w:tcPr>
          <w:p>
            <w:pPr>
              <w:spacing w:after="20"/>
            </w:pPr>
            <w:r>
              <w:rPr>
                <w:color w:val="1C3A36"/>
                <w:sz w:val="15"/>
              </w:rPr>
              <w:t>policy_rate</w:t>
            </w:r>
          </w:p>
        </w:tc>
        <w:tc>
          <w:tcPr>
            <w:tcW w:type="dxa" w:w="1440"/>
          </w:tcPr>
          <w:p>
            <w:pPr>
              <w:spacing w:after="20"/>
            </w:pPr>
            <w:r>
              <w:rPr>
                <w:color w:val="1C3A36"/>
                <w:sz w:val="15"/>
              </w:rPr>
              <w:t>0.195</w:t>
            </w:r>
          </w:p>
        </w:tc>
        <w:tc>
          <w:tcPr>
            <w:tcW w:type="dxa" w:w="1037"/>
          </w:tcPr>
          <w:p>
            <w:pPr>
              <w:spacing w:after="20"/>
            </w:pPr>
            <w:r>
              <w:rPr>
                <w:color w:val="1C3A36"/>
                <w:sz w:val="15"/>
              </w:rPr>
              <w:t>2026-08-06</w:t>
            </w:r>
          </w:p>
        </w:tc>
        <w:tc>
          <w:tcPr>
            <w:tcW w:type="dxa" w:w="5832"/>
          </w:tcPr>
          <w:p>
            <w:pPr>
              <w:spacing w:after="20"/>
            </w:pPr>
            <w:r>
              <w:rPr>
                <w:color w:val="1C3A36"/>
                <w:sz w:val="15"/>
              </w:rPr>
              <w:t>Central Bank of Egypt main operation rate 19.50% (corridor 19.00/20.00), held at the third meeting of 2026 — a second consecutive hold</w:t>
            </w:r>
          </w:p>
        </w:tc>
      </w:tr>
      <w:tr>
        <w:tc>
          <w:tcPr>
            <w:tcW w:type="dxa" w:w="1872"/>
          </w:tcPr>
          <w:p>
            <w:pPr>
              <w:spacing w:after="20"/>
            </w:pPr>
            <w:r>
              <w:rPr>
                <w:color w:val="1C3A36"/>
                <w:sz w:val="15"/>
              </w:rPr>
              <w:t>cpi</w:t>
            </w:r>
          </w:p>
        </w:tc>
        <w:tc>
          <w:tcPr>
            <w:tcW w:type="dxa" w:w="1440"/>
          </w:tcPr>
          <w:p>
            <w:pPr>
              <w:spacing w:after="20"/>
            </w:pPr>
            <w:r>
              <w:rPr>
                <w:color w:val="1C3A36"/>
                <w:sz w:val="15"/>
              </w:rPr>
              <w:t>0.143</w:t>
            </w:r>
          </w:p>
        </w:tc>
        <w:tc>
          <w:tcPr>
            <w:tcW w:type="dxa" w:w="1037"/>
          </w:tcPr>
          <w:p>
            <w:pPr>
              <w:spacing w:after="20"/>
            </w:pPr>
            <w:r>
              <w:rPr>
                <w:color w:val="1C3A36"/>
                <w:sz w:val="15"/>
              </w:rPr>
              <w:t>2026-06-30</w:t>
            </w:r>
          </w:p>
        </w:tc>
        <w:tc>
          <w:tcPr>
            <w:tcW w:type="dxa" w:w="5832"/>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1872"/>
          </w:tcPr>
          <w:p>
            <w:pPr>
              <w:spacing w:after="20"/>
            </w:pPr>
            <w:r>
              <w:rPr>
                <w:color w:val="1C3A36"/>
                <w:sz w:val="15"/>
              </w:rPr>
              <w:t>cbe_target</w:t>
            </w:r>
          </w:p>
        </w:tc>
        <w:tc>
          <w:tcPr>
            <w:tcW w:type="dxa" w:w="1440"/>
          </w:tcPr>
          <w:p>
            <w:pPr>
              <w:spacing w:after="20"/>
            </w:pPr>
            <w:r>
              <w:rPr>
                <w:color w:val="1C3A36"/>
                <w:sz w:val="15"/>
              </w:rPr>
              <w:t>0.07</w:t>
            </w:r>
          </w:p>
        </w:tc>
        <w:tc>
          <w:tcPr>
            <w:tcW w:type="dxa" w:w="1037"/>
          </w:tcPr>
          <w:p>
            <w:pPr>
              <w:spacing w:after="20"/>
            </w:pPr>
            <w:r>
              <w:rPr>
                <w:color w:val="1C3A36"/>
                <w:sz w:val="15"/>
              </w:rPr>
              <w:t>2026-08-06</w:t>
            </w:r>
          </w:p>
        </w:tc>
        <w:tc>
          <w:tcPr>
            <w:tcW w:type="dxa" w:w="5832"/>
          </w:tcPr>
          <w:p>
            <w:pPr>
              <w:spacing w:after="20"/>
            </w:pPr>
            <w:r>
              <w:rPr>
                <w:color w:val="1C3A36"/>
                <w:sz w:val="15"/>
              </w:rPr>
              <w:t>The central bank's own stated inflation target, 7% (+/-2pp) on average for the fourth quarter of 2026, falling to 5% (+/-2pp) for the fourth quarter of 2028</w:t>
            </w:r>
          </w:p>
        </w:tc>
      </w:tr>
      <w:tr>
        <w:tc>
          <w:tcPr>
            <w:tcW w:type="dxa" w:w="1872"/>
          </w:tcPr>
          <w:p>
            <w:pPr>
              <w:spacing w:after="20"/>
            </w:pPr>
            <w:r>
              <w:rPr>
                <w:color w:val="1C3A36"/>
                <w:sz w:val="15"/>
              </w:rPr>
              <w:t>fx</w:t>
            </w:r>
          </w:p>
        </w:tc>
        <w:tc>
          <w:tcPr>
            <w:tcW w:type="dxa" w:w="1440"/>
          </w:tcPr>
          <w:p>
            <w:pPr>
              <w:spacing w:after="20"/>
            </w:pPr>
            <w:r>
              <w:rPr>
                <w:color w:val="1C3A36"/>
                <w:sz w:val="15"/>
              </w:rPr>
              <w:t>50.25</w:t>
            </w:r>
          </w:p>
        </w:tc>
        <w:tc>
          <w:tcPr>
            <w:tcW w:type="dxa" w:w="1037"/>
          </w:tcPr>
          <w:p>
            <w:pPr>
              <w:spacing w:after="20"/>
            </w:pPr>
            <w:r>
              <w:rPr>
                <w:color w:val="1C3A36"/>
                <w:sz w:val="15"/>
              </w:rPr>
              <w:t>2026-08-06</w:t>
            </w:r>
          </w:p>
        </w:tc>
        <w:tc>
          <w:tcPr>
            <w:tcW w:type="dxa" w:w="5832"/>
          </w:tcPr>
          <w:p>
            <w:pPr>
              <w:spacing w:after="20"/>
            </w:pPr>
            <w:r>
              <w:rPr>
                <w:color w:val="1C3A36"/>
                <w:sz w:val="15"/>
              </w:rPr>
              <w:t>USD/EGP 50.25; the pound closed at 50.30/50.40 on 4 August 2026. The 52-week range is 46.64-54.86, so the currency is not range-bound</w:t>
            </w:r>
          </w:p>
        </w:tc>
      </w:tr>
      <w:tr>
        <w:tc>
          <w:tcPr>
            <w:tcW w:type="dxa" w:w="1872"/>
          </w:tcPr>
          <w:p>
            <w:pPr>
              <w:spacing w:after="20"/>
            </w:pPr>
            <w:r>
              <w:rPr>
                <w:color w:val="1C3A36"/>
                <w:sz w:val="15"/>
              </w:rPr>
              <w:t>fx_avg_cy25</w:t>
            </w:r>
          </w:p>
        </w:tc>
        <w:tc>
          <w:tcPr>
            <w:tcW w:type="dxa" w:w="1440"/>
          </w:tcPr>
          <w:p>
            <w:pPr>
              <w:spacing w:after="20"/>
            </w:pPr>
            <w:r>
              <w:rPr>
                <w:color w:val="1C3A36"/>
                <w:sz w:val="15"/>
              </w:rPr>
              <w:t>48.7</w:t>
            </w:r>
          </w:p>
        </w:tc>
        <w:tc>
          <w:tcPr>
            <w:tcW w:type="dxa" w:w="1037"/>
          </w:tcPr>
          <w:p>
            <w:pPr>
              <w:spacing w:after="20"/>
            </w:pPr>
            <w:r>
              <w:rPr>
                <w:color w:val="1C3A36"/>
                <w:sz w:val="15"/>
              </w:rPr>
              <w:t>2025-12-31</w:t>
            </w:r>
          </w:p>
        </w:tc>
        <w:tc>
          <w:tcPr>
            <w:tcW w:type="dxa" w:w="5832"/>
          </w:tcPr>
          <w:p>
            <w:pPr>
              <w:spacing w:after="20"/>
            </w:pPr>
            <w:r>
              <w:rPr>
                <w:color w:val="1C3A36"/>
                <w:sz w:val="15"/>
              </w:rPr>
              <w:t>USD/EGP average rate for calendar 2025, used to convert the dollar-denominated unit build back to the reported base year</w:t>
            </w:r>
          </w:p>
        </w:tc>
      </w:tr>
      <w:tr>
        <w:tc>
          <w:tcPr>
            <w:tcW w:type="dxa" w:w="1872"/>
          </w:tcPr>
          <w:p>
            <w:pPr>
              <w:spacing w:after="20"/>
            </w:pPr>
            <w:r>
              <w:rPr>
                <w:color w:val="1C3A36"/>
                <w:sz w:val="15"/>
              </w:rPr>
              <w:t>tax_stat</w:t>
            </w:r>
          </w:p>
        </w:tc>
        <w:tc>
          <w:tcPr>
            <w:tcW w:type="dxa" w:w="1440"/>
          </w:tcPr>
          <w:p>
            <w:pPr>
              <w:spacing w:after="20"/>
            </w:pPr>
            <w:r>
              <w:rPr>
                <w:color w:val="1C3A36"/>
                <w:sz w:val="15"/>
              </w:rPr>
              <w:t>0.225</w:t>
            </w:r>
          </w:p>
        </w:tc>
        <w:tc>
          <w:tcPr>
            <w:tcW w:type="dxa" w:w="1037"/>
          </w:tcPr>
          <w:p>
            <w:pPr>
              <w:spacing w:after="20"/>
            </w:pPr>
            <w:r>
              <w:rPr>
                <w:color w:val="1C3A36"/>
                <w:sz w:val="15"/>
              </w:rPr>
              <w:t>2026</w:t>
            </w:r>
          </w:p>
        </w:tc>
        <w:tc>
          <w:tcPr>
            <w:tcW w:type="dxa" w:w="5832"/>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1872"/>
          </w:tcPr>
          <w:p>
            <w:pPr>
              <w:spacing w:after="20"/>
            </w:pPr>
            <w:r>
              <w:rPr>
                <w:color w:val="1C3A36"/>
                <w:sz w:val="15"/>
              </w:rPr>
              <w:t>egypt_gdp_nominal</w:t>
            </w:r>
          </w:p>
        </w:tc>
        <w:tc>
          <w:tcPr>
            <w:tcW w:type="dxa" w:w="1440"/>
          </w:tcPr>
          <w:p>
            <w:pPr>
              <w:spacing w:after="20"/>
            </w:pPr>
            <w:r>
              <w:rPr>
                <w:color w:val="1C3A36"/>
                <w:sz w:val="15"/>
              </w:rPr>
              <w:t>20,000,000.0</w:t>
            </w:r>
          </w:p>
        </w:tc>
        <w:tc>
          <w:tcPr>
            <w:tcW w:type="dxa" w:w="1037"/>
          </w:tcPr>
          <w:p>
            <w:pPr>
              <w:spacing w:after="20"/>
            </w:pPr>
            <w:r>
              <w:rPr>
                <w:color w:val="1C3A36"/>
                <w:sz w:val="15"/>
              </w:rPr>
              <w:t>2026-08-06</w:t>
            </w:r>
          </w:p>
        </w:tc>
        <w:tc>
          <w:tcPr>
            <w:tcW w:type="dxa" w:w="5832"/>
          </w:tcPr>
          <w:p>
            <w:pPr>
              <w:spacing w:after="20"/>
            </w:pPr>
            <w:r>
              <w:rPr>
                <w:color w:val="1C3A36"/>
                <w:sz w:val="15"/>
              </w:rPr>
              <w:t>Egypt nominal gross domestic product, EGP mn, order of magnitude, used only for the terminal-growth crossover arithmetic</w:t>
            </w:r>
          </w:p>
        </w:tc>
      </w:tr>
    </w:tbl>
    <w:p>
      <w:pPr>
        <w:spacing w:after="40"/>
      </w:pPr>
    </w:p>
    <w:p>
      <w:pPr>
        <w:spacing w:after="60" w:before="160"/>
      </w:pPr>
      <w:r>
        <w:rPr>
          <w:b/>
          <w:i w:val="0"/>
          <w:color w:val="1C3A36"/>
          <w:sz w:val="22"/>
        </w:rPr>
        <w:t>Global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world_nominal_growth</w:t>
            </w:r>
          </w:p>
        </w:tc>
        <w:tc>
          <w:tcPr>
            <w:tcW w:type="dxa" w:w="1440"/>
          </w:tcPr>
          <w:p>
            <w:pPr>
              <w:spacing w:after="20"/>
            </w:pPr>
            <w:r>
              <w:rPr>
                <w:color w:val="1C3A36"/>
                <w:sz w:val="15"/>
              </w:rPr>
              <w:t>0.075</w:t>
            </w:r>
          </w:p>
        </w:tc>
        <w:tc>
          <w:tcPr>
            <w:tcW w:type="dxa" w:w="1037"/>
          </w:tcPr>
          <w:p>
            <w:pPr>
              <w:spacing w:after="20"/>
            </w:pPr>
            <w:r>
              <w:rPr>
                <w:color w:val="1C3A36"/>
                <w:sz w:val="15"/>
              </w:rPr>
              <w:t>2026-08-06</w:t>
            </w:r>
          </w:p>
        </w:tc>
        <w:tc>
          <w:tcPr>
            <w:tcW w:type="dxa" w:w="5832"/>
          </w:tcPr>
          <w:p>
            <w:pPr>
              <w:spacing w:after="20"/>
            </w:pPr>
            <w:r>
              <w:rPr>
                <w:color w:val="1C3A36"/>
                <w:sz w:val="15"/>
              </w:rPr>
              <w:t>Long-run world nominal growth used as the terminal ceiling for the export leg</w:t>
            </w:r>
          </w:p>
        </w:tc>
      </w:tr>
      <w:tr>
        <w:tc>
          <w:tcPr>
            <w:tcW w:type="dxa" w:w="1872"/>
          </w:tcPr>
          <w:p>
            <w:pPr>
              <w:spacing w:after="20"/>
            </w:pPr>
            <w:r>
              <w:rPr>
                <w:color w:val="1C3A36"/>
                <w:sz w:val="15"/>
              </w:rPr>
              <w:t>wacc_usd_rf</w:t>
            </w:r>
          </w:p>
        </w:tc>
        <w:tc>
          <w:tcPr>
            <w:tcW w:type="dxa" w:w="1440"/>
          </w:tcPr>
          <w:p>
            <w:pPr>
              <w:spacing w:after="20"/>
            </w:pPr>
            <w:r>
              <w:rPr>
                <w:color w:val="1C3A36"/>
                <w:sz w:val="15"/>
              </w:rPr>
              <w:t>0.043</w:t>
            </w:r>
          </w:p>
        </w:tc>
        <w:tc>
          <w:tcPr>
            <w:tcW w:type="dxa" w:w="1037"/>
          </w:tcPr>
          <w:p>
            <w:pPr>
              <w:spacing w:after="20"/>
            </w:pPr>
            <w:r>
              <w:rPr>
                <w:color w:val="1C3A36"/>
                <w:sz w:val="15"/>
              </w:rPr>
              <w:t>2026-08-06</w:t>
            </w:r>
          </w:p>
        </w:tc>
        <w:tc>
          <w:tcPr>
            <w:tcW w:type="dxa" w:w="5832"/>
          </w:tcPr>
          <w:p>
            <w:pPr>
              <w:spacing w:after="20"/>
            </w:pPr>
            <w:r>
              <w:rPr>
                <w:color w:val="1C3A36"/>
                <w:sz w:val="15"/>
              </w:rPr>
              <w:t>US 10-year Treasury yield used in the currency-of-discounting alternative</w:t>
            </w:r>
          </w:p>
        </w:tc>
      </w:tr>
      <w:tr>
        <w:tc>
          <w:tcPr>
            <w:tcW w:type="dxa" w:w="1872"/>
          </w:tcPr>
          <w:p>
            <w:pPr>
              <w:spacing w:after="20"/>
            </w:pPr>
            <w:r>
              <w:rPr>
                <w:color w:val="1C3A36"/>
                <w:sz w:val="15"/>
              </w:rPr>
              <w:t>wacc_usd_erp</w:t>
            </w:r>
          </w:p>
        </w:tc>
        <w:tc>
          <w:tcPr>
            <w:tcW w:type="dxa" w:w="1440"/>
          </w:tcPr>
          <w:p>
            <w:pPr>
              <w:spacing w:after="20"/>
            </w:pPr>
            <w:r>
              <w:rPr>
                <w:color w:val="1C3A36"/>
                <w:sz w:val="15"/>
              </w:rPr>
              <w:t>0.075</w:t>
            </w:r>
          </w:p>
        </w:tc>
        <w:tc>
          <w:tcPr>
            <w:tcW w:type="dxa" w:w="1037"/>
          </w:tcPr>
          <w:p>
            <w:pPr>
              <w:spacing w:after="20"/>
            </w:pPr>
            <w:r>
              <w:rPr>
                <w:color w:val="1C3A36"/>
                <w:sz w:val="15"/>
              </w:rPr>
              <w:t>2026-08-06</w:t>
            </w:r>
          </w:p>
        </w:tc>
        <w:tc>
          <w:tcPr>
            <w:tcW w:type="dxa" w:w="5832"/>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line_vol_growth</w:t>
            </w:r>
          </w:p>
        </w:tc>
        <w:tc>
          <w:tcPr>
            <w:tcW w:type="dxa" w:w="1440"/>
          </w:tcPr>
          <w:p>
            <w:pPr>
              <w:spacing w:after="20"/>
            </w:pPr>
            <w:r>
              <w:rPr>
                <w:color w:val="1C3A36"/>
                <w:sz w:val="15"/>
              </w:rPr>
              <w:t>oils: 0.045, 0.04, 0.035, 0.03, 0.028; wax: 0.07, 0.055, 0.045, 0.038, 0.032; gasoil: 0.02, 0.02, 0.018, 0.016, 0.015; naphtha: 0.015, 0.018, 0.018, 0.016, 0.015; lpg: 0.025, 0.022, 0.02, 0.018, 0.016; fueloil: 0.03, 0.026, 0.022, 0.02, 0.018; hfo: 0.02, 0.018, 0.016, 0.015, 0.014; waste: 0, 0, 0, 0, 0</w:t>
            </w:r>
          </w:p>
        </w:tc>
        <w:tc>
          <w:tcPr>
            <w:tcW w:type="dxa" w:w="1037"/>
          </w:tcPr>
          <w:p>
            <w:pPr>
              <w:spacing w:after="20"/>
            </w:pPr>
            <w:r>
              <w:rPr>
                <w:color w:val="1C3A36"/>
                <w:sz w:val="15"/>
              </w:rPr>
              <w:t>2026-08-06</w:t>
            </w:r>
          </w:p>
        </w:tc>
        <w:tc>
          <w:tcPr>
            <w:tcW w:type="dxa" w:w="5832"/>
          </w:tcPr>
          <w:p>
            <w:pPr>
              <w:spacing w:after="20"/>
            </w:pPr>
            <w:r>
              <w:rPr>
                <w:color w:val="1C3A36"/>
                <w:sz w:val="15"/>
              </w:rPr>
              <w:t>Volume growth by AUDITED product line. The RANKING is taken from the line-level value growth actually printed between the two disclosed halves — wax +21.3%, fuel oil +29.1%, LPG +18.7%, while gas oil (-1.9%) and naphtha (-7.3%) FELL — rather than from a view about the business. Levels are struck well below those half-on-half rates because a single half is not a trend. This is one of only two free operating parameters left and it is sensitised end to end</w:t>
            </w:r>
          </w:p>
        </w:tc>
      </w:tr>
      <w:tr>
        <w:tc>
          <w:tcPr>
            <w:tcW w:type="dxa" w:w="1872"/>
          </w:tcPr>
          <w:p>
            <w:pPr>
              <w:spacing w:after="20"/>
            </w:pPr>
            <w:r>
              <w:rPr>
                <w:color w:val="1C3A36"/>
                <w:sz w:val="15"/>
              </w:rPr>
              <w:t>line_price_growth</w:t>
            </w:r>
          </w:p>
        </w:tc>
        <w:tc>
          <w:tcPr>
            <w:tcW w:type="dxa" w:w="1440"/>
          </w:tcPr>
          <w:p>
            <w:pPr>
              <w:spacing w:after="20"/>
            </w:pPr>
            <w:r>
              <w:rPr>
                <w:color w:val="1C3A36"/>
                <w:sz w:val="15"/>
              </w:rPr>
              <w:t>0.09, 0.075, 0.065, 0.058, 0.052</w:t>
            </w:r>
          </w:p>
        </w:tc>
        <w:tc>
          <w:tcPr>
            <w:tcW w:type="dxa" w:w="1037"/>
          </w:tcPr>
          <w:p>
            <w:pPr>
              <w:spacing w:after="20"/>
            </w:pPr>
            <w:r>
              <w:rPr>
                <w:color w:val="1C3A36"/>
                <w:sz w:val="15"/>
              </w:rPr>
              <w:t>2026-08-06</w:t>
            </w:r>
          </w:p>
        </w:tc>
        <w:tc>
          <w:tcPr>
            <w:tcW w:type="dxa" w:w="5832"/>
          </w:tcPr>
          <w:p>
            <w:pPr>
              <w:spacing w:after="20"/>
            </w:pPr>
            <w:r>
              <w:rPr>
                <w:color w:val="1C3A36"/>
                <w:sz w:val="15"/>
              </w:rPr>
              <w:t>Growth in the realised price per tonne, all lines, in EGP. The realisation ITSELF is disclosed — note 14-A value divided by note 14-A tonnes — so only its growth is forecast. Struck below the assumed exchange-rate path on the view that a pass-through processor recovers currency in price with a lag. The second and last free operating parameter</w:t>
            </w:r>
          </w:p>
        </w:tc>
      </w:tr>
      <w:tr>
        <w:tc>
          <w:tcPr>
            <w:tcW w:type="dxa" w:w="1872"/>
          </w:tcPr>
          <w:p>
            <w:pPr>
              <w:spacing w:after="20"/>
            </w:pPr>
            <w:r>
              <w:rPr>
                <w:color w:val="1C3A36"/>
                <w:sz w:val="15"/>
              </w:rPr>
              <w:t>raw_pass</w:t>
            </w:r>
          </w:p>
        </w:tc>
        <w:tc>
          <w:tcPr>
            <w:tcW w:type="dxa" w:w="1440"/>
          </w:tcPr>
          <w:p>
            <w:pPr>
              <w:spacing w:after="20"/>
            </w:pPr>
            <w:r>
              <w:rPr>
                <w:color w:val="1C3A36"/>
                <w:sz w:val="15"/>
              </w:rPr>
              <w:t>1</w:t>
            </w:r>
          </w:p>
        </w:tc>
        <w:tc>
          <w:tcPr>
            <w:tcW w:type="dxa" w:w="1037"/>
          </w:tcPr>
          <w:p>
            <w:pPr>
              <w:spacing w:after="20"/>
            </w:pPr>
            <w:r>
              <w:rPr>
                <w:color w:val="1C3A36"/>
                <w:sz w:val="15"/>
              </w:rPr>
              <w:t>2026-08-06</w:t>
            </w:r>
          </w:p>
        </w:tc>
        <w:tc>
          <w:tcPr>
            <w:tcW w:type="dxa" w:w="5832"/>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1872"/>
          </w:tcPr>
          <w:p>
            <w:pPr>
              <w:spacing w:after="20"/>
            </w:pPr>
            <w:r>
              <w:rPr>
                <w:color w:val="1C3A36"/>
                <w:sz w:val="15"/>
              </w:rPr>
              <w:t>fx_path</w:t>
            </w:r>
          </w:p>
        </w:tc>
        <w:tc>
          <w:tcPr>
            <w:tcW w:type="dxa" w:w="1440"/>
          </w:tcPr>
          <w:p>
            <w:pPr>
              <w:spacing w:after="20"/>
            </w:pPr>
            <w:r>
              <w:rPr>
                <w:color w:val="1C3A36"/>
                <w:sz w:val="15"/>
              </w:rPr>
              <w:t>50.9, 53.4, 55.8, 58, 60.1</w:t>
            </w:r>
          </w:p>
        </w:tc>
        <w:tc>
          <w:tcPr>
            <w:tcW w:type="dxa" w:w="1037"/>
          </w:tcPr>
          <w:p>
            <w:pPr>
              <w:spacing w:after="20"/>
            </w:pPr>
            <w:r>
              <w:rPr>
                <w:color w:val="1C3A36"/>
                <w:sz w:val="15"/>
              </w:rPr>
              <w:t>2026-08-06</w:t>
            </w:r>
          </w:p>
        </w:tc>
        <w:tc>
          <w:tcPr>
            <w:tcW w:type="dxa" w:w="5832"/>
          </w:tcPr>
          <w:p>
            <w:pPr>
              <w:spacing w:after="20"/>
            </w:pPr>
            <w:r>
              <w:rPr>
                <w:color w:val="1C3A36"/>
                <w:sz w:val="15"/>
              </w:rPr>
              <w:t>USD/EGP average-rate path, about 4.5% a year of depreciation from the 2025 average. Below the inflation differential, on the view that the post-float regime and the reserve build slow the pass-through — this is a genuine driver: both revenue legs are priced off dollar product benchmarks</w:t>
            </w:r>
          </w:p>
        </w:tc>
      </w:tr>
      <w:tr>
        <w:tc>
          <w:tcPr>
            <w:tcW w:type="dxa" w:w="1872"/>
          </w:tcPr>
          <w:p>
            <w:pPr>
              <w:spacing w:after="20"/>
            </w:pPr>
            <w:r>
              <w:rPr>
                <w:color w:val="1C3A36"/>
                <w:sz w:val="15"/>
              </w:rPr>
              <w:t>egypt_nominal_growth</w:t>
            </w:r>
          </w:p>
        </w:tc>
        <w:tc>
          <w:tcPr>
            <w:tcW w:type="dxa" w:w="1440"/>
          </w:tcPr>
          <w:p>
            <w:pPr>
              <w:spacing w:after="20"/>
            </w:pPr>
            <w:r>
              <w:rPr>
                <w:color w:val="1C3A36"/>
                <w:sz w:val="15"/>
              </w:rPr>
              <w:t>0.15</w:t>
            </w:r>
          </w:p>
        </w:tc>
        <w:tc>
          <w:tcPr>
            <w:tcW w:type="dxa" w:w="1037"/>
          </w:tcPr>
          <w:p>
            <w:pPr>
              <w:spacing w:after="20"/>
            </w:pPr>
            <w:r>
              <w:rPr>
                <w:color w:val="1C3A36"/>
                <w:sz w:val="15"/>
              </w:rPr>
              <w:t>2026-08-06</w:t>
            </w:r>
          </w:p>
        </w:tc>
        <w:tc>
          <w:tcPr>
            <w:tcW w:type="dxa" w:w="5832"/>
          </w:tcPr>
          <w:p>
            <w:pPr>
              <w:spacing w:after="20"/>
            </w:pPr>
            <w:r>
              <w:rPr>
                <w:color w:val="1C3A36"/>
                <w:sz w:val="15"/>
              </w:rPr>
              <w:t>Long-run Egyptian nominal growth used as the terminal ceiling for the domestic leg</w:t>
            </w:r>
          </w:p>
        </w:tc>
      </w:tr>
      <w:tr>
        <w:tc>
          <w:tcPr>
            <w:tcW w:type="dxa" w:w="1872"/>
          </w:tcPr>
          <w:p>
            <w:pPr>
              <w:spacing w:after="20"/>
            </w:pPr>
            <w:r>
              <w:rPr>
                <w:color w:val="1C3A36"/>
                <w:sz w:val="15"/>
              </w:rPr>
              <w:t>beta</w:t>
            </w:r>
          </w:p>
        </w:tc>
        <w:tc>
          <w:tcPr>
            <w:tcW w:type="dxa" w:w="1440"/>
          </w:tcPr>
          <w:p>
            <w:pPr>
              <w:spacing w:after="20"/>
            </w:pPr>
            <w:r>
              <w:rPr>
                <w:color w:val="1C3A36"/>
                <w:sz w:val="15"/>
              </w:rPr>
              <w:t>0.9405</w:t>
            </w:r>
          </w:p>
        </w:tc>
        <w:tc>
          <w:tcPr>
            <w:tcW w:type="dxa" w:w="1037"/>
          </w:tcPr>
          <w:p>
            <w:pPr>
              <w:spacing w:after="20"/>
            </w:pPr>
            <w:r>
              <w:rPr>
                <w:color w:val="1C3A36"/>
                <w:sz w:val="15"/>
              </w:rPr>
              <w:t>2026-08-06</w:t>
            </w:r>
          </w:p>
        </w:tc>
        <w:tc>
          <w:tcPr>
            <w:tcW w:type="dxa" w:w="5832"/>
          </w:tcPr>
          <w:p>
            <w:pPr>
              <w:spacing w:after="20"/>
            </w:pPr>
            <w:r>
              <w:rPr>
                <w:color w:val="1C3A36"/>
                <w:sz w:val="15"/>
              </w:rPr>
              <w:t>Own-stock tier-1 regression: AMOC weekly log-returns against a 33-name equal-weight Egyptian Exchange composite built from the full covered library, five-year window. R-squared 0.312, n = 257, standard error 0.087, 90% confidence interval [0.797, 1.084]. Passes the usability gate comfortably and is NOT a weak instrument: the interval spans 0.29x the point estimate, well inside the 2x flag</w:t>
            </w:r>
          </w:p>
        </w:tc>
      </w:tr>
      <w:tr>
        <w:tc>
          <w:tcPr>
            <w:tcW w:type="dxa" w:w="1872"/>
          </w:tcPr>
          <w:p>
            <w:pPr>
              <w:spacing w:after="20"/>
            </w:pPr>
            <w:r>
              <w:rPr>
                <w:color w:val="1C3A36"/>
                <w:sz w:val="15"/>
              </w:rPr>
              <w:t>tax_eff</w:t>
            </w:r>
          </w:p>
        </w:tc>
        <w:tc>
          <w:tcPr>
            <w:tcW w:type="dxa" w:w="1440"/>
          </w:tcPr>
          <w:p>
            <w:pPr>
              <w:spacing w:after="20"/>
            </w:pPr>
            <w:r>
              <w:rPr>
                <w:color w:val="1C3A36"/>
                <w:sz w:val="15"/>
              </w:rPr>
              <w:t>0.235</w:t>
            </w:r>
          </w:p>
        </w:tc>
        <w:tc>
          <w:tcPr>
            <w:tcW w:type="dxa" w:w="1037"/>
          </w:tcPr>
          <w:p>
            <w:pPr>
              <w:spacing w:after="20"/>
            </w:pPr>
            <w:r>
              <w:rPr>
                <w:color w:val="1C3A36"/>
                <w:sz w:val="15"/>
              </w:rPr>
              <w:t>2026-08-06</w:t>
            </w:r>
          </w:p>
        </w:tc>
        <w:tc>
          <w:tcPr>
            <w:tcW w:type="dxa" w:w="5832"/>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1872"/>
          </w:tcPr>
          <w:p>
            <w:pPr>
              <w:spacing w:after="20"/>
            </w:pPr>
            <w:r>
              <w:rPr>
                <w:color w:val="1C3A36"/>
                <w:sz w:val="15"/>
              </w:rPr>
              <w:t>recv_days</w:t>
            </w:r>
          </w:p>
        </w:tc>
        <w:tc>
          <w:tcPr>
            <w:tcW w:type="dxa" w:w="1440"/>
          </w:tcPr>
          <w:p>
            <w:pPr>
              <w:spacing w:after="20"/>
            </w:pPr>
            <w:r>
              <w:rPr>
                <w:color w:val="1C3A36"/>
                <w:sz w:val="15"/>
              </w:rPr>
              <w:t>14</w:t>
            </w:r>
          </w:p>
        </w:tc>
        <w:tc>
          <w:tcPr>
            <w:tcW w:type="dxa" w:w="1037"/>
          </w:tcPr>
          <w:p>
            <w:pPr>
              <w:spacing w:after="20"/>
            </w:pPr>
            <w:r>
              <w:rPr>
                <w:color w:val="1C3A36"/>
                <w:sz w:val="15"/>
              </w:rPr>
              <w:t>2026-08-06</w:t>
            </w:r>
          </w:p>
        </w:tc>
        <w:tc>
          <w:tcPr>
            <w:tcW w:type="dxa" w:w="5832"/>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1872"/>
          </w:tcPr>
          <w:p>
            <w:pPr>
              <w:spacing w:after="20"/>
            </w:pPr>
            <w:r>
              <w:rPr>
                <w:color w:val="1C3A36"/>
                <w:sz w:val="15"/>
              </w:rPr>
              <w:t>inv_days</w:t>
            </w:r>
          </w:p>
        </w:tc>
        <w:tc>
          <w:tcPr>
            <w:tcW w:type="dxa" w:w="1440"/>
          </w:tcPr>
          <w:p>
            <w:pPr>
              <w:spacing w:after="20"/>
            </w:pPr>
            <w:r>
              <w:rPr>
                <w:color w:val="1C3A36"/>
                <w:sz w:val="15"/>
              </w:rPr>
              <w:t>14</w:t>
            </w:r>
          </w:p>
        </w:tc>
        <w:tc>
          <w:tcPr>
            <w:tcW w:type="dxa" w:w="1037"/>
          </w:tcPr>
          <w:p>
            <w:pPr>
              <w:spacing w:after="20"/>
            </w:pPr>
            <w:r>
              <w:rPr>
                <w:color w:val="1C3A36"/>
                <w:sz w:val="15"/>
              </w:rPr>
              <w:t>2026-08-06</w:t>
            </w:r>
          </w:p>
        </w:tc>
        <w:tc>
          <w:tcPr>
            <w:tcW w:type="dxa" w:w="5832"/>
          </w:tcPr>
          <w:p>
            <w:pPr>
              <w:spacing w:after="20"/>
            </w:pPr>
            <w:r>
              <w:rPr>
                <w:color w:val="1C3A36"/>
                <w:sz w:val="15"/>
              </w:rPr>
              <w:t>Inventory days on cost of sales. Feedstock is drawn from the adjacent refining complex rather than imported and stocked</w:t>
            </w:r>
          </w:p>
        </w:tc>
      </w:tr>
      <w:tr>
        <w:tc>
          <w:tcPr>
            <w:tcW w:type="dxa" w:w="1872"/>
          </w:tcPr>
          <w:p>
            <w:pPr>
              <w:spacing w:after="20"/>
            </w:pPr>
            <w:r>
              <w:rPr>
                <w:color w:val="1C3A36"/>
                <w:sz w:val="15"/>
              </w:rPr>
              <w:t>pay_days</w:t>
            </w:r>
          </w:p>
        </w:tc>
        <w:tc>
          <w:tcPr>
            <w:tcW w:type="dxa" w:w="1440"/>
          </w:tcPr>
          <w:p>
            <w:pPr>
              <w:spacing w:after="20"/>
            </w:pPr>
            <w:r>
              <w:rPr>
                <w:color w:val="1C3A36"/>
                <w:sz w:val="15"/>
              </w:rPr>
              <w:t>24</w:t>
            </w:r>
          </w:p>
        </w:tc>
        <w:tc>
          <w:tcPr>
            <w:tcW w:type="dxa" w:w="1037"/>
          </w:tcPr>
          <w:p>
            <w:pPr>
              <w:spacing w:after="20"/>
            </w:pPr>
            <w:r>
              <w:rPr>
                <w:color w:val="1C3A36"/>
                <w:sz w:val="15"/>
              </w:rPr>
              <w:t>2026-08-06</w:t>
            </w:r>
          </w:p>
        </w:tc>
        <w:tc>
          <w:tcPr>
            <w:tcW w:type="dxa" w:w="5832"/>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1872"/>
          </w:tcPr>
          <w:p>
            <w:pPr>
              <w:spacing w:after="20"/>
            </w:pPr>
            <w:r>
              <w:rPr>
                <w:color w:val="1C3A36"/>
                <w:sz w:val="15"/>
              </w:rPr>
              <w:t>other_ca</w:t>
            </w:r>
          </w:p>
        </w:tc>
        <w:tc>
          <w:tcPr>
            <w:tcW w:type="dxa" w:w="1440"/>
          </w:tcPr>
          <w:p>
            <w:pPr>
              <w:spacing w:after="20"/>
            </w:pPr>
            <w:r>
              <w:rPr>
                <w:color w:val="1C3A36"/>
                <w:sz w:val="15"/>
              </w:rPr>
              <w:t>300.0</w:t>
            </w:r>
          </w:p>
        </w:tc>
        <w:tc>
          <w:tcPr>
            <w:tcW w:type="dxa" w:w="1037"/>
          </w:tcPr>
          <w:p>
            <w:pPr>
              <w:spacing w:after="20"/>
            </w:pPr>
            <w:r>
              <w:rPr>
                <w:color w:val="1C3A36"/>
                <w:sz w:val="15"/>
              </w:rPr>
              <w:t>2026-08-06</w:t>
            </w:r>
          </w:p>
        </w:tc>
        <w:tc>
          <w:tcPr>
            <w:tcW w:type="dxa" w:w="5832"/>
          </w:tcPr>
          <w:p>
            <w:pPr>
              <w:spacing w:after="20"/>
            </w:pPr>
            <w:r>
              <w:rPr>
                <w:color w:val="1C3A36"/>
                <w:sz w:val="15"/>
              </w:rPr>
              <w:t>Other current assets, EGP mn, held flat</w:t>
            </w:r>
          </w:p>
        </w:tc>
      </w:tr>
      <w:tr>
        <w:tc>
          <w:tcPr>
            <w:tcW w:type="dxa" w:w="1872"/>
          </w:tcPr>
          <w:p>
            <w:pPr>
              <w:spacing w:after="20"/>
            </w:pPr>
            <w:r>
              <w:rPr>
                <w:color w:val="1C3A36"/>
                <w:sz w:val="15"/>
              </w:rPr>
              <w:t>dna_pct</w:t>
            </w:r>
          </w:p>
        </w:tc>
        <w:tc>
          <w:tcPr>
            <w:tcW w:type="dxa" w:w="1440"/>
          </w:tcPr>
          <w:p>
            <w:pPr>
              <w:spacing w:after="20"/>
            </w:pPr>
            <w:r>
              <w:rPr>
                <w:color w:val="1C3A36"/>
                <w:sz w:val="15"/>
              </w:rPr>
              <w:t>0.011</w:t>
            </w:r>
          </w:p>
        </w:tc>
        <w:tc>
          <w:tcPr>
            <w:tcW w:type="dxa" w:w="1037"/>
          </w:tcPr>
          <w:p>
            <w:pPr>
              <w:spacing w:after="20"/>
            </w:pPr>
            <w:r>
              <w:rPr>
                <w:color w:val="1C3A36"/>
                <w:sz w:val="15"/>
              </w:rPr>
              <w:t>2026-08-06</w:t>
            </w:r>
          </w:p>
        </w:tc>
        <w:tc>
          <w:tcPr>
            <w:tcW w:type="dxa" w:w="5832"/>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1872"/>
          </w:tcPr>
          <w:p>
            <w:pPr>
              <w:spacing w:after="20"/>
            </w:pPr>
            <w:r>
              <w:rPr>
                <w:color w:val="1C3A36"/>
                <w:sz w:val="15"/>
              </w:rPr>
              <w:t>capex_pct</w:t>
            </w:r>
          </w:p>
        </w:tc>
        <w:tc>
          <w:tcPr>
            <w:tcW w:type="dxa" w:w="1440"/>
          </w:tcPr>
          <w:p>
            <w:pPr>
              <w:spacing w:after="20"/>
            </w:pPr>
            <w:r>
              <w:rPr>
                <w:color w:val="1C3A36"/>
                <w:sz w:val="15"/>
              </w:rPr>
              <w:t>0.0145, 0.014, 0.0135, 0.013, 0.0125</w:t>
            </w:r>
          </w:p>
        </w:tc>
        <w:tc>
          <w:tcPr>
            <w:tcW w:type="dxa" w:w="1037"/>
          </w:tcPr>
          <w:p>
            <w:pPr>
              <w:spacing w:after="20"/>
            </w:pPr>
            <w:r>
              <w:rPr>
                <w:color w:val="1C3A36"/>
                <w:sz w:val="15"/>
              </w:rPr>
              <w:t>2026-08-06</w:t>
            </w:r>
          </w:p>
        </w:tc>
        <w:tc>
          <w:tcPr>
            <w:tcW w:type="dxa" w:w="5832"/>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1872"/>
          </w:tcPr>
          <w:p>
            <w:pPr>
              <w:spacing w:after="20"/>
            </w:pPr>
            <w:r>
              <w:rPr>
                <w:color w:val="1C3A36"/>
                <w:sz w:val="15"/>
              </w:rPr>
              <w:t>opex_pct</w:t>
            </w:r>
          </w:p>
        </w:tc>
        <w:tc>
          <w:tcPr>
            <w:tcW w:type="dxa" w:w="1440"/>
          </w:tcPr>
          <w:p>
            <w:pPr>
              <w:spacing w:after="20"/>
            </w:pPr>
            <w:r>
              <w:rPr>
                <w:color w:val="1C3A36"/>
                <w:sz w:val="15"/>
              </w:rPr>
              <w:t>0.0125, 0.0125, 0.0126, 0.0127, 0.0128</w:t>
            </w:r>
          </w:p>
        </w:tc>
        <w:tc>
          <w:tcPr>
            <w:tcW w:type="dxa" w:w="1037"/>
          </w:tcPr>
          <w:p>
            <w:pPr>
              <w:spacing w:after="20"/>
            </w:pPr>
            <w:r>
              <w:rPr>
                <w:color w:val="1C3A36"/>
                <w:sz w:val="15"/>
              </w:rPr>
              <w:t>2026-08-06</w:t>
            </w:r>
          </w:p>
        </w:tc>
        <w:tc>
          <w:tcPr>
            <w:tcW w:type="dxa" w:w="5832"/>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1872"/>
          </w:tcPr>
          <w:p>
            <w:pPr>
              <w:spacing w:after="20"/>
            </w:pPr>
            <w:r>
              <w:rPr>
                <w:color w:val="1C3A36"/>
                <w:sz w:val="15"/>
              </w:rPr>
              <w:t>cash_yield</w:t>
            </w:r>
          </w:p>
        </w:tc>
        <w:tc>
          <w:tcPr>
            <w:tcW w:type="dxa" w:w="1440"/>
          </w:tcPr>
          <w:p>
            <w:pPr>
              <w:spacing w:after="20"/>
            </w:pPr>
            <w:r>
              <w:rPr>
                <w:color w:val="1C3A36"/>
                <w:sz w:val="15"/>
              </w:rPr>
              <w:t>0.17</w:t>
            </w:r>
          </w:p>
        </w:tc>
        <w:tc>
          <w:tcPr>
            <w:tcW w:type="dxa" w:w="1037"/>
          </w:tcPr>
          <w:p>
            <w:pPr>
              <w:spacing w:after="20"/>
            </w:pPr>
            <w:r>
              <w:rPr>
                <w:color w:val="1C3A36"/>
                <w:sz w:val="15"/>
              </w:rPr>
              <w:t>2026-08-06</w:t>
            </w:r>
          </w:p>
        </w:tc>
        <w:tc>
          <w:tcPr>
            <w:tcW w:type="dxa" w:w="5832"/>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1872"/>
          </w:tcPr>
          <w:p>
            <w:pPr>
              <w:spacing w:after="20"/>
            </w:pPr>
            <w:r>
              <w:rPr>
                <w:color w:val="1C3A36"/>
                <w:sz w:val="15"/>
              </w:rPr>
              <w:t>cash_yield_path</w:t>
            </w:r>
          </w:p>
        </w:tc>
        <w:tc>
          <w:tcPr>
            <w:tcW w:type="dxa" w:w="1440"/>
          </w:tcPr>
          <w:p>
            <w:pPr>
              <w:spacing w:after="20"/>
            </w:pPr>
            <w:r>
              <w:rPr>
                <w:color w:val="1C3A36"/>
                <w:sz w:val="15"/>
              </w:rPr>
              <w:t>0.17, 0.15, 0.135, 0.125, 0.118</w:t>
            </w:r>
          </w:p>
        </w:tc>
        <w:tc>
          <w:tcPr>
            <w:tcW w:type="dxa" w:w="1037"/>
          </w:tcPr>
          <w:p>
            <w:pPr>
              <w:spacing w:after="20"/>
            </w:pPr>
            <w:r>
              <w:rPr>
                <w:color w:val="1C3A36"/>
                <w:sz w:val="15"/>
              </w:rPr>
              <w:t>2026-08-06</w:t>
            </w:r>
          </w:p>
        </w:tc>
        <w:tc>
          <w:tcPr>
            <w:tcW w:type="dxa" w:w="5832"/>
          </w:tcPr>
          <w:p>
            <w:pPr>
              <w:spacing w:after="20"/>
            </w:pPr>
            <w:r>
              <w:rPr>
                <w:color w:val="1C3A36"/>
                <w:sz w:val="15"/>
              </w:rPr>
              <w:t>Forward path for the deposit yield, easing with the policy rate</w:t>
            </w:r>
          </w:p>
        </w:tc>
      </w:tr>
      <w:tr>
        <w:tc>
          <w:tcPr>
            <w:tcW w:type="dxa" w:w="1872"/>
          </w:tcPr>
          <w:p>
            <w:pPr>
              <w:spacing w:after="20"/>
            </w:pPr>
            <w:r>
              <w:rPr>
                <w:color w:val="1C3A36"/>
                <w:sz w:val="15"/>
              </w:rPr>
              <w:t>kd</w:t>
            </w:r>
          </w:p>
        </w:tc>
        <w:tc>
          <w:tcPr>
            <w:tcW w:type="dxa" w:w="1440"/>
          </w:tcPr>
          <w:p>
            <w:pPr>
              <w:spacing w:after="20"/>
            </w:pPr>
            <w:r>
              <w:rPr>
                <w:color w:val="1C3A36"/>
                <w:sz w:val="15"/>
              </w:rPr>
              <w:t>0.22</w:t>
            </w:r>
          </w:p>
        </w:tc>
        <w:tc>
          <w:tcPr>
            <w:tcW w:type="dxa" w:w="1037"/>
          </w:tcPr>
          <w:p>
            <w:pPr>
              <w:spacing w:after="20"/>
            </w:pPr>
            <w:r>
              <w:rPr>
                <w:color w:val="1C3A36"/>
                <w:sz w:val="15"/>
              </w:rPr>
              <w:t>2026-08-06</w:t>
            </w:r>
          </w:p>
        </w:tc>
        <w:tc>
          <w:tcPr>
            <w:tcW w:type="dxa" w:w="5832"/>
          </w:tcPr>
          <w:p>
            <w:pPr>
              <w:spacing w:after="20"/>
            </w:pPr>
            <w:r>
              <w:rPr>
                <w:color w:val="1C3A36"/>
                <w:sz w:val="15"/>
              </w:rPr>
              <w:t>Marginal cost of debt. The gross book is EGP 25mn — 0.06% of revenue — of short-dated Egyptian-pound facilities, so the rate is taken at the corridor lending rate of 20.00% plus a 200bp corporate spread rather than pretended to be observable. The integrity gate below computes what this input is actually WORTH to the answer</w:t>
            </w:r>
          </w:p>
        </w:tc>
      </w:tr>
      <w:tr>
        <w:tc>
          <w:tcPr>
            <w:tcW w:type="dxa" w:w="1872"/>
          </w:tcPr>
          <w:p>
            <w:pPr>
              <w:spacing w:after="20"/>
            </w:pPr>
            <w:r>
              <w:rPr>
                <w:color w:val="1C3A36"/>
                <w:sz w:val="15"/>
              </w:rPr>
              <w:t>kd_path</w:t>
            </w:r>
          </w:p>
        </w:tc>
        <w:tc>
          <w:tcPr>
            <w:tcW w:type="dxa" w:w="1440"/>
          </w:tcPr>
          <w:p>
            <w:pPr>
              <w:spacing w:after="20"/>
            </w:pPr>
            <w:r>
              <w:rPr>
                <w:color w:val="1C3A36"/>
                <w:sz w:val="15"/>
              </w:rPr>
              <w:t>0.22, 0.195, 0.175, 0.16, 0.15</w:t>
            </w:r>
          </w:p>
        </w:tc>
        <w:tc>
          <w:tcPr>
            <w:tcW w:type="dxa" w:w="1037"/>
          </w:tcPr>
          <w:p>
            <w:pPr>
              <w:spacing w:after="20"/>
            </w:pPr>
            <w:r>
              <w:rPr>
                <w:color w:val="1C3A36"/>
                <w:sz w:val="15"/>
              </w:rPr>
              <w:t>2026-08-06</w:t>
            </w:r>
          </w:p>
        </w:tc>
        <w:tc>
          <w:tcPr>
            <w:tcW w:type="dxa" w:w="5832"/>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1872"/>
          </w:tcPr>
          <w:p>
            <w:pPr>
              <w:spacing w:after="20"/>
            </w:pPr>
            <w:r>
              <w:rPr>
                <w:color w:val="1C3A36"/>
                <w:sz w:val="15"/>
              </w:rPr>
              <w:t>kd_term</w:t>
            </w:r>
          </w:p>
        </w:tc>
        <w:tc>
          <w:tcPr>
            <w:tcW w:type="dxa" w:w="1440"/>
          </w:tcPr>
          <w:p>
            <w:pPr>
              <w:spacing w:after="20"/>
            </w:pPr>
            <w:r>
              <w:rPr>
                <w:color w:val="1C3A36"/>
                <w:sz w:val="15"/>
              </w:rPr>
              <w:t>0.15</w:t>
            </w:r>
          </w:p>
        </w:tc>
        <w:tc>
          <w:tcPr>
            <w:tcW w:type="dxa" w:w="1037"/>
          </w:tcPr>
          <w:p>
            <w:pPr>
              <w:spacing w:after="20"/>
            </w:pPr>
            <w:r>
              <w:rPr>
                <w:color w:val="1C3A36"/>
                <w:sz w:val="15"/>
              </w:rPr>
              <w:t>2026-08-06</w:t>
            </w:r>
          </w:p>
        </w:tc>
        <w:tc>
          <w:tcPr>
            <w:tcW w:type="dxa" w:w="5832"/>
          </w:tcPr>
          <w:p>
            <w:pPr>
              <w:spacing w:after="20"/>
            </w:pPr>
            <w:r>
              <w:rPr>
                <w:color w:val="1C3A36"/>
                <w:sz w:val="15"/>
              </w:rPr>
              <w:t>Terminal cost of debt: the midpoint of the 14-16% long-run Egyptian corporate-borrowing norm, with no name-specific reason to deviate</w:t>
            </w:r>
          </w:p>
        </w:tc>
      </w:tr>
      <w:tr>
        <w:tc>
          <w:tcPr>
            <w:tcW w:type="dxa" w:w="1872"/>
          </w:tcPr>
          <w:p>
            <w:pPr>
              <w:spacing w:after="20"/>
            </w:pPr>
            <w:r>
              <w:rPr>
                <w:color w:val="1C3A36"/>
                <w:sz w:val="15"/>
              </w:rPr>
              <w:t>rf_term</w:t>
            </w:r>
          </w:p>
        </w:tc>
        <w:tc>
          <w:tcPr>
            <w:tcW w:type="dxa" w:w="1440"/>
          </w:tcPr>
          <w:p>
            <w:pPr>
              <w:spacing w:after="20"/>
            </w:pPr>
            <w:r>
              <w:rPr>
                <w:color w:val="1C3A36"/>
                <w:sz w:val="15"/>
              </w:rPr>
              <w:t>0.105</w:t>
            </w:r>
          </w:p>
        </w:tc>
        <w:tc>
          <w:tcPr>
            <w:tcW w:type="dxa" w:w="1037"/>
          </w:tcPr>
          <w:p>
            <w:pPr>
              <w:spacing w:after="20"/>
            </w:pPr>
            <w:r>
              <w:rPr>
                <w:color w:val="1C3A36"/>
                <w:sz w:val="15"/>
              </w:rPr>
              <w:t>2026-08-06</w:t>
            </w:r>
          </w:p>
        </w:tc>
        <w:tc>
          <w:tcPr>
            <w:tcW w:type="dxa" w:w="5832"/>
          </w:tcPr>
          <w:p>
            <w:pPr>
              <w:spacing w:after="20"/>
            </w:pPr>
            <w:r>
              <w:rPr>
                <w:color w:val="1C3A36"/>
                <w:sz w:val="15"/>
              </w:rPr>
              <w:t>Terminal risk-free rate, norm-built: the central bank's own stated medium-term inflation target of 5% plus the standard ~5.5pp emerging-market real-rate convention. Never a raw historical average and never backed out of a price</w:t>
            </w:r>
          </w:p>
        </w:tc>
      </w:tr>
      <w:tr>
        <w:tc>
          <w:tcPr>
            <w:tcW w:type="dxa" w:w="1872"/>
          </w:tcPr>
          <w:p>
            <w:pPr>
              <w:spacing w:after="20"/>
            </w:pPr>
            <w:r>
              <w:rPr>
                <w:color w:val="1C3A36"/>
                <w:sz w:val="15"/>
              </w:rPr>
              <w:t>erp_term</w:t>
            </w:r>
          </w:p>
        </w:tc>
        <w:tc>
          <w:tcPr>
            <w:tcW w:type="dxa" w:w="1440"/>
          </w:tcPr>
          <w:p>
            <w:pPr>
              <w:spacing w:after="20"/>
            </w:pPr>
            <w:r>
              <w:rPr>
                <w:color w:val="1C3A36"/>
                <w:sz w:val="15"/>
              </w:rPr>
              <w:t>0.07</w:t>
            </w:r>
          </w:p>
        </w:tc>
        <w:tc>
          <w:tcPr>
            <w:tcW w:type="dxa" w:w="1037"/>
          </w:tcPr>
          <w:p>
            <w:pPr>
              <w:spacing w:after="20"/>
            </w:pPr>
            <w:r>
              <w:rPr>
                <w:color w:val="1C3A36"/>
                <w:sz w:val="15"/>
              </w:rPr>
              <w:t>2026-08-06</w:t>
            </w:r>
          </w:p>
        </w:tc>
        <w:tc>
          <w:tcPr>
            <w:tcW w:type="dxa" w:w="5832"/>
          </w:tcPr>
          <w:p>
            <w:pPr>
              <w:spacing w:after="20"/>
            </w:pPr>
            <w:r>
              <w:rPr>
                <w:color w:val="1C3A36"/>
                <w:sz w:val="15"/>
              </w:rPr>
              <w:t>Terminal equity risk premium, normalised below the currently elevated crisis-era level toward the rating-class norm; never held flat into perpetuity</w:t>
            </w:r>
          </w:p>
        </w:tc>
      </w:tr>
      <w:tr>
        <w:tc>
          <w:tcPr>
            <w:tcW w:type="dxa" w:w="1872"/>
          </w:tcPr>
          <w:p>
            <w:pPr>
              <w:spacing w:after="20"/>
            </w:pPr>
            <w:r>
              <w:rPr>
                <w:color w:val="1C3A36"/>
                <w:sz w:val="15"/>
              </w:rPr>
              <w:t>wd_term</w:t>
            </w:r>
          </w:p>
        </w:tc>
        <w:tc>
          <w:tcPr>
            <w:tcW w:type="dxa" w:w="1440"/>
          </w:tcPr>
          <w:p>
            <w:pPr>
              <w:spacing w:after="20"/>
            </w:pPr>
            <w:r>
              <w:rPr>
                <w:color w:val="1C3A36"/>
                <w:sz w:val="15"/>
              </w:rPr>
              <w:t>0.1</w:t>
            </w:r>
          </w:p>
        </w:tc>
        <w:tc>
          <w:tcPr>
            <w:tcW w:type="dxa" w:w="1037"/>
          </w:tcPr>
          <w:p>
            <w:pPr>
              <w:spacing w:after="20"/>
            </w:pPr>
            <w:r>
              <w:rPr>
                <w:color w:val="1C3A36"/>
                <w:sz w:val="15"/>
              </w:rPr>
              <w:t>2026-08-06</w:t>
            </w:r>
          </w:p>
        </w:tc>
        <w:tc>
          <w:tcPr>
            <w:tcW w:type="dxa" w:w="5832"/>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1872"/>
          </w:tcPr>
          <w:p>
            <w:pPr>
              <w:spacing w:after="20"/>
            </w:pPr>
            <w:r>
              <w:rPr>
                <w:color w:val="1C3A36"/>
                <w:sz w:val="15"/>
              </w:rPr>
              <w:t>g_term</w:t>
            </w:r>
          </w:p>
        </w:tc>
        <w:tc>
          <w:tcPr>
            <w:tcW w:type="dxa" w:w="1440"/>
          </w:tcPr>
          <w:p>
            <w:pPr>
              <w:spacing w:after="20"/>
            </w:pPr>
            <w:r>
              <w:rPr>
                <w:color w:val="1C3A36"/>
                <w:sz w:val="15"/>
              </w:rPr>
              <w:t>0.05</w:t>
            </w:r>
          </w:p>
        </w:tc>
        <w:tc>
          <w:tcPr>
            <w:tcW w:type="dxa" w:w="1037"/>
          </w:tcPr>
          <w:p>
            <w:pPr>
              <w:spacing w:after="20"/>
            </w:pPr>
            <w:r>
              <w:rPr>
                <w:color w:val="1C3A36"/>
                <w:sz w:val="15"/>
              </w:rPr>
              <w:t>2026-08-06</w:t>
            </w:r>
          </w:p>
        </w:tc>
        <w:tc>
          <w:tcPr>
            <w:tcW w:type="dxa" w:w="5832"/>
          </w:tcPr>
          <w:p>
            <w:pPr>
              <w:spacing w:after="20"/>
            </w:pPr>
            <w:r>
              <w:rPr>
                <w:color w:val="1C3A36"/>
                <w:sz w:val="15"/>
              </w:rPr>
              <w:t>Terminal growth, 5% — the standing centre for established names in this market once currency turbulence has passed, sensitised 3-7%. An EGP-nominal rate struck against an EGP-nominal terminal risk-free rate</w:t>
            </w:r>
          </w:p>
        </w:tc>
      </w:tr>
      <w:tr>
        <w:tc>
          <w:tcPr>
            <w:tcW w:type="dxa" w:w="1872"/>
          </w:tcPr>
          <w:p>
            <w:pPr>
              <w:spacing w:after="20"/>
            </w:pPr>
            <w:r>
              <w:rPr>
                <w:color w:val="1C3A36"/>
                <w:sz w:val="15"/>
              </w:rPr>
              <w:t>ev_ebitda_just</w:t>
            </w:r>
          </w:p>
        </w:tc>
        <w:tc>
          <w:tcPr>
            <w:tcW w:type="dxa" w:w="1440"/>
          </w:tcPr>
          <w:p>
            <w:pPr>
              <w:spacing w:after="20"/>
            </w:pPr>
            <w:r>
              <w:rPr>
                <w:color w:val="1C3A36"/>
                <w:sz w:val="15"/>
              </w:rPr>
              <w:t>4.5</w:t>
            </w:r>
          </w:p>
        </w:tc>
        <w:tc>
          <w:tcPr>
            <w:tcW w:type="dxa" w:w="1037"/>
          </w:tcPr>
          <w:p>
            <w:pPr>
              <w:spacing w:after="20"/>
            </w:pPr>
            <w:r>
              <w:rPr>
                <w:color w:val="1C3A36"/>
                <w:sz w:val="15"/>
              </w:rPr>
              <w:t>2026-08-06</w:t>
            </w:r>
          </w:p>
        </w:tc>
        <w:tc>
          <w:tcPr>
            <w:tcW w:type="dxa" w:w="5832"/>
          </w:tcPr>
          <w:p>
            <w:pPr>
              <w:spacing w:after="20"/>
            </w:pPr>
            <w:r>
              <w:rPr>
                <w:color w:val="1C3A36"/>
                <w:sz w:val="15"/>
              </w:rPr>
              <w:t>Justified enterprise-value-to-EBITDA multiple on mid-cycle 2028E EBITDA. The company's own trailing multiple is around 4.6x on the constructed 2025 base. Group I base-oil refiners and independent lube processors trade 4-6x; 4.5x holds the name at its own trailing level rather than assuming a re-rating. Bear 3.5x / bull 6.0x</w:t>
            </w:r>
          </w:p>
        </w:tc>
      </w:tr>
      <w:tr>
        <w:tc>
          <w:tcPr>
            <w:tcW w:type="dxa" w:w="1872"/>
          </w:tcPr>
          <w:p>
            <w:pPr>
              <w:spacing w:after="20"/>
            </w:pPr>
            <w:r>
              <w:rPr>
                <w:color w:val="1C3A36"/>
                <w:sz w:val="15"/>
              </w:rPr>
              <w:t>pe_just</w:t>
            </w:r>
          </w:p>
        </w:tc>
        <w:tc>
          <w:tcPr>
            <w:tcW w:type="dxa" w:w="1440"/>
          </w:tcPr>
          <w:p>
            <w:pPr>
              <w:spacing w:after="20"/>
            </w:pPr>
            <w:r>
              <w:rPr>
                <w:color w:val="1C3A36"/>
                <w:sz w:val="15"/>
              </w:rPr>
              <w:t>7.5</w:t>
            </w:r>
          </w:p>
        </w:tc>
        <w:tc>
          <w:tcPr>
            <w:tcW w:type="dxa" w:w="1037"/>
          </w:tcPr>
          <w:p>
            <w:pPr>
              <w:spacing w:after="20"/>
            </w:pPr>
            <w:r>
              <w:rPr>
                <w:color w:val="1C3A36"/>
                <w:sz w:val="15"/>
              </w:rPr>
              <w:t>2026-08-06</w:t>
            </w:r>
          </w:p>
        </w:tc>
        <w:tc>
          <w:tcPr>
            <w:tcW w:type="dxa" w:w="5832"/>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1872"/>
          </w:tcPr>
          <w:p>
            <w:pPr>
              <w:spacing w:after="20"/>
            </w:pPr>
            <w:r>
              <w:rPr>
                <w:color w:val="1C3A36"/>
                <w:sz w:val="15"/>
              </w:rPr>
              <w:t>roe_sust</w:t>
            </w:r>
          </w:p>
        </w:tc>
        <w:tc>
          <w:tcPr>
            <w:tcW w:type="dxa" w:w="1440"/>
          </w:tcPr>
          <w:p>
            <w:pPr>
              <w:spacing w:after="20"/>
            </w:pPr>
            <w:r>
              <w:rPr>
                <w:color w:val="1C3A36"/>
                <w:sz w:val="15"/>
              </w:rPr>
              <w:t>0.28</w:t>
            </w:r>
          </w:p>
        </w:tc>
        <w:tc>
          <w:tcPr>
            <w:tcW w:type="dxa" w:w="1037"/>
          </w:tcPr>
          <w:p>
            <w:pPr>
              <w:spacing w:after="20"/>
            </w:pPr>
            <w:r>
              <w:rPr>
                <w:color w:val="1C3A36"/>
                <w:sz w:val="15"/>
              </w:rPr>
              <w:t>2026-08-06</w:t>
            </w:r>
          </w:p>
        </w:tc>
        <w:tc>
          <w:tcPr>
            <w:tcW w:type="dxa" w:w="5832"/>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r>
        <w:tc>
          <w:tcPr>
            <w:tcW w:type="dxa" w:w="1872"/>
          </w:tcPr>
          <w:p>
            <w:pPr>
              <w:spacing w:after="20"/>
            </w:pPr>
            <w:r>
              <w:rPr>
                <w:color w:val="1C3A36"/>
                <w:sz w:val="15"/>
              </w:rPr>
              <w:t>lens_weights</w:t>
            </w:r>
          </w:p>
        </w:tc>
        <w:tc>
          <w:tcPr>
            <w:tcW w:type="dxa" w:w="1440"/>
          </w:tcPr>
          <w:p>
            <w:pPr>
              <w:spacing w:after="20"/>
            </w:pPr>
            <w:r>
              <w:rPr>
                <w:color w:val="1C3A36"/>
                <w:sz w:val="15"/>
              </w:rPr>
              <w:t>dcf: 0.45; relative: 0.2; normalized: 0.2; book: 0.15</w:t>
            </w:r>
          </w:p>
        </w:tc>
        <w:tc>
          <w:tcPr>
            <w:tcW w:type="dxa" w:w="1037"/>
          </w:tcPr>
          <w:p>
            <w:pPr>
              <w:spacing w:after="20"/>
            </w:pPr>
            <w:r>
              <w:rPr>
                <w:color w:val="1C3A36"/>
                <w:sz w:val="15"/>
              </w:rPr>
              <w:t>2026-08-06</w:t>
            </w:r>
          </w:p>
        </w:tc>
        <w:tc>
          <w:tcPr>
            <w:tcW w:type="dxa" w:w="5832"/>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024"/>
        <w:gridCol w:w="4176"/>
      </w:tblGrid>
      <w:tr>
        <w:tc>
          <w:tcPr>
            <w:tcW w:type="dxa" w:w="2808"/>
            <w:shd w:val="clear" w:color="auto" w:fill="EAF0EE"/>
          </w:tcPr>
          <w:p>
            <w:pPr>
              <w:spacing w:after="20"/>
            </w:pPr>
            <w:r>
              <w:rPr>
                <w:b/>
                <w:color w:val="1C3A36"/>
                <w:sz w:val="15"/>
              </w:rPr>
              <w:t>What was sought</w:t>
            </w:r>
          </w:p>
        </w:tc>
        <w:tc>
          <w:tcPr>
            <w:tcW w:type="dxa" w:w="3024"/>
            <w:shd w:val="clear" w:color="auto" w:fill="EAF0EE"/>
          </w:tcPr>
          <w:p>
            <w:pPr>
              <w:spacing w:after="20"/>
            </w:pPr>
            <w:r>
              <w:rPr>
                <w:b/>
                <w:color w:val="1C3A36"/>
                <w:sz w:val="15"/>
              </w:rPr>
              <w:t>Why it matters</w:t>
            </w:r>
          </w:p>
        </w:tc>
        <w:tc>
          <w:tcPr>
            <w:tcW w:type="dxa" w:w="4176"/>
            <w:shd w:val="clear" w:color="auto" w:fill="EAF0EE"/>
          </w:tcPr>
          <w:p>
            <w:pPr>
              <w:spacing w:after="20"/>
            </w:pPr>
            <w:r>
              <w:rPr>
                <w:b/>
                <w:color w:val="1C3A36"/>
                <w:sz w:val="15"/>
              </w:rPr>
              <w:t>Outcome</w:t>
            </w:r>
          </w:p>
        </w:tc>
      </w:tr>
      <w:tr>
        <w:tc>
          <w:tcPr>
            <w:tcW w:type="dxa" w:w="2808"/>
          </w:tcPr>
          <w:p>
            <w:pPr>
              <w:spacing w:after="20"/>
            </w:pPr>
            <w:r>
              <w:rPr>
                <w:color w:val="1C3A36"/>
                <w:sz w:val="15"/>
              </w:rPr>
              <w:t>The audited consolidated financial statements for the year to 30 June 2025 and the transition period to 31 December 2025</w:t>
            </w:r>
          </w:p>
        </w:tc>
        <w:tc>
          <w:tcPr>
            <w:tcW w:type="dxa" w:w="3024"/>
          </w:tcPr>
          <w:p>
            <w:pPr>
              <w:spacing w:after="20"/>
            </w:pPr>
            <w:r>
              <w:rPr>
                <w:color w:val="1C3A36"/>
                <w:sz w:val="15"/>
              </w:rPr>
              <w:t>Would replace the entire reconstructed balance sheet and the closed income statement with disclosed lines</w:t>
            </w:r>
          </w:p>
        </w:tc>
        <w:tc>
          <w:tcPr>
            <w:tcW w:type="dxa" w:w="4176"/>
          </w:tcPr>
          <w:p>
            <w:pPr>
              <w:spacing w:after="20"/>
            </w:pPr>
            <w:r>
              <w:rPr>
                <w:color w:val="1C3A36"/>
                <w:sz w:val="15"/>
              </w:rPr>
              <w:t>NOT REACHED. The company's investor-relations site and its published statement PDFs refused connection under the network policy in force</w:t>
            </w:r>
          </w:p>
        </w:tc>
      </w:tr>
      <w:tr>
        <w:tc>
          <w:tcPr>
            <w:tcW w:type="dxa" w:w="2808"/>
          </w:tcPr>
          <w:p>
            <w:pPr>
              <w:spacing w:after="20"/>
            </w:pPr>
            <w:r>
              <w:rPr>
                <w:color w:val="1C3A36"/>
                <w:sz w:val="15"/>
              </w:rPr>
              <w:t>The exchange's own disclosure pages for the company</w:t>
            </w:r>
          </w:p>
        </w:tc>
        <w:tc>
          <w:tcPr>
            <w:tcW w:type="dxa" w:w="3024"/>
          </w:tcPr>
          <w:p>
            <w:pPr>
              <w:spacing w:after="20"/>
            </w:pPr>
            <w:r>
              <w:rPr>
                <w:color w:val="1C3A36"/>
                <w:sz w:val="15"/>
              </w:rPr>
              <w:t>Would confirm the transition-period filing and the year-end change directly rather than through reporting of them</w:t>
            </w:r>
          </w:p>
        </w:tc>
        <w:tc>
          <w:tcPr>
            <w:tcW w:type="dxa" w:w="4176"/>
          </w:tcPr>
          <w:p>
            <w:pPr>
              <w:spacing w:after="20"/>
            </w:pPr>
            <w:r>
              <w:rPr>
                <w:color w:val="1C3A36"/>
                <w:sz w:val="15"/>
              </w:rPr>
              <w:t>NOT REACHED. Same cause</w:t>
            </w:r>
          </w:p>
        </w:tc>
      </w:tr>
      <w:tr>
        <w:tc>
          <w:tcPr>
            <w:tcW w:type="dxa" w:w="2808"/>
          </w:tcPr>
          <w:p>
            <w:pPr>
              <w:spacing w:after="20"/>
            </w:pPr>
            <w:r>
              <w:rPr>
                <w:color w:val="1C3A36"/>
                <w:sz w:val="15"/>
              </w:rPr>
              <w:t>THE AUDITED FINANCIAL STATEMENTS THEMSELVES</w:t>
            </w:r>
          </w:p>
        </w:tc>
        <w:tc>
          <w:tcPr>
            <w:tcW w:type="dxa" w:w="3024"/>
          </w:tcPr>
          <w:p>
            <w:pPr>
              <w:spacing w:after="20"/>
            </w:pPr>
            <w:r>
              <w:rPr>
                <w:color w:val="1C3A36"/>
                <w:sz w:val="15"/>
              </w:rPr>
              <w:t>The whole of the historical record: statement of financial position, profit or loss, cash flows, changes in equity, and every explanatory note</w:t>
            </w:r>
          </w:p>
        </w:tc>
        <w:tc>
          <w:tcPr>
            <w:tcW w:type="dxa" w:w="417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2808"/>
          </w:tcPr>
          <w:p>
            <w:pPr>
              <w:spacing w:after="20"/>
            </w:pPr>
            <w:r>
              <w:rPr>
                <w:color w:val="1C3A36"/>
                <w:sz w:val="15"/>
              </w:rPr>
              <w:t>A segmental or product-line revenue note</w:t>
            </w:r>
          </w:p>
        </w:tc>
        <w:tc>
          <w:tcPr>
            <w:tcW w:type="dxa" w:w="3024"/>
          </w:tcPr>
          <w:p>
            <w:pPr>
              <w:spacing w:after="20"/>
            </w:pPr>
            <w:r>
              <w:rPr>
                <w:color w:val="1C3A36"/>
                <w:sz w:val="15"/>
              </w:rPr>
              <w:t>The revenue build</w:t>
            </w:r>
          </w:p>
        </w:tc>
        <w:tc>
          <w:tcPr>
            <w:tcW w:type="dxa" w:w="4176"/>
          </w:tcPr>
          <w:p>
            <w:pPr>
              <w:spacing w:after="20"/>
            </w:pPr>
            <w:r>
              <w:rPr>
                <w:color w:val="1C3A36"/>
                <w:sz w:val="15"/>
              </w:rPr>
              <w:t>REACHED — note 14-A gives EIGHT product lines with tonnes AND value for the transition half: 808,084 tonnes for EGP 20,736mn. Realisations per tonne are that note divided by itself; nothing is reconstructed and no crack multiple, crude parity or feedstock differential is needed or used. The specialty slate is 11.97% of tonnage and 22.37% of value</w:t>
            </w:r>
          </w:p>
        </w:tc>
      </w:tr>
      <w:tr>
        <w:tc>
          <w:tcPr>
            <w:tcW w:type="dxa" w:w="2808"/>
          </w:tcPr>
          <w:p>
            <w:pPr>
              <w:spacing w:after="20"/>
            </w:pPr>
            <w:r>
              <w:rPr>
                <w:color w:val="1C3A36"/>
                <w:sz w:val="15"/>
              </w:rPr>
              <w:t>A cost-of-sales breakdown</w:t>
            </w:r>
          </w:p>
        </w:tc>
        <w:tc>
          <w:tcPr>
            <w:tcW w:type="dxa" w:w="3024"/>
          </w:tcPr>
          <w:p>
            <w:pPr>
              <w:spacing w:after="20"/>
            </w:pPr>
            <w:r>
              <w:rPr>
                <w:color w:val="1C3A36"/>
                <w:sz w:val="15"/>
              </w:rPr>
              <w:t>The margin, which on a processor at this gross margin IS the valuation</w:t>
            </w:r>
          </w:p>
        </w:tc>
        <w:tc>
          <w:tcPr>
            <w:tcW w:type="dxa" w:w="4176"/>
          </w:tcPr>
          <w:p>
            <w:pPr>
              <w:spacing w:after="20"/>
            </w:pPr>
            <w:r>
              <w:rPr>
                <w:color w:val="1C3A36"/>
                <w:sz w:val="15"/>
              </w:rPr>
              <w:t>REACHED — note 15-A splits cost of sales five ways: raw materials 90.7%, salaries 4.5%, other (natural gas, electricity, water, spare parts, maintenance and the EPROM operating contract) 4.1%,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2808"/>
          </w:tcPr>
          <w:p>
            <w:pPr>
              <w:spacing w:after="20"/>
            </w:pPr>
            <w:r>
              <w:rPr>
                <w:color w:val="1C3A36"/>
                <w:sz w:val="15"/>
              </w:rPr>
              <w:t>A disclosed non-controlling-interest balance or profit share</w:t>
            </w:r>
          </w:p>
        </w:tc>
        <w:tc>
          <w:tcPr>
            <w:tcW w:type="dxa" w:w="3024"/>
          </w:tcPr>
          <w:p>
            <w:pPr>
              <w:spacing w:after="20"/>
            </w:pPr>
            <w:r>
              <w:rPr>
                <w:color w:val="1C3A36"/>
                <w:sz w:val="15"/>
              </w:rPr>
              <w:t>The minority deduction in the bridge is inferred from the gap between consolidated and standalone profit</w:t>
            </w:r>
          </w:p>
        </w:tc>
        <w:tc>
          <w:tcPr>
            <w:tcW w:type="dxa" w:w="4176"/>
          </w:tcPr>
          <w:p>
            <w:pPr>
              <w:spacing w:after="20"/>
            </w:pPr>
            <w:r>
              <w:rPr>
                <w:color w:val="1C3A36"/>
                <w:sz w:val="15"/>
              </w:rPr>
              <w:t>NOT FOUND. Held at 4.6% and sensitised to 6%, which moves the answer by -1.0%</w:t>
            </w:r>
          </w:p>
        </w:tc>
      </w:tr>
      <w:tr>
        <w:tc>
          <w:tcPr>
            <w:tcW w:type="dxa" w:w="2808"/>
          </w:tcPr>
          <w:p>
            <w:pPr>
              <w:spacing w:after="20"/>
            </w:pPr>
            <w:r>
              <w:rPr>
                <w:color w:val="1C3A36"/>
                <w:sz w:val="15"/>
              </w:rPr>
              <w:t>A disclosed depreciation charge, capital-expenditure actual, or property, plant and equipment balance</w:t>
            </w:r>
          </w:p>
        </w:tc>
        <w:tc>
          <w:tcPr>
            <w:tcW w:type="dxa" w:w="3024"/>
          </w:tcPr>
          <w:p>
            <w:pPr>
              <w:spacing w:after="20"/>
            </w:pPr>
            <w:r>
              <w:rPr>
                <w:color w:val="1C3A36"/>
                <w:sz w:val="15"/>
              </w:rPr>
              <w:t>All three are drivers of the free-cash-flow waterfall</w:t>
            </w:r>
          </w:p>
        </w:tc>
        <w:tc>
          <w:tcPr>
            <w:tcW w:type="dxa" w:w="417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2808"/>
          </w:tcPr>
          <w:p>
            <w:pPr>
              <w:spacing w:after="20"/>
            </w:pPr>
            <w:r>
              <w:rPr>
                <w:color w:val="1C3A36"/>
                <w:sz w:val="15"/>
              </w:rPr>
              <w:t>A traded credit-default-swap quote for Egypt as at August 2026</w:t>
            </w:r>
          </w:p>
        </w:tc>
        <w:tc>
          <w:tcPr>
            <w:tcW w:type="dxa" w:w="3024"/>
          </w:tcPr>
          <w:p>
            <w:pPr>
              <w:spacing w:after="20"/>
            </w:pPr>
            <w:r>
              <w:rPr>
                <w:color w:val="1C3A36"/>
                <w:sz w:val="15"/>
              </w:rPr>
              <w:t>The sovereign spread netted out of the risk-free rate</w:t>
            </w:r>
          </w:p>
        </w:tc>
        <w:tc>
          <w:tcPr>
            <w:tcW w:type="dxa" w:w="4176"/>
          </w:tcPr>
          <w:p>
            <w:pPr>
              <w:spacing w:after="20"/>
            </w:pPr>
            <w:r>
              <w:rPr>
                <w:color w:val="1C3A36"/>
                <w:sz w:val="15"/>
              </w:rPr>
              <w:t>NOT REACHED live. The January-2026 published country-premium file is used, and the rating-basis alternative is computed and published as a value</w:t>
            </w:r>
          </w:p>
        </w:tc>
      </w:tr>
      <w:tr>
        <w:tc>
          <w:tcPr>
            <w:tcW w:type="dxa" w:w="2808"/>
          </w:tcPr>
          <w:p>
            <w:pPr>
              <w:spacing w:after="20"/>
            </w:pPr>
            <w:r>
              <w:rPr>
                <w:color w:val="1C3A36"/>
                <w:sz w:val="15"/>
              </w:rPr>
              <w:t>Listed peer multiples for Egyptian or regional lubricant base-oil processors</w:t>
            </w:r>
          </w:p>
        </w:tc>
        <w:tc>
          <w:tcPr>
            <w:tcW w:type="dxa" w:w="3024"/>
          </w:tcPr>
          <w:p>
            <w:pPr>
              <w:spacing w:after="20"/>
            </w:pPr>
            <w:r>
              <w:rPr>
                <w:color w:val="1C3A36"/>
                <w:sz w:val="15"/>
              </w:rPr>
              <w:t>The relative lens</w:t>
            </w:r>
          </w:p>
        </w:tc>
        <w:tc>
          <w:tcPr>
            <w:tcW w:type="dxa" w:w="417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