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38"/>
        </w:rPr>
        <w:t>Alexandria Mineral Oils Company S.A.E.</w:t>
      </w:r>
    </w:p>
    <w:p>
      <w:pPr>
        <w:spacing w:after="200" w:before="0"/>
      </w:pPr>
      <w:r>
        <w:rPr>
          <w:b w:val="0"/>
          <w:i w:val="0"/>
          <w:color w:val="6E7B77"/>
          <w:sz w:val="20"/>
        </w:rPr>
        <w:t>EGX: AMOC  ·  Egyptian Exchange  ·  EGP  ·  Valuation study as of 6 August 2026, issued 8 August 2026</w:t>
      </w:r>
    </w:p>
    <w:p>
      <w:pPr>
        <w:spacing w:after="120" w:before="280"/>
      </w:pPr>
      <w:r>
        <w:rPr>
          <w:b/>
          <w:i w:val="0"/>
          <w:color w:val="1C3A36"/>
          <w:sz w:val="30"/>
        </w:rPr>
        <w:t>Headline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THE CLAIM, STATED EXACTLY.  </w:t>
            </w:r>
            <w:r>
              <w:rPr>
                <w:color w:val="1C3A36"/>
                <w:sz w:val="19"/>
              </w:rPr>
              <w:t>Fair value EGP 5.95 a share against a market price of EGP 9.10. Fair value sits 34.6% BELOW the price; equivalently the price stands 52.8% ABOVE fair value. The weighted range is EGP 4.09 to 8.52 and the price is outside it. Every one of the four lenses lands below the price.</w:t>
            </w:r>
          </w:p>
          <w:p>
            <w:pPr>
              <w:spacing w:after="100"/>
            </w:pPr>
            <w:r>
              <w:rPr>
                <w:b/>
                <w:color w:val="1C3A36"/>
                <w:sz w:val="19"/>
              </w:rPr>
              <w:t xml:space="preserve">WHAT WOULD CHANGE OUR MIND.  </w:t>
            </w:r>
            <w:r>
              <w:rPr>
                <w:color w:val="1C3A36"/>
                <w:sz w:val="19"/>
              </w:rPr>
              <w:t>Surrender every contested judgement in this study simultaneously — the tax provision settles for nothing, the declared dividend never leaves, the employees’ profit share is free, the terminal rate reverts to the softer inflation target, operating profit is taxed at the flattered effective rate — and the weighted central still reaches only EGP 7.47, -17.9% against the price. Section 1.13 walks the whole stack, one full model re-run per row.</w:t>
            </w:r>
          </w:p>
          <w:p>
            <w:pPr>
              <w:spacing w:after="100"/>
            </w:pPr>
            <w:r>
              <w:rPr>
                <w:b/>
                <w:color w:val="1C3A36"/>
                <w:sz w:val="19"/>
              </w:rPr>
              <w:t xml:space="preserve">WHAT A BUYER AT THE PRICE MUST BELIEVE.  </w:t>
            </w:r>
            <w:r>
              <w:rPr>
                <w:color w:val="1C3A36"/>
                <w:sz w:val="19"/>
              </w:rPr>
              <w:t>For EGP 9.10 to be fair the cash-flow lens must reach EGP 12.49, 127% above this model. On the study’s own live grids that means a PERMANENT gross margin near 12.2% — above the best single quarter this company has ever filed — or volume growth at roughly ten times the assumed path. Section 1.14 derives both.</w:t>
            </w:r>
          </w:p>
          <w:p>
            <w:pPr>
              <w:spacing w:after="100"/>
            </w:pPr>
            <w:r>
              <w:rPr>
                <w:b/>
                <w:color w:val="1C3A36"/>
                <w:sz w:val="19"/>
              </w:rPr>
              <w:t xml:space="preserve">AND THE HONEST WEAKNESS.  </w:t>
            </w:r>
            <w:r>
              <w:rPr>
                <w:color w:val="1C3A36"/>
                <w:sz w:val="19"/>
              </w:rPr>
              <w:t>Half the base year is a press release rather than a filing, and two exchange disclosures that would move the answer in OPPOSITE directions could not be reached from this environment. Both are named and priced in section 7 rather than left out.</w:t>
            </w:r>
          </w:p>
        </w:tc>
      </w:tr>
    </w:tbl>
    <w:p>
      <w:pPr>
        <w:spacing w:after="40"/>
      </w:pP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2736"/>
        <w:gridCol w:w="1037"/>
        <w:gridCol w:w="1037"/>
        <w:gridCol w:w="1037"/>
        <w:gridCol w:w="893"/>
        <w:gridCol w:w="1037"/>
      </w:tblGrid>
      <w:tr>
        <w:tc>
          <w:tcPr>
            <w:tcW w:type="dxa" w:w="2232"/>
            <w:shd w:val="clear" w:color="auto" w:fill="EAF0EE"/>
          </w:tcPr>
          <w:p>
            <w:pPr>
              <w:spacing w:after="20"/>
            </w:pPr>
            <w:r>
              <w:rPr>
                <w:b/>
                <w:color w:val="1C3A36"/>
                <w:sz w:val="18"/>
              </w:rPr>
              <w:t>Lens</w:t>
            </w:r>
          </w:p>
        </w:tc>
        <w:tc>
          <w:tcPr>
            <w:tcW w:type="dxa" w:w="2736"/>
            <w:shd w:val="clear" w:color="auto" w:fill="EAF0EE"/>
          </w:tcPr>
          <w:p>
            <w:pPr>
              <w:spacing w:after="20"/>
            </w:pPr>
            <w:r>
              <w:rPr>
                <w:b/>
                <w:color w:val="1C3A36"/>
                <w:sz w:val="18"/>
              </w:rPr>
              <w:t>What it measures</w:t>
            </w:r>
          </w:p>
        </w:tc>
        <w:tc>
          <w:tcPr>
            <w:tcW w:type="dxa" w:w="1037"/>
            <w:shd w:val="clear" w:color="auto" w:fill="EAF0EE"/>
          </w:tcPr>
          <w:p>
            <w:pPr>
              <w:spacing w:after="20"/>
            </w:pPr>
            <w:r>
              <w:rPr>
                <w:b/>
                <w:color w:val="1C3A36"/>
                <w:sz w:val="18"/>
              </w:rPr>
              <w:t>Bear</w:t>
            </w:r>
          </w:p>
        </w:tc>
        <w:tc>
          <w:tcPr>
            <w:tcW w:type="dxa" w:w="1037"/>
            <w:shd w:val="clear" w:color="auto" w:fill="EAF0EE"/>
          </w:tcPr>
          <w:p>
            <w:pPr>
              <w:spacing w:after="20"/>
            </w:pPr>
            <w:r>
              <w:rPr>
                <w:b/>
                <w:color w:val="1C3A36"/>
                <w:sz w:val="18"/>
              </w:rPr>
              <w:t>Base</w:t>
            </w:r>
          </w:p>
        </w:tc>
        <w:tc>
          <w:tcPr>
            <w:tcW w:type="dxa" w:w="1037"/>
            <w:shd w:val="clear" w:color="auto" w:fill="EAF0EE"/>
          </w:tcPr>
          <w:p>
            <w:pPr>
              <w:spacing w:after="20"/>
            </w:pPr>
            <w:r>
              <w:rPr>
                <w:b/>
                <w:color w:val="1C3A36"/>
                <w:sz w:val="18"/>
              </w:rPr>
              <w:t>Bull</w:t>
            </w:r>
          </w:p>
        </w:tc>
        <w:tc>
          <w:tcPr>
            <w:tcW w:type="dxa" w:w="893"/>
            <w:shd w:val="clear" w:color="auto" w:fill="EAF0EE"/>
          </w:tcPr>
          <w:p>
            <w:pPr>
              <w:spacing w:after="20"/>
            </w:pPr>
            <w:r>
              <w:rPr>
                <w:b/>
                <w:color w:val="1C3A36"/>
                <w:sz w:val="18"/>
              </w:rPr>
              <w:t>Weight</w:t>
            </w:r>
          </w:p>
        </w:tc>
        <w:tc>
          <w:tcPr>
            <w:tcW w:type="dxa" w:w="1037"/>
            <w:shd w:val="clear" w:color="auto" w:fill="EAF0EE"/>
          </w:tcPr>
          <w:p>
            <w:pPr>
              <w:spacing w:after="20"/>
            </w:pPr>
            <w:r>
              <w:rPr>
                <w:b/>
                <w:color w:val="1C3A36"/>
                <w:sz w:val="18"/>
              </w:rPr>
              <w:t>vs price</w:t>
            </w:r>
          </w:p>
        </w:tc>
      </w:tr>
      <w:tr>
        <w:tc>
          <w:tcPr>
            <w:tcW w:type="dxa" w:w="2232"/>
          </w:tcPr>
          <w:p>
            <w:pPr>
              <w:spacing w:after="20"/>
            </w:pPr>
            <w:r>
              <w:rPr>
                <w:color w:val="1C3A36"/>
                <w:sz w:val="18"/>
              </w:rPr>
              <w:t>Discounted cash flow</w:t>
            </w:r>
          </w:p>
        </w:tc>
        <w:tc>
          <w:tcPr>
            <w:tcW w:type="dxa" w:w="2736"/>
          </w:tcPr>
          <w:p>
            <w:pPr>
              <w:spacing w:after="20"/>
            </w:pPr>
            <w:r>
              <w:rPr>
                <w:color w:val="1C3A36"/>
                <w:sz w:val="18"/>
              </w:rPr>
              <w:t>unlevered cash, discounted on a glide</w:t>
            </w:r>
          </w:p>
        </w:tc>
        <w:tc>
          <w:tcPr>
            <w:tcW w:type="dxa" w:w="1037"/>
          </w:tcPr>
          <w:p>
            <w:pPr>
              <w:spacing w:after="20"/>
              <w:jc w:val="right"/>
            </w:pPr>
            <w:r>
              <w:rPr>
                <w:color w:val="1C3A36"/>
                <w:sz w:val="18"/>
              </w:rPr>
              <w:t>3.05</w:t>
            </w:r>
          </w:p>
        </w:tc>
        <w:tc>
          <w:tcPr>
            <w:tcW w:type="dxa" w:w="1037"/>
          </w:tcPr>
          <w:p>
            <w:pPr>
              <w:spacing w:after="20"/>
              <w:jc w:val="right"/>
            </w:pPr>
            <w:r>
              <w:rPr>
                <w:color w:val="1C3A36"/>
                <w:sz w:val="18"/>
              </w:rPr>
              <w:t>5.50</w:t>
            </w:r>
          </w:p>
        </w:tc>
        <w:tc>
          <w:tcPr>
            <w:tcW w:type="dxa" w:w="1037"/>
          </w:tcPr>
          <w:p>
            <w:pPr>
              <w:spacing w:after="20"/>
              <w:jc w:val="right"/>
            </w:pPr>
            <w:r>
              <w:rPr>
                <w:color w:val="1C3A36"/>
                <w:sz w:val="18"/>
              </w:rPr>
              <w:t>9.64</w:t>
            </w:r>
          </w:p>
        </w:tc>
        <w:tc>
          <w:tcPr>
            <w:tcW w:type="dxa" w:w="893"/>
          </w:tcPr>
          <w:p>
            <w:pPr>
              <w:spacing w:after="20"/>
              <w:jc w:val="right"/>
            </w:pPr>
            <w:r>
              <w:rPr>
                <w:color w:val="1C3A36"/>
                <w:sz w:val="18"/>
              </w:rPr>
              <w:t>45%</w:t>
            </w:r>
          </w:p>
        </w:tc>
        <w:tc>
          <w:tcPr>
            <w:tcW w:type="dxa" w:w="1037"/>
          </w:tcPr>
          <w:p>
            <w:pPr>
              <w:spacing w:after="20"/>
              <w:jc w:val="right"/>
            </w:pPr>
            <w:r>
              <w:rPr>
                <w:color w:val="1C3A36"/>
                <w:sz w:val="18"/>
              </w:rPr>
              <w:t>-39.6%</w:t>
            </w:r>
          </w:p>
        </w:tc>
      </w:tr>
      <w:tr>
        <w:tc>
          <w:tcPr>
            <w:tcW w:type="dxa" w:w="2232"/>
          </w:tcPr>
          <w:p>
            <w:pPr>
              <w:spacing w:after="20"/>
            </w:pPr>
            <w:r>
              <w:rPr>
                <w:color w:val="1C3A36"/>
                <w:sz w:val="18"/>
              </w:rPr>
              <w:t>Relative multiples</w:t>
            </w:r>
          </w:p>
        </w:tc>
        <w:tc>
          <w:tcPr>
            <w:tcW w:type="dxa" w:w="2736"/>
          </w:tcPr>
          <w:p>
            <w:pPr>
              <w:spacing w:after="20"/>
            </w:pPr>
            <w:r>
              <w:rPr>
                <w:color w:val="1C3A36"/>
                <w:sz w:val="18"/>
              </w:rPr>
              <w:t>own trailing EV/EBITDA, no re-rating</w:t>
            </w:r>
          </w:p>
        </w:tc>
        <w:tc>
          <w:tcPr>
            <w:tcW w:type="dxa" w:w="1037"/>
          </w:tcPr>
          <w:p>
            <w:pPr>
              <w:spacing w:after="20"/>
              <w:jc w:val="right"/>
            </w:pPr>
            <w:r>
              <w:rPr>
                <w:color w:val="1C3A36"/>
                <w:sz w:val="18"/>
              </w:rPr>
              <w:t>6.39</w:t>
            </w:r>
          </w:p>
        </w:tc>
        <w:tc>
          <w:tcPr>
            <w:tcW w:type="dxa" w:w="1037"/>
          </w:tcPr>
          <w:p>
            <w:pPr>
              <w:spacing w:after="20"/>
              <w:jc w:val="right"/>
            </w:pPr>
            <w:r>
              <w:rPr>
                <w:color w:val="1C3A36"/>
                <w:sz w:val="18"/>
              </w:rPr>
              <w:t>8.14</w:t>
            </w:r>
          </w:p>
        </w:tc>
        <w:tc>
          <w:tcPr>
            <w:tcW w:type="dxa" w:w="1037"/>
          </w:tcPr>
          <w:p>
            <w:pPr>
              <w:spacing w:after="20"/>
              <w:jc w:val="right"/>
            </w:pPr>
            <w:r>
              <w:rPr>
                <w:color w:val="1C3A36"/>
                <w:sz w:val="18"/>
              </w:rPr>
              <w:t>9.88</w:t>
            </w:r>
          </w:p>
        </w:tc>
        <w:tc>
          <w:tcPr>
            <w:tcW w:type="dxa" w:w="893"/>
          </w:tcPr>
          <w:p>
            <w:pPr>
              <w:spacing w:after="20"/>
              <w:jc w:val="right"/>
            </w:pPr>
            <w:r>
              <w:rPr>
                <w:color w:val="1C3A36"/>
                <w:sz w:val="18"/>
              </w:rPr>
              <w:t>20%</w:t>
            </w:r>
          </w:p>
        </w:tc>
        <w:tc>
          <w:tcPr>
            <w:tcW w:type="dxa" w:w="1037"/>
          </w:tcPr>
          <w:p>
            <w:pPr>
              <w:spacing w:after="20"/>
              <w:jc w:val="right"/>
            </w:pPr>
            <w:r>
              <w:rPr>
                <w:color w:val="1C3A36"/>
                <w:sz w:val="18"/>
              </w:rPr>
              <w:t>-10.6%</w:t>
            </w:r>
          </w:p>
        </w:tc>
      </w:tr>
      <w:tr>
        <w:tc>
          <w:tcPr>
            <w:tcW w:type="dxa" w:w="2232"/>
          </w:tcPr>
          <w:p>
            <w:pPr>
              <w:spacing w:after="20"/>
            </w:pPr>
            <w:r>
              <w:rPr>
                <w:color w:val="1C3A36"/>
                <w:sz w:val="18"/>
              </w:rPr>
              <w:t>Normalised earnings</w:t>
            </w:r>
          </w:p>
        </w:tc>
        <w:tc>
          <w:tcPr>
            <w:tcW w:type="dxa" w:w="2736"/>
          </w:tcPr>
          <w:p>
            <w:pPr>
              <w:spacing w:after="20"/>
            </w:pPr>
            <w:r>
              <w:rPr>
                <w:color w:val="1C3A36"/>
                <w:sz w:val="18"/>
              </w:rPr>
              <w:t>mid-cycle operating EPS, discounted</w:t>
            </w:r>
          </w:p>
        </w:tc>
        <w:tc>
          <w:tcPr>
            <w:tcW w:type="dxa" w:w="1037"/>
          </w:tcPr>
          <w:p>
            <w:pPr>
              <w:spacing w:after="20"/>
              <w:jc w:val="right"/>
            </w:pPr>
            <w:r>
              <w:rPr>
                <w:color w:val="1C3A36"/>
                <w:sz w:val="18"/>
              </w:rPr>
              <w:t>4.48</w:t>
            </w:r>
          </w:p>
        </w:tc>
        <w:tc>
          <w:tcPr>
            <w:tcW w:type="dxa" w:w="1037"/>
          </w:tcPr>
          <w:p>
            <w:pPr>
              <w:spacing w:after="20"/>
              <w:jc w:val="right"/>
            </w:pPr>
            <w:r>
              <w:rPr>
                <w:color w:val="1C3A36"/>
                <w:sz w:val="18"/>
              </w:rPr>
              <w:t>5.83</w:t>
            </w:r>
          </w:p>
        </w:tc>
        <w:tc>
          <w:tcPr>
            <w:tcW w:type="dxa" w:w="1037"/>
          </w:tcPr>
          <w:p>
            <w:pPr>
              <w:spacing w:after="20"/>
              <w:jc w:val="right"/>
            </w:pPr>
            <w:r>
              <w:rPr>
                <w:color w:val="1C3A36"/>
                <w:sz w:val="18"/>
              </w:rPr>
              <w:t>7.18</w:t>
            </w:r>
          </w:p>
        </w:tc>
        <w:tc>
          <w:tcPr>
            <w:tcW w:type="dxa" w:w="893"/>
          </w:tcPr>
          <w:p>
            <w:pPr>
              <w:spacing w:after="20"/>
              <w:jc w:val="right"/>
            </w:pPr>
            <w:r>
              <w:rPr>
                <w:color w:val="1C3A36"/>
                <w:sz w:val="18"/>
              </w:rPr>
              <w:t>20%</w:t>
            </w:r>
          </w:p>
        </w:tc>
        <w:tc>
          <w:tcPr>
            <w:tcW w:type="dxa" w:w="1037"/>
          </w:tcPr>
          <w:p>
            <w:pPr>
              <w:spacing w:after="20"/>
              <w:jc w:val="right"/>
            </w:pPr>
            <w:r>
              <w:rPr>
                <w:color w:val="1C3A36"/>
                <w:sz w:val="18"/>
              </w:rPr>
              <w:t>-35.9%</w:t>
            </w:r>
          </w:p>
        </w:tc>
      </w:tr>
      <w:tr>
        <w:tc>
          <w:tcPr>
            <w:tcW w:type="dxa" w:w="2232"/>
          </w:tcPr>
          <w:p>
            <w:pPr>
              <w:spacing w:after="20"/>
            </w:pPr>
            <w:r>
              <w:rPr>
                <w:color w:val="1C3A36"/>
                <w:sz w:val="18"/>
              </w:rPr>
              <w:t>Book and sustainable return</w:t>
            </w:r>
          </w:p>
        </w:tc>
        <w:tc>
          <w:tcPr>
            <w:tcW w:type="dxa" w:w="2736"/>
          </w:tcPr>
          <w:p>
            <w:pPr>
              <w:spacing w:after="20"/>
            </w:pPr>
            <w:r>
              <w:rPr>
                <w:color w:val="1C3A36"/>
                <w:sz w:val="18"/>
              </w:rPr>
              <w:t>justified price-to-book</w:t>
            </w:r>
          </w:p>
        </w:tc>
        <w:tc>
          <w:tcPr>
            <w:tcW w:type="dxa" w:w="1037"/>
          </w:tcPr>
          <w:p>
            <w:pPr>
              <w:spacing w:after="20"/>
              <w:jc w:val="right"/>
            </w:pPr>
            <w:r>
              <w:rPr>
                <w:color w:val="1C3A36"/>
                <w:sz w:val="18"/>
              </w:rPr>
              <w:t>3.59</w:t>
            </w:r>
          </w:p>
        </w:tc>
        <w:tc>
          <w:tcPr>
            <w:tcW w:type="dxa" w:w="1037"/>
          </w:tcPr>
          <w:p>
            <w:pPr>
              <w:spacing w:after="20"/>
              <w:jc w:val="right"/>
            </w:pPr>
            <w:r>
              <w:rPr>
                <w:color w:val="1C3A36"/>
                <w:sz w:val="18"/>
              </w:rPr>
              <w:t>4.57</w:t>
            </w:r>
          </w:p>
        </w:tc>
        <w:tc>
          <w:tcPr>
            <w:tcW w:type="dxa" w:w="1037"/>
          </w:tcPr>
          <w:p>
            <w:pPr>
              <w:spacing w:after="20"/>
              <w:jc w:val="right"/>
            </w:pPr>
            <w:r>
              <w:rPr>
                <w:color w:val="1C3A36"/>
                <w:sz w:val="18"/>
              </w:rPr>
              <w:t>5.17</w:t>
            </w:r>
          </w:p>
        </w:tc>
        <w:tc>
          <w:tcPr>
            <w:tcW w:type="dxa" w:w="893"/>
          </w:tcPr>
          <w:p>
            <w:pPr>
              <w:spacing w:after="20"/>
              <w:jc w:val="right"/>
            </w:pPr>
            <w:r>
              <w:rPr>
                <w:color w:val="1C3A36"/>
                <w:sz w:val="18"/>
              </w:rPr>
              <w:t>15%</w:t>
            </w:r>
          </w:p>
        </w:tc>
        <w:tc>
          <w:tcPr>
            <w:tcW w:type="dxa" w:w="1037"/>
          </w:tcPr>
          <w:p>
            <w:pPr>
              <w:spacing w:after="20"/>
              <w:jc w:val="right"/>
            </w:pPr>
            <w:r>
              <w:rPr>
                <w:color w:val="1C3A36"/>
                <w:sz w:val="18"/>
              </w:rPr>
              <w:t>-49.8%</w:t>
            </w:r>
          </w:p>
        </w:tc>
      </w:tr>
      <w:tr>
        <w:tc>
          <w:tcPr>
            <w:tcW w:type="dxa" w:w="2232"/>
            <w:shd w:val="clear" w:color="auto" w:fill="F6F1E6"/>
          </w:tcPr>
          <w:p>
            <w:pPr>
              <w:spacing w:after="20"/>
            </w:pPr>
            <w:r>
              <w:rPr>
                <w:b/>
                <w:color w:val="1C3A36"/>
                <w:sz w:val="18"/>
              </w:rPr>
              <w:t>WEIGHTED CENTRAL</w:t>
            </w:r>
          </w:p>
        </w:tc>
        <w:tc>
          <w:tcPr>
            <w:tcW w:type="dxa" w:w="2736"/>
            <w:shd w:val="clear" w:color="auto" w:fill="F6F1E6"/>
          </w:tcPr>
          <w:p>
            <w:pPr>
              <w:spacing w:after="20"/>
            </w:pPr>
            <w:r>
              <w:rPr>
                <w:b/>
                <w:color w:val="1C3A36"/>
                <w:sz w:val="18"/>
              </w:rPr>
              <w:t>the four, weighted</w:t>
            </w:r>
          </w:p>
        </w:tc>
        <w:tc>
          <w:tcPr>
            <w:tcW w:type="dxa" w:w="1037"/>
            <w:shd w:val="clear" w:color="auto" w:fill="F6F1E6"/>
          </w:tcPr>
          <w:p>
            <w:pPr>
              <w:spacing w:after="20"/>
              <w:jc w:val="right"/>
            </w:pPr>
            <w:r>
              <w:rPr>
                <w:b/>
                <w:color w:val="1C3A36"/>
                <w:sz w:val="18"/>
              </w:rPr>
              <w:t>4.09</w:t>
            </w:r>
          </w:p>
        </w:tc>
        <w:tc>
          <w:tcPr>
            <w:tcW w:type="dxa" w:w="1037"/>
            <w:shd w:val="clear" w:color="auto" w:fill="F6F1E6"/>
          </w:tcPr>
          <w:p>
            <w:pPr>
              <w:spacing w:after="20"/>
              <w:jc w:val="right"/>
            </w:pPr>
            <w:r>
              <w:rPr>
                <w:b/>
                <w:color w:val="1C3A36"/>
                <w:sz w:val="18"/>
              </w:rPr>
              <w:t>5.95</w:t>
            </w:r>
          </w:p>
        </w:tc>
        <w:tc>
          <w:tcPr>
            <w:tcW w:type="dxa" w:w="1037"/>
            <w:shd w:val="clear" w:color="auto" w:fill="F6F1E6"/>
          </w:tcPr>
          <w:p>
            <w:pPr>
              <w:spacing w:after="20"/>
              <w:jc w:val="right"/>
            </w:pPr>
            <w:r>
              <w:rPr>
                <w:b/>
                <w:color w:val="1C3A36"/>
                <w:sz w:val="18"/>
              </w:rPr>
              <w:t>8.52</w:t>
            </w:r>
          </w:p>
        </w:tc>
        <w:tc>
          <w:tcPr>
            <w:tcW w:type="dxa" w:w="893"/>
            <w:shd w:val="clear" w:color="auto" w:fill="F6F1E6"/>
          </w:tcPr>
          <w:p>
            <w:pPr>
              <w:spacing w:after="20"/>
              <w:jc w:val="right"/>
            </w:pPr>
            <w:r>
              <w:rPr>
                <w:b/>
                <w:color w:val="1C3A36"/>
                <w:sz w:val="18"/>
              </w:rPr>
              <w:t>100%</w:t>
            </w:r>
          </w:p>
        </w:tc>
        <w:tc>
          <w:tcPr>
            <w:tcW w:type="dxa" w:w="1037"/>
            <w:shd w:val="clear" w:color="auto" w:fill="F6F1E6"/>
          </w:tcPr>
          <w:p>
            <w:pPr>
              <w:spacing w:after="20"/>
              <w:jc w:val="right"/>
            </w:pPr>
            <w:r>
              <w:rPr>
                <w:b/>
                <w:color w:val="1C3A36"/>
                <w:sz w:val="18"/>
              </w:rPr>
              <w:t>-34.6%</w:t>
            </w:r>
          </w:p>
        </w:tc>
      </w:tr>
    </w:tbl>
    <w:p>
      <w:pPr>
        <w:spacing w:after="40"/>
      </w:pPr>
    </w:p>
    <w:p>
      <w:pPr>
        <w:spacing w:after="200" w:before="0"/>
      </w:pPr>
      <w:r>
        <w:rPr>
          <w:b w:val="0"/>
          <w:i/>
          <w:color w:val="6E7B77"/>
          <w:sz w:val="17"/>
        </w:rPr>
        <w:t>Table 1 — the four lenses. The bear and bull columns of the weighted row are WEIGHTED with the same 45/20/20/15 weights as the base column. The widest single lens spans EGP 3.05–9.88; that is reported as an ENVELOPE, not as the range of a weighted estimate. The previous edition labelled a row "weighted central" and then took the minimum and maximum across all four lenses, both of which came from the cash-flow lens alone, overstating the published spread by about two and a half times.</w:t>
      </w:r>
    </w:p>
    <w:p>
      <w:pPr>
        <w:spacing w:after="40"/>
        <w:jc w:val="center"/>
      </w:pPr>
      <w:r>
        <w:drawing>
          <wp:inline xmlns:a="http://schemas.openxmlformats.org/drawingml/2006/main" xmlns:pic="http://schemas.openxmlformats.org/drawingml/2006/picture">
            <wp:extent cx="6309360" cy="264311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643110"/>
                    </a:xfrm>
                    <a:prstGeom prst="rect"/>
                  </pic:spPr>
                </pic:pic>
              </a:graphicData>
            </a:graphic>
          </wp:inline>
        </w:drawing>
      </w:r>
    </w:p>
    <w:p>
      <w:pPr>
        <w:spacing w:after="200" w:before="0"/>
      </w:pPr>
      <w:r>
        <w:rPr>
          <w:b w:val="0"/>
          <w:i/>
          <w:color w:val="6E7B77"/>
          <w:sz w:val="17"/>
        </w:rPr>
        <w:t>Figure 1 — the football field. The price (red dashed) sits above every lens base and above the top of the weighted range. It falls inside only the cash-flow lens’s bull tail, which is five favourable driver moves at once.</w:t>
      </w:r>
    </w:p>
    <w:p>
      <w:pPr>
        <w:spacing w:after="120" w:before="280"/>
      </w:pPr>
      <w:r>
        <w:rPr>
          <w:b/>
          <w:i w:val="0"/>
          <w:color w:val="1C3A36"/>
          <w:sz w:val="30"/>
        </w:rPr>
        <w:t>The company</w:t>
      </w:r>
    </w:p>
    <w:p>
      <w:pPr>
        <w:spacing w:after="120" w:before="0"/>
      </w:pPr>
      <w:r>
        <w:rPr>
          <w:b w:val="0"/>
          <w:i w:val="0"/>
          <w:color w:val="1C3A36"/>
          <w:sz w:val="21"/>
        </w:rPr>
        <w:t>Alexandria Mineral Oils Company is the only refinery listed on the Egyptian Exchange. It takes atmospheric residue and distils it into base and special oils, paraffin wax, gas oil, naphtha, liquefied petroleum gas and fuel oil. Alexandria Petroleum Company holds 20.77% — the previous edition of this study misattributed that stake to the Egyptian General Petroleum Corporation — and AMOC owns 86.45% of Alexandria Wax Products, whose minority is the non-controlling interest carried through this valuation.</w:t>
      </w:r>
    </w:p>
    <w:p>
      <w:pPr>
        <w:spacing w:after="120" w:before="0"/>
      </w:pPr>
      <w:r>
        <w:rPr>
          <w:b w:val="0"/>
          <w:i w:val="0"/>
          <w:color w:val="1C3A36"/>
          <w:sz w:val="21"/>
        </w:rPr>
        <w:t>The financial year moved from 30 June to 31 December, so the filed record is a six-month transition period (July to December 2025, AUDITED by Crowe — Dr A. M. Hegazy &amp; Co, unqualified opinion signed at Giza on 18 February 2026) followed by a reviewed first quarter. That is why the base year in section 1.2 has to be constructed rather than lifted off one filing.</w:t>
      </w:r>
    </w:p>
    <w:p>
      <w:pPr>
        <w:spacing w:after="80" w:before="200"/>
      </w:pPr>
      <w:r>
        <w:rPr>
          <w:b/>
          <w:i w:val="0"/>
          <w:color w:val="1C3A36"/>
          <w:sz w:val="24"/>
        </w:rPr>
        <w:t>What it actually sells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40"/>
        <w:gridCol w:w="1584"/>
        <w:gridCol w:w="1656"/>
        <w:gridCol w:w="1512"/>
        <w:gridCol w:w="1440"/>
      </w:tblGrid>
      <w:tr>
        <w:tc>
          <w:tcPr>
            <w:tcW w:type="dxa" w:w="2520"/>
            <w:shd w:val="clear" w:color="auto" w:fill="EAF0EE"/>
          </w:tcPr>
          <w:p>
            <w:pPr>
              <w:spacing w:after="20"/>
            </w:pPr>
            <w:r>
              <w:rPr>
                <w:b/>
                <w:color w:val="1C3A36"/>
                <w:sz w:val="18"/>
              </w:rPr>
              <w:t>Product line</w:t>
            </w:r>
          </w:p>
        </w:tc>
        <w:tc>
          <w:tcPr>
            <w:tcW w:type="dxa" w:w="1440"/>
            <w:shd w:val="clear" w:color="auto" w:fill="EAF0EE"/>
          </w:tcPr>
          <w:p>
            <w:pPr>
              <w:spacing w:after="20"/>
            </w:pPr>
            <w:r>
              <w:rPr>
                <w:b/>
                <w:color w:val="1C3A36"/>
                <w:sz w:val="18"/>
              </w:rPr>
              <w:t>Tonnes, 6M</w:t>
            </w:r>
          </w:p>
        </w:tc>
        <w:tc>
          <w:tcPr>
            <w:tcW w:type="dxa" w:w="1584"/>
            <w:shd w:val="clear" w:color="auto" w:fill="EAF0EE"/>
          </w:tcPr>
          <w:p>
            <w:pPr>
              <w:spacing w:after="20"/>
            </w:pPr>
            <w:r>
              <w:rPr>
                <w:b/>
                <w:color w:val="1C3A36"/>
                <w:sz w:val="18"/>
              </w:rPr>
              <w:t>Value, EGP mn</w:t>
            </w:r>
          </w:p>
        </w:tc>
        <w:tc>
          <w:tcPr>
            <w:tcW w:type="dxa" w:w="1656"/>
            <w:shd w:val="clear" w:color="auto" w:fill="EAF0EE"/>
          </w:tcPr>
          <w:p>
            <w:pPr>
              <w:spacing w:after="20"/>
            </w:pPr>
            <w:r>
              <w:rPr>
                <w:b/>
                <w:color w:val="1C3A36"/>
                <w:sz w:val="18"/>
              </w:rPr>
              <w:t>Realisation EGP/t</w:t>
            </w:r>
          </w:p>
        </w:tc>
        <w:tc>
          <w:tcPr>
            <w:tcW w:type="dxa" w:w="1512"/>
            <w:shd w:val="clear" w:color="auto" w:fill="EAF0EE"/>
          </w:tcPr>
          <w:p>
            <w:pPr>
              <w:spacing w:after="20"/>
            </w:pPr>
            <w:r>
              <w:rPr>
                <w:b/>
                <w:color w:val="1C3A36"/>
                <w:sz w:val="18"/>
              </w:rPr>
              <w:t>Share of tonnage</w:t>
            </w:r>
          </w:p>
        </w:tc>
        <w:tc>
          <w:tcPr>
            <w:tcW w:type="dxa" w:w="1440"/>
            <w:shd w:val="clear" w:color="auto" w:fill="EAF0EE"/>
          </w:tcPr>
          <w:p>
            <w:pPr>
              <w:spacing w:after="20"/>
            </w:pPr>
            <w:r>
              <w:rPr>
                <w:b/>
                <w:color w:val="1C3A36"/>
                <w:sz w:val="18"/>
              </w:rPr>
              <w:t>Share of value</w:t>
            </w:r>
          </w:p>
        </w:tc>
      </w:tr>
      <w:tr>
        <w:tc>
          <w:tcPr>
            <w:tcW w:type="dxa" w:w="2520"/>
          </w:tcPr>
          <w:p>
            <w:pPr>
              <w:spacing w:after="20"/>
            </w:pPr>
            <w:r>
              <w:rPr>
                <w:color w:val="1C3A36"/>
                <w:sz w:val="18"/>
              </w:rPr>
              <w:t>Base and special oils</w:t>
            </w:r>
          </w:p>
        </w:tc>
        <w:tc>
          <w:tcPr>
            <w:tcW w:type="dxa" w:w="1440"/>
          </w:tcPr>
          <w:p>
            <w:pPr>
              <w:spacing w:after="20"/>
              <w:jc w:val="right"/>
            </w:pPr>
            <w:r>
              <w:rPr>
                <w:color w:val="1C3A36"/>
                <w:sz w:val="18"/>
              </w:rPr>
              <w:t>54,969.0</w:t>
            </w:r>
          </w:p>
        </w:tc>
        <w:tc>
          <w:tcPr>
            <w:tcW w:type="dxa" w:w="1584"/>
          </w:tcPr>
          <w:p>
            <w:pPr>
              <w:spacing w:after="20"/>
              <w:jc w:val="right"/>
            </w:pPr>
            <w:r>
              <w:rPr>
                <w:color w:val="1C3A36"/>
                <w:sz w:val="18"/>
              </w:rPr>
              <w:t>2,597</w:t>
            </w:r>
          </w:p>
        </w:tc>
        <w:tc>
          <w:tcPr>
            <w:tcW w:type="dxa" w:w="1656"/>
          </w:tcPr>
          <w:p>
            <w:pPr>
              <w:spacing w:after="20"/>
              <w:jc w:val="right"/>
            </w:pPr>
            <w:r>
              <w:rPr>
                <w:color w:val="1C3A36"/>
                <w:sz w:val="18"/>
              </w:rPr>
              <w:t>47,250</w:t>
            </w:r>
          </w:p>
        </w:tc>
        <w:tc>
          <w:tcPr>
            <w:tcW w:type="dxa" w:w="1512"/>
          </w:tcPr>
          <w:p>
            <w:pPr>
              <w:spacing w:after="20"/>
              <w:jc w:val="right"/>
            </w:pPr>
            <w:r>
              <w:rPr>
                <w:color w:val="1C3A36"/>
                <w:sz w:val="18"/>
              </w:rPr>
              <w:t>6.80%</w:t>
            </w:r>
          </w:p>
        </w:tc>
        <w:tc>
          <w:tcPr>
            <w:tcW w:type="dxa" w:w="1440"/>
          </w:tcPr>
          <w:p>
            <w:pPr>
              <w:spacing w:after="20"/>
              <w:jc w:val="right"/>
            </w:pPr>
            <w:r>
              <w:rPr>
                <w:color w:val="1C3A36"/>
                <w:sz w:val="18"/>
              </w:rPr>
              <w:t>12.53%</w:t>
            </w:r>
          </w:p>
        </w:tc>
      </w:tr>
      <w:tr>
        <w:tc>
          <w:tcPr>
            <w:tcW w:type="dxa" w:w="2520"/>
          </w:tcPr>
          <w:p>
            <w:pPr>
              <w:spacing w:after="20"/>
            </w:pPr>
            <w:r>
              <w:rPr>
                <w:color w:val="1C3A36"/>
                <w:sz w:val="18"/>
              </w:rPr>
              <w:t>Paraffin wax</w:t>
            </w:r>
          </w:p>
        </w:tc>
        <w:tc>
          <w:tcPr>
            <w:tcW w:type="dxa" w:w="1440"/>
          </w:tcPr>
          <w:p>
            <w:pPr>
              <w:spacing w:after="20"/>
              <w:jc w:val="right"/>
            </w:pPr>
            <w:r>
              <w:rPr>
                <w:color w:val="1C3A36"/>
                <w:sz w:val="18"/>
              </w:rPr>
              <w:t>41,774.2</w:t>
            </w:r>
          </w:p>
        </w:tc>
        <w:tc>
          <w:tcPr>
            <w:tcW w:type="dxa" w:w="1584"/>
          </w:tcPr>
          <w:p>
            <w:pPr>
              <w:spacing w:after="20"/>
              <w:jc w:val="right"/>
            </w:pPr>
            <w:r>
              <w:rPr>
                <w:color w:val="1C3A36"/>
                <w:sz w:val="18"/>
              </w:rPr>
              <w:t>2,042</w:t>
            </w:r>
          </w:p>
        </w:tc>
        <w:tc>
          <w:tcPr>
            <w:tcW w:type="dxa" w:w="1656"/>
          </w:tcPr>
          <w:p>
            <w:pPr>
              <w:spacing w:after="20"/>
              <w:jc w:val="right"/>
            </w:pPr>
            <w:r>
              <w:rPr>
                <w:color w:val="1C3A36"/>
                <w:sz w:val="18"/>
              </w:rPr>
              <w:t>48,881</w:t>
            </w:r>
          </w:p>
        </w:tc>
        <w:tc>
          <w:tcPr>
            <w:tcW w:type="dxa" w:w="1512"/>
          </w:tcPr>
          <w:p>
            <w:pPr>
              <w:spacing w:after="20"/>
              <w:jc w:val="right"/>
            </w:pPr>
            <w:r>
              <w:rPr>
                <w:color w:val="1C3A36"/>
                <w:sz w:val="18"/>
              </w:rPr>
              <w:t>5.17%</w:t>
            </w:r>
          </w:p>
        </w:tc>
        <w:tc>
          <w:tcPr>
            <w:tcW w:type="dxa" w:w="1440"/>
          </w:tcPr>
          <w:p>
            <w:pPr>
              <w:spacing w:after="20"/>
              <w:jc w:val="right"/>
            </w:pPr>
            <w:r>
              <w:rPr>
                <w:color w:val="1C3A36"/>
                <w:sz w:val="18"/>
              </w:rPr>
              <w:t>9.85%</w:t>
            </w:r>
          </w:p>
        </w:tc>
      </w:tr>
      <w:tr>
        <w:tc>
          <w:tcPr>
            <w:tcW w:type="dxa" w:w="2520"/>
          </w:tcPr>
          <w:p>
            <w:pPr>
              <w:spacing w:after="20"/>
            </w:pPr>
            <w:r>
              <w:rPr>
                <w:color w:val="1C3A36"/>
                <w:sz w:val="18"/>
              </w:rPr>
              <w:t>Gas oil</w:t>
            </w:r>
          </w:p>
        </w:tc>
        <w:tc>
          <w:tcPr>
            <w:tcW w:type="dxa" w:w="1440"/>
          </w:tcPr>
          <w:p>
            <w:pPr>
              <w:spacing w:after="20"/>
              <w:jc w:val="right"/>
            </w:pPr>
            <w:r>
              <w:rPr>
                <w:color w:val="1C3A36"/>
                <w:sz w:val="18"/>
              </w:rPr>
              <w:t>171,684.9</w:t>
            </w:r>
          </w:p>
        </w:tc>
        <w:tc>
          <w:tcPr>
            <w:tcW w:type="dxa" w:w="1584"/>
          </w:tcPr>
          <w:p>
            <w:pPr>
              <w:spacing w:after="20"/>
              <w:jc w:val="right"/>
            </w:pPr>
            <w:r>
              <w:rPr>
                <w:color w:val="1C3A36"/>
                <w:sz w:val="18"/>
              </w:rPr>
              <w:t>5,122</w:t>
            </w:r>
          </w:p>
        </w:tc>
        <w:tc>
          <w:tcPr>
            <w:tcW w:type="dxa" w:w="1656"/>
          </w:tcPr>
          <w:p>
            <w:pPr>
              <w:spacing w:after="20"/>
              <w:jc w:val="right"/>
            </w:pPr>
            <w:r>
              <w:rPr>
                <w:color w:val="1C3A36"/>
                <w:sz w:val="18"/>
              </w:rPr>
              <w:t>29,832</w:t>
            </w:r>
          </w:p>
        </w:tc>
        <w:tc>
          <w:tcPr>
            <w:tcW w:type="dxa" w:w="1512"/>
          </w:tcPr>
          <w:p>
            <w:pPr>
              <w:spacing w:after="20"/>
              <w:jc w:val="right"/>
            </w:pPr>
            <w:r>
              <w:rPr>
                <w:color w:val="1C3A36"/>
                <w:sz w:val="18"/>
              </w:rPr>
              <w:t>21.25%</w:t>
            </w:r>
          </w:p>
        </w:tc>
        <w:tc>
          <w:tcPr>
            <w:tcW w:type="dxa" w:w="1440"/>
          </w:tcPr>
          <w:p>
            <w:pPr>
              <w:spacing w:after="20"/>
              <w:jc w:val="right"/>
            </w:pPr>
            <w:r>
              <w:rPr>
                <w:color w:val="1C3A36"/>
                <w:sz w:val="18"/>
              </w:rPr>
              <w:t>24.70%</w:t>
            </w:r>
          </w:p>
        </w:tc>
      </w:tr>
      <w:tr>
        <w:tc>
          <w:tcPr>
            <w:tcW w:type="dxa" w:w="2520"/>
          </w:tcPr>
          <w:p>
            <w:pPr>
              <w:spacing w:after="20"/>
            </w:pPr>
            <w:r>
              <w:rPr>
                <w:color w:val="1C3A36"/>
                <w:sz w:val="18"/>
              </w:rPr>
              <w:t>Naphtha</w:t>
            </w:r>
          </w:p>
        </w:tc>
        <w:tc>
          <w:tcPr>
            <w:tcW w:type="dxa" w:w="1440"/>
          </w:tcPr>
          <w:p>
            <w:pPr>
              <w:spacing w:after="20"/>
              <w:jc w:val="right"/>
            </w:pPr>
            <w:r>
              <w:rPr>
                <w:color w:val="1C3A36"/>
                <w:sz w:val="18"/>
              </w:rPr>
              <w:t>41,430.9</w:t>
            </w:r>
          </w:p>
        </w:tc>
        <w:tc>
          <w:tcPr>
            <w:tcW w:type="dxa" w:w="1584"/>
          </w:tcPr>
          <w:p>
            <w:pPr>
              <w:spacing w:after="20"/>
              <w:jc w:val="right"/>
            </w:pPr>
            <w:r>
              <w:rPr>
                <w:color w:val="1C3A36"/>
                <w:sz w:val="18"/>
              </w:rPr>
              <w:t>959</w:t>
            </w:r>
          </w:p>
        </w:tc>
        <w:tc>
          <w:tcPr>
            <w:tcW w:type="dxa" w:w="1656"/>
          </w:tcPr>
          <w:p>
            <w:pPr>
              <w:spacing w:after="20"/>
              <w:jc w:val="right"/>
            </w:pPr>
            <w:r>
              <w:rPr>
                <w:color w:val="1C3A36"/>
                <w:sz w:val="18"/>
              </w:rPr>
              <w:t>23,141</w:t>
            </w:r>
          </w:p>
        </w:tc>
        <w:tc>
          <w:tcPr>
            <w:tcW w:type="dxa" w:w="1512"/>
          </w:tcPr>
          <w:p>
            <w:pPr>
              <w:spacing w:after="20"/>
              <w:jc w:val="right"/>
            </w:pPr>
            <w:r>
              <w:rPr>
                <w:color w:val="1C3A36"/>
                <w:sz w:val="18"/>
              </w:rPr>
              <w:t>5.13%</w:t>
            </w:r>
          </w:p>
        </w:tc>
        <w:tc>
          <w:tcPr>
            <w:tcW w:type="dxa" w:w="1440"/>
          </w:tcPr>
          <w:p>
            <w:pPr>
              <w:spacing w:after="20"/>
              <w:jc w:val="right"/>
            </w:pPr>
            <w:r>
              <w:rPr>
                <w:color w:val="1C3A36"/>
                <w:sz w:val="18"/>
              </w:rPr>
              <w:t>4.62%</w:t>
            </w:r>
          </w:p>
        </w:tc>
      </w:tr>
      <w:tr>
        <w:tc>
          <w:tcPr>
            <w:tcW w:type="dxa" w:w="2520"/>
          </w:tcPr>
          <w:p>
            <w:pPr>
              <w:spacing w:after="20"/>
            </w:pPr>
            <w:r>
              <w:rPr>
                <w:color w:val="1C3A36"/>
                <w:sz w:val="18"/>
              </w:rPr>
              <w:t>Liquefied petroleum gas</w:t>
            </w:r>
          </w:p>
        </w:tc>
        <w:tc>
          <w:tcPr>
            <w:tcW w:type="dxa" w:w="1440"/>
          </w:tcPr>
          <w:p>
            <w:pPr>
              <w:spacing w:after="20"/>
              <w:jc w:val="right"/>
            </w:pPr>
            <w:r>
              <w:rPr>
                <w:color w:val="1C3A36"/>
                <w:sz w:val="18"/>
              </w:rPr>
              <w:t>23,735.8</w:t>
            </w:r>
          </w:p>
        </w:tc>
        <w:tc>
          <w:tcPr>
            <w:tcW w:type="dxa" w:w="1584"/>
          </w:tcPr>
          <w:p>
            <w:pPr>
              <w:spacing w:after="20"/>
              <w:jc w:val="right"/>
            </w:pPr>
            <w:r>
              <w:rPr>
                <w:color w:val="1C3A36"/>
                <w:sz w:val="18"/>
              </w:rPr>
              <w:t>816</w:t>
            </w:r>
          </w:p>
        </w:tc>
        <w:tc>
          <w:tcPr>
            <w:tcW w:type="dxa" w:w="1656"/>
          </w:tcPr>
          <w:p>
            <w:pPr>
              <w:spacing w:after="20"/>
              <w:jc w:val="right"/>
            </w:pPr>
            <w:r>
              <w:rPr>
                <w:color w:val="1C3A36"/>
                <w:sz w:val="18"/>
              </w:rPr>
              <w:t>34,389</w:t>
            </w:r>
          </w:p>
        </w:tc>
        <w:tc>
          <w:tcPr>
            <w:tcW w:type="dxa" w:w="1512"/>
          </w:tcPr>
          <w:p>
            <w:pPr>
              <w:spacing w:after="20"/>
              <w:jc w:val="right"/>
            </w:pPr>
            <w:r>
              <w:rPr>
                <w:color w:val="1C3A36"/>
                <w:sz w:val="18"/>
              </w:rPr>
              <w:t>2.94%</w:t>
            </w:r>
          </w:p>
        </w:tc>
        <w:tc>
          <w:tcPr>
            <w:tcW w:type="dxa" w:w="1440"/>
          </w:tcPr>
          <w:p>
            <w:pPr>
              <w:spacing w:after="20"/>
              <w:jc w:val="right"/>
            </w:pPr>
            <w:r>
              <w:rPr>
                <w:color w:val="1C3A36"/>
                <w:sz w:val="18"/>
              </w:rPr>
              <w:t>3.94%</w:t>
            </w:r>
          </w:p>
        </w:tc>
      </w:tr>
      <w:tr>
        <w:tc>
          <w:tcPr>
            <w:tcW w:type="dxa" w:w="2520"/>
          </w:tcPr>
          <w:p>
            <w:pPr>
              <w:spacing w:after="20"/>
            </w:pPr>
            <w:r>
              <w:rPr>
                <w:color w:val="1C3A36"/>
                <w:sz w:val="18"/>
              </w:rPr>
              <w:t>Fuel oil (mix)</w:t>
            </w:r>
          </w:p>
        </w:tc>
        <w:tc>
          <w:tcPr>
            <w:tcW w:type="dxa" w:w="1440"/>
          </w:tcPr>
          <w:p>
            <w:pPr>
              <w:spacing w:after="20"/>
              <w:jc w:val="right"/>
            </w:pPr>
            <w:r>
              <w:rPr>
                <w:color w:val="1C3A36"/>
                <w:sz w:val="18"/>
              </w:rPr>
              <w:t>460,153.6</w:t>
            </w:r>
          </w:p>
        </w:tc>
        <w:tc>
          <w:tcPr>
            <w:tcW w:type="dxa" w:w="1584"/>
          </w:tcPr>
          <w:p>
            <w:pPr>
              <w:spacing w:after="20"/>
              <w:jc w:val="right"/>
            </w:pPr>
            <w:r>
              <w:rPr>
                <w:color w:val="1C3A36"/>
                <w:sz w:val="18"/>
              </w:rPr>
              <w:t>8,976</w:t>
            </w:r>
          </w:p>
        </w:tc>
        <w:tc>
          <w:tcPr>
            <w:tcW w:type="dxa" w:w="1656"/>
          </w:tcPr>
          <w:p>
            <w:pPr>
              <w:spacing w:after="20"/>
              <w:jc w:val="right"/>
            </w:pPr>
            <w:r>
              <w:rPr>
                <w:color w:val="1C3A36"/>
                <w:sz w:val="18"/>
              </w:rPr>
              <w:t>19,506</w:t>
            </w:r>
          </w:p>
        </w:tc>
        <w:tc>
          <w:tcPr>
            <w:tcW w:type="dxa" w:w="1512"/>
          </w:tcPr>
          <w:p>
            <w:pPr>
              <w:spacing w:after="20"/>
              <w:jc w:val="right"/>
            </w:pPr>
            <w:r>
              <w:rPr>
                <w:color w:val="1C3A36"/>
                <w:sz w:val="18"/>
              </w:rPr>
              <w:t>56.94%</w:t>
            </w:r>
          </w:p>
        </w:tc>
        <w:tc>
          <w:tcPr>
            <w:tcW w:type="dxa" w:w="1440"/>
          </w:tcPr>
          <w:p>
            <w:pPr>
              <w:spacing w:after="20"/>
              <w:jc w:val="right"/>
            </w:pPr>
            <w:r>
              <w:rPr>
                <w:color w:val="1C3A36"/>
                <w:sz w:val="18"/>
              </w:rPr>
              <w:t>43.29%</w:t>
            </w:r>
          </w:p>
        </w:tc>
      </w:tr>
      <w:tr>
        <w:tc>
          <w:tcPr>
            <w:tcW w:type="dxa" w:w="2520"/>
          </w:tcPr>
          <w:p>
            <w:pPr>
              <w:spacing w:after="20"/>
            </w:pPr>
            <w:r>
              <w:rPr>
                <w:color w:val="1C3A36"/>
                <w:sz w:val="18"/>
              </w:rPr>
              <w:t>Heavy fuel oil</w:t>
            </w:r>
          </w:p>
        </w:tc>
        <w:tc>
          <w:tcPr>
            <w:tcW w:type="dxa" w:w="1440"/>
          </w:tcPr>
          <w:p>
            <w:pPr>
              <w:spacing w:after="20"/>
              <w:jc w:val="right"/>
            </w:pPr>
            <w:r>
              <w:rPr>
                <w:color w:val="1C3A36"/>
                <w:sz w:val="18"/>
              </w:rPr>
              <w:t>14,327.5</w:t>
            </w:r>
          </w:p>
        </w:tc>
        <w:tc>
          <w:tcPr>
            <w:tcW w:type="dxa" w:w="1584"/>
          </w:tcPr>
          <w:p>
            <w:pPr>
              <w:spacing w:after="20"/>
              <w:jc w:val="right"/>
            </w:pPr>
            <w:r>
              <w:rPr>
                <w:color w:val="1C3A36"/>
                <w:sz w:val="18"/>
              </w:rPr>
              <w:t>224</w:t>
            </w:r>
          </w:p>
        </w:tc>
        <w:tc>
          <w:tcPr>
            <w:tcW w:type="dxa" w:w="1656"/>
          </w:tcPr>
          <w:p>
            <w:pPr>
              <w:spacing w:after="20"/>
              <w:jc w:val="right"/>
            </w:pPr>
            <w:r>
              <w:rPr>
                <w:color w:val="1C3A36"/>
                <w:sz w:val="18"/>
              </w:rPr>
              <w:t>15,642</w:t>
            </w:r>
          </w:p>
        </w:tc>
        <w:tc>
          <w:tcPr>
            <w:tcW w:type="dxa" w:w="1512"/>
          </w:tcPr>
          <w:p>
            <w:pPr>
              <w:spacing w:after="20"/>
              <w:jc w:val="right"/>
            </w:pPr>
            <w:r>
              <w:rPr>
                <w:color w:val="1C3A36"/>
                <w:sz w:val="18"/>
              </w:rPr>
              <w:t>1.77%</w:t>
            </w:r>
          </w:p>
        </w:tc>
        <w:tc>
          <w:tcPr>
            <w:tcW w:type="dxa" w:w="1440"/>
          </w:tcPr>
          <w:p>
            <w:pPr>
              <w:spacing w:after="20"/>
              <w:jc w:val="right"/>
            </w:pPr>
            <w:r>
              <w:rPr>
                <w:color w:val="1C3A36"/>
                <w:sz w:val="18"/>
              </w:rPr>
              <w:t>1.08%</w:t>
            </w:r>
          </w:p>
        </w:tc>
      </w:tr>
      <w:tr>
        <w:tc>
          <w:tcPr>
            <w:tcW w:type="dxa" w:w="2520"/>
          </w:tcPr>
          <w:p>
            <w:pPr>
              <w:spacing w:after="20"/>
            </w:pPr>
            <w:r>
              <w:rPr>
                <w:color w:val="1C3A36"/>
                <w:sz w:val="18"/>
              </w:rPr>
              <w:t>Waste</w:t>
            </w:r>
          </w:p>
        </w:tc>
        <w:tc>
          <w:tcPr>
            <w:tcW w:type="dxa" w:w="1440"/>
          </w:tcPr>
          <w:p>
            <w:pPr>
              <w:spacing w:after="20"/>
              <w:jc w:val="right"/>
            </w:pPr>
            <w:r>
              <w:rPr>
                <w:color w:val="1C3A36"/>
                <w:sz w:val="18"/>
              </w:rPr>
              <w:t>7.8</w:t>
            </w:r>
          </w:p>
        </w:tc>
        <w:tc>
          <w:tcPr>
            <w:tcW w:type="dxa" w:w="1584"/>
          </w:tcPr>
          <w:p>
            <w:pPr>
              <w:spacing w:after="20"/>
              <w:jc w:val="right"/>
            </w:pPr>
            <w:r>
              <w:rPr>
                <w:color w:val="1C3A36"/>
                <w:sz w:val="18"/>
              </w:rPr>
              <w:t>0</w:t>
            </w:r>
          </w:p>
        </w:tc>
        <w:tc>
          <w:tcPr>
            <w:tcW w:type="dxa" w:w="1656"/>
          </w:tcPr>
          <w:p>
            <w:pPr>
              <w:spacing w:after="20"/>
              <w:jc w:val="right"/>
            </w:pPr>
            <w:r>
              <w:rPr>
                <w:color w:val="1C3A36"/>
                <w:sz w:val="18"/>
              </w:rPr>
              <w:t>11,176</w:t>
            </w:r>
          </w:p>
        </w:tc>
        <w:tc>
          <w:tcPr>
            <w:tcW w:type="dxa" w:w="1512"/>
          </w:tcPr>
          <w:p>
            <w:pPr>
              <w:spacing w:after="20"/>
              <w:jc w:val="right"/>
            </w:pPr>
            <w:r>
              <w:rPr>
                <w:color w:val="1C3A36"/>
                <w:sz w:val="18"/>
              </w:rPr>
              <w:t>0.00%</w:t>
            </w:r>
          </w:p>
        </w:tc>
        <w:tc>
          <w:tcPr>
            <w:tcW w:type="dxa" w:w="1440"/>
          </w:tcPr>
          <w:p>
            <w:pPr>
              <w:spacing w:after="20"/>
              <w:jc w:val="right"/>
            </w:pPr>
            <w:r>
              <w:rPr>
                <w:color w:val="1C3A36"/>
                <w:sz w:val="18"/>
              </w:rPr>
              <w:t>0.00%</w:t>
            </w:r>
          </w:p>
        </w:tc>
      </w:tr>
      <w:tr>
        <w:tc>
          <w:tcPr>
            <w:tcW w:type="dxa" w:w="2520"/>
            <w:shd w:val="clear" w:color="auto" w:fill="F6F1E6"/>
          </w:tcPr>
          <w:p>
            <w:pPr>
              <w:spacing w:after="20"/>
            </w:pPr>
            <w:r>
              <w:rPr>
                <w:b/>
                <w:color w:val="1C3A36"/>
                <w:sz w:val="18"/>
              </w:rPr>
              <w:t>TOTAL</w:t>
            </w:r>
          </w:p>
        </w:tc>
        <w:tc>
          <w:tcPr>
            <w:tcW w:type="dxa" w:w="1440"/>
            <w:shd w:val="clear" w:color="auto" w:fill="F6F1E6"/>
          </w:tcPr>
          <w:p>
            <w:pPr>
              <w:spacing w:after="20"/>
              <w:jc w:val="right"/>
            </w:pPr>
            <w:r>
              <w:rPr>
                <w:b/>
                <w:color w:val="1C3A36"/>
                <w:sz w:val="18"/>
              </w:rPr>
              <w:t>808,083.6</w:t>
            </w:r>
          </w:p>
        </w:tc>
        <w:tc>
          <w:tcPr>
            <w:tcW w:type="dxa" w:w="1584"/>
            <w:shd w:val="clear" w:color="auto" w:fill="F6F1E6"/>
          </w:tcPr>
          <w:p>
            <w:pPr>
              <w:spacing w:after="20"/>
              <w:jc w:val="right"/>
            </w:pPr>
            <w:r>
              <w:rPr>
                <w:b/>
                <w:color w:val="1C3A36"/>
                <w:sz w:val="18"/>
              </w:rPr>
              <w:t>20,736</w:t>
            </w:r>
          </w:p>
        </w:tc>
        <w:tc>
          <w:tcPr>
            <w:tcW w:type="dxa" w:w="1656"/>
            <w:shd w:val="clear" w:color="auto" w:fill="F6F1E6"/>
          </w:tcPr>
          <w:p>
            <w:pPr>
              <w:spacing w:after="20"/>
              <w:jc w:val="right"/>
            </w:pPr>
            <w:r>
              <w:rPr>
                <w:b/>
                <w:color w:val="1C3A36"/>
                <w:sz w:val="18"/>
              </w:rPr>
              <w:t>25,660</w:t>
            </w:r>
          </w:p>
        </w:tc>
        <w:tc>
          <w:tcPr>
            <w:tcW w:type="dxa" w:w="1512"/>
            <w:shd w:val="clear" w:color="auto" w:fill="F6F1E6"/>
          </w:tcPr>
          <w:p>
            <w:pPr>
              <w:spacing w:after="20"/>
              <w:jc w:val="right"/>
            </w:pPr>
            <w:r>
              <w:rPr>
                <w:b/>
                <w:color w:val="1C3A36"/>
                <w:sz w:val="18"/>
              </w:rPr>
              <w:t>100.00%</w:t>
            </w:r>
          </w:p>
        </w:tc>
        <w:tc>
          <w:tcPr>
            <w:tcW w:type="dxa" w:w="1440"/>
            <w:shd w:val="clear" w:color="auto" w:fill="F6F1E6"/>
          </w:tcPr>
          <w:p>
            <w:pPr>
              <w:spacing w:after="20"/>
              <w:jc w:val="right"/>
            </w:pPr>
            <w:r>
              <w:rPr>
                <w:b/>
                <w:color w:val="1C3A36"/>
                <w:sz w:val="18"/>
              </w:rPr>
              <w:t>100.00%</w:t>
            </w:r>
          </w:p>
        </w:tc>
      </w:tr>
    </w:tbl>
    <w:p>
      <w:pPr>
        <w:spacing w:after="40"/>
      </w:pPr>
    </w:p>
    <w:p>
      <w:pPr>
        <w:spacing w:after="200" w:before="0"/>
      </w:pPr>
      <w:r>
        <w:rPr>
          <w:b w:val="0"/>
          <w:i/>
          <w:color w:val="6E7B77"/>
          <w:sz w:val="17"/>
        </w:rPr>
        <w:t>Table 2 — note 14-A of the audited transition-period statements. Eight lines, tonnes AND value both disclosed, so the realisation per tonne is disclosed arithmetic rather than an estimate. The specialty slate — base and special oils plus paraffin wax — is 12.0% of the tonnage and 22.4% of the value. That asymmetry is the company.</w:t>
      </w:r>
    </w:p>
    <w:p>
      <w:pPr>
        <w:spacing w:after="120" w:before="0"/>
      </w:pPr>
      <w:r>
        <w:rPr>
          <w:b w:val="0"/>
          <w:i w:val="0"/>
          <w:color w:val="1C3A36"/>
          <w:sz w:val="21"/>
        </w:rPr>
        <w:t>Raw materials are 90.7% of cost of sales (note 15-A) and 82.5% of revenue. A business whose single largest line is that big, and whose gross margin is 9.0%, is a PASS-THROUGH PROCESSOR. The value is not in the revenue line and it is not in cost control either — it is in the spread between what the feedstock costs and what the slate fetches, earned on tonnage.</w:t>
      </w:r>
    </w:p>
    <w:p>
      <w:pPr>
        <w:spacing w:after="80" w:before="200"/>
      </w:pPr>
      <w:r>
        <w:rPr>
          <w:b/>
          <w:i w:val="0"/>
          <w:color w:val="1C3A36"/>
          <w:sz w:val="24"/>
        </w:rPr>
        <w:t>The balance sheet is the unusual part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224"/>
        <w:gridCol w:w="1080"/>
        <w:gridCol w:w="4464"/>
      </w:tblGrid>
      <w:tr>
        <w:tc>
          <w:tcPr>
            <w:tcW w:type="dxa" w:w="3240"/>
            <w:shd w:val="clear" w:color="auto" w:fill="EAF0EE"/>
          </w:tcPr>
          <w:p>
            <w:pPr>
              <w:spacing w:after="20"/>
            </w:pPr>
            <w:r>
              <w:rPr>
                <w:b/>
                <w:color w:val="1C3A36"/>
                <w:sz w:val="17"/>
              </w:rPr>
              <w:t>Item</w:t>
            </w:r>
          </w:p>
        </w:tc>
        <w:tc>
          <w:tcPr>
            <w:tcW w:type="dxa" w:w="1224"/>
            <w:shd w:val="clear" w:color="auto" w:fill="EAF0EE"/>
          </w:tcPr>
          <w:p>
            <w:pPr>
              <w:spacing w:after="20"/>
            </w:pPr>
            <w:r>
              <w:rPr>
                <w:b/>
                <w:color w:val="1C3A36"/>
                <w:sz w:val="17"/>
              </w:rPr>
              <w:t>EGP mn</w:t>
            </w:r>
          </w:p>
        </w:tc>
        <w:tc>
          <w:tcPr>
            <w:tcW w:type="dxa" w:w="1080"/>
            <w:shd w:val="clear" w:color="auto" w:fill="EAF0EE"/>
          </w:tcPr>
          <w:p>
            <w:pPr>
              <w:spacing w:after="20"/>
            </w:pPr>
            <w:r>
              <w:rPr>
                <w:b/>
                <w:color w:val="1C3A36"/>
                <w:sz w:val="17"/>
              </w:rPr>
              <w:t>Per share</w:t>
            </w:r>
          </w:p>
        </w:tc>
        <w:tc>
          <w:tcPr>
            <w:tcW w:type="dxa" w:w="4464"/>
            <w:shd w:val="clear" w:color="auto" w:fill="EAF0EE"/>
          </w:tcPr>
          <w:p>
            <w:pPr>
              <w:spacing w:after="20"/>
            </w:pPr>
            <w:r>
              <w:rPr>
                <w:b/>
                <w:color w:val="1C3A36"/>
                <w:sz w:val="17"/>
              </w:rPr>
              <w:t>Treatment in this study</w:t>
            </w:r>
          </w:p>
        </w:tc>
      </w:tr>
      <w:tr>
        <w:tc>
          <w:tcPr>
            <w:tcW w:type="dxa" w:w="3240"/>
          </w:tcPr>
          <w:p>
            <w:pPr>
              <w:spacing w:after="20"/>
            </w:pPr>
            <w:r>
              <w:rPr>
                <w:color w:val="1C3A36"/>
                <w:sz w:val="17"/>
              </w:rPr>
              <w:t>Cash at banks and on hand, free</w:t>
            </w:r>
          </w:p>
        </w:tc>
        <w:tc>
          <w:tcPr>
            <w:tcW w:type="dxa" w:w="1224"/>
          </w:tcPr>
          <w:p>
            <w:pPr>
              <w:spacing w:after="20"/>
              <w:jc w:val="right"/>
            </w:pPr>
            <w:r>
              <w:rPr>
                <w:color w:val="1C3A36"/>
                <w:sz w:val="17"/>
              </w:rPr>
              <w:t>2,464</w:t>
            </w:r>
          </w:p>
        </w:tc>
        <w:tc>
          <w:tcPr>
            <w:tcW w:type="dxa" w:w="1080"/>
          </w:tcPr>
          <w:p>
            <w:pPr>
              <w:spacing w:after="20"/>
              <w:jc w:val="right"/>
            </w:pPr>
            <w:r>
              <w:rPr>
                <w:color w:val="1C3A36"/>
                <w:sz w:val="17"/>
              </w:rPr>
              <w:t>1.91</w:t>
            </w:r>
          </w:p>
        </w:tc>
        <w:tc>
          <w:tcPr>
            <w:tcW w:type="dxa" w:w="4464"/>
          </w:tcPr>
          <w:p>
            <w:pPr>
              <w:spacing w:after="20"/>
            </w:pPr>
            <w:r>
              <w:rPr>
                <w:color w:val="1C3A36"/>
                <w:sz w:val="17"/>
              </w:rPr>
              <w:t>added in the bridge — note 9-E, pledged deposits already excluded</w:t>
            </w:r>
          </w:p>
        </w:tc>
      </w:tr>
      <w:tr>
        <w:tc>
          <w:tcPr>
            <w:tcW w:type="dxa" w:w="3240"/>
          </w:tcPr>
          <w:p>
            <w:pPr>
              <w:spacing w:after="20"/>
            </w:pPr>
            <w:r>
              <w:rPr>
                <w:color w:val="1C3A36"/>
                <w:sz w:val="17"/>
              </w:rPr>
              <w:t>Deposits PLEDGED against facilities</w:t>
            </w:r>
          </w:p>
        </w:tc>
        <w:tc>
          <w:tcPr>
            <w:tcW w:type="dxa" w:w="1224"/>
          </w:tcPr>
          <w:p>
            <w:pPr>
              <w:spacing w:after="20"/>
              <w:jc w:val="right"/>
            </w:pPr>
            <w:r>
              <w:rPr>
                <w:color w:val="1C3A36"/>
                <w:sz w:val="17"/>
              </w:rPr>
              <w:t>509</w:t>
            </w:r>
          </w:p>
        </w:tc>
        <w:tc>
          <w:tcPr>
            <w:tcW w:type="dxa" w:w="1080"/>
          </w:tcPr>
          <w:p>
            <w:pPr>
              <w:spacing w:after="20"/>
              <w:jc w:val="right"/>
            </w:pPr>
            <w:r>
              <w:rPr>
                <w:color w:val="1C3A36"/>
                <w:sz w:val="17"/>
              </w:rPr>
              <w:t>0.39</w:t>
            </w:r>
          </w:p>
        </w:tc>
        <w:tc>
          <w:tcPr>
            <w:tcW w:type="dxa" w:w="4464"/>
          </w:tcPr>
          <w:p>
            <w:pPr>
              <w:spacing w:after="20"/>
            </w:pPr>
            <w:r>
              <w:rPr>
                <w:color w:val="1C3A36"/>
                <w:sz w:val="17"/>
              </w:rPr>
              <w:t>NOT free cash; added separately as a non-operating asset</w:t>
            </w:r>
          </w:p>
        </w:tc>
      </w:tr>
      <w:tr>
        <w:tc>
          <w:tcPr>
            <w:tcW w:type="dxa" w:w="3240"/>
          </w:tcPr>
          <w:p>
            <w:pPr>
              <w:spacing w:after="20"/>
            </w:pPr>
            <w:r>
              <w:rPr>
                <w:color w:val="1C3A36"/>
                <w:sz w:val="17"/>
              </w:rPr>
              <w:t>Gross borrowings</w:t>
            </w:r>
          </w:p>
        </w:tc>
        <w:tc>
          <w:tcPr>
            <w:tcW w:type="dxa" w:w="1224"/>
          </w:tcPr>
          <w:p>
            <w:pPr>
              <w:spacing w:after="20"/>
              <w:jc w:val="right"/>
            </w:pPr>
            <w:r>
              <w:rPr>
                <w:color w:val="1C3A36"/>
                <w:sz w:val="17"/>
              </w:rPr>
              <w:t>21</w:t>
            </w:r>
          </w:p>
        </w:tc>
        <w:tc>
          <w:tcPr>
            <w:tcW w:type="dxa" w:w="1080"/>
          </w:tcPr>
          <w:p>
            <w:pPr>
              <w:spacing w:after="20"/>
              <w:jc w:val="right"/>
            </w:pPr>
            <w:r>
              <w:rPr>
                <w:color w:val="1C3A36"/>
                <w:sz w:val="17"/>
              </w:rPr>
              <w:t>0.02</w:t>
            </w:r>
          </w:p>
        </w:tc>
        <w:tc>
          <w:tcPr>
            <w:tcW w:type="dxa" w:w="4464"/>
          </w:tcPr>
          <w:p>
            <w:pPr>
              <w:spacing w:after="20"/>
            </w:pPr>
            <w:r>
              <w:rPr>
                <w:color w:val="1C3A36"/>
                <w:sz w:val="17"/>
              </w:rPr>
              <w:t>deducted</w:t>
            </w:r>
          </w:p>
        </w:tc>
      </w:tr>
      <w:tr>
        <w:tc>
          <w:tcPr>
            <w:tcW w:type="dxa" w:w="3240"/>
            <w:shd w:val="clear" w:color="auto" w:fill="F6F1E6"/>
          </w:tcPr>
          <w:p>
            <w:pPr>
              <w:spacing w:after="20"/>
            </w:pPr>
            <w:r>
              <w:rPr>
                <w:b/>
                <w:color w:val="1C3A36"/>
                <w:sz w:val="17"/>
              </w:rPr>
              <w:t>NET CASH</w:t>
            </w:r>
          </w:p>
        </w:tc>
        <w:tc>
          <w:tcPr>
            <w:tcW w:type="dxa" w:w="1224"/>
            <w:shd w:val="clear" w:color="auto" w:fill="F6F1E6"/>
          </w:tcPr>
          <w:p>
            <w:pPr>
              <w:spacing w:after="20"/>
              <w:jc w:val="right"/>
            </w:pPr>
            <w:r>
              <w:rPr>
                <w:b/>
                <w:color w:val="1C3A36"/>
                <w:sz w:val="17"/>
              </w:rPr>
              <w:t>2,443</w:t>
            </w:r>
          </w:p>
        </w:tc>
        <w:tc>
          <w:tcPr>
            <w:tcW w:type="dxa" w:w="1080"/>
            <w:shd w:val="clear" w:color="auto" w:fill="F6F1E6"/>
          </w:tcPr>
          <w:p>
            <w:pPr>
              <w:spacing w:after="20"/>
              <w:jc w:val="right"/>
            </w:pPr>
            <w:r>
              <w:rPr>
                <w:b/>
                <w:color w:val="1C3A36"/>
                <w:sz w:val="17"/>
              </w:rPr>
              <w:t>1.89</w:t>
            </w:r>
          </w:p>
        </w:tc>
        <w:tc>
          <w:tcPr>
            <w:tcW w:type="dxa" w:w="4464"/>
            <w:shd w:val="clear" w:color="auto" w:fill="F6F1E6"/>
          </w:tcPr>
          <w:p>
            <w:pPr>
              <w:spacing w:after="20"/>
            </w:pPr>
            <w:r>
              <w:rPr>
                <w:b/>
                <w:color w:val="1C3A36"/>
                <w:sz w:val="17"/>
              </w:rPr>
              <w:t>20.8% of market capitalisation</w:t>
            </w:r>
          </w:p>
        </w:tc>
      </w:tr>
      <w:tr>
        <w:tc>
          <w:tcPr>
            <w:tcW w:type="dxa" w:w="3240"/>
          </w:tcPr>
          <w:p>
            <w:pPr>
              <w:spacing w:after="20"/>
            </w:pPr>
            <w:r>
              <w:rPr>
                <w:color w:val="1C3A36"/>
                <w:sz w:val="17"/>
              </w:rPr>
              <w:t>Provision for tax disputes and claims</w:t>
            </w:r>
          </w:p>
        </w:tc>
        <w:tc>
          <w:tcPr>
            <w:tcW w:type="dxa" w:w="1224"/>
          </w:tcPr>
          <w:p>
            <w:pPr>
              <w:spacing w:after="20"/>
              <w:jc w:val="right"/>
            </w:pPr>
            <w:r>
              <w:rPr>
                <w:color w:val="1C3A36"/>
                <w:sz w:val="17"/>
              </w:rPr>
              <w:t>921</w:t>
            </w:r>
          </w:p>
        </w:tc>
        <w:tc>
          <w:tcPr>
            <w:tcW w:type="dxa" w:w="1080"/>
          </w:tcPr>
          <w:p>
            <w:pPr>
              <w:spacing w:after="20"/>
              <w:jc w:val="right"/>
            </w:pPr>
            <w:r>
              <w:rPr>
                <w:color w:val="1C3A36"/>
                <w:sz w:val="17"/>
              </w:rPr>
              <w:t>0.71</w:t>
            </w:r>
          </w:p>
        </w:tc>
        <w:tc>
          <w:tcPr>
            <w:tcW w:type="dxa" w:w="4464"/>
          </w:tcPr>
          <w:p>
            <w:pPr>
              <w:spacing w:after="20"/>
            </w:pPr>
            <w:r>
              <w:rPr>
                <w:color w:val="1C3A36"/>
                <w:sz w:val="17"/>
              </w:rPr>
              <w:t>note 10-1 — DEDUCTED in the bridge; the previous edition never carried it</w:t>
            </w:r>
          </w:p>
        </w:tc>
      </w:tr>
      <w:tr>
        <w:tc>
          <w:tcPr>
            <w:tcW w:type="dxa" w:w="3240"/>
          </w:tcPr>
          <w:p>
            <w:pPr>
              <w:spacing w:after="20"/>
            </w:pPr>
            <w:r>
              <w:rPr>
                <w:color w:val="1C3A36"/>
                <w:sz w:val="17"/>
              </w:rPr>
              <w:t>Dividends payable, declared</w:t>
            </w:r>
          </w:p>
        </w:tc>
        <w:tc>
          <w:tcPr>
            <w:tcW w:type="dxa" w:w="1224"/>
          </w:tcPr>
          <w:p>
            <w:pPr>
              <w:spacing w:after="20"/>
              <w:jc w:val="right"/>
            </w:pPr>
            <w:r>
              <w:rPr>
                <w:color w:val="1C3A36"/>
                <w:sz w:val="17"/>
              </w:rPr>
              <w:t>517</w:t>
            </w:r>
          </w:p>
        </w:tc>
        <w:tc>
          <w:tcPr>
            <w:tcW w:type="dxa" w:w="1080"/>
          </w:tcPr>
          <w:p>
            <w:pPr>
              <w:spacing w:after="20"/>
              <w:jc w:val="right"/>
            </w:pPr>
            <w:r>
              <w:rPr>
                <w:color w:val="1C3A36"/>
                <w:sz w:val="17"/>
              </w:rPr>
              <w:t>0.40</w:t>
            </w:r>
          </w:p>
        </w:tc>
        <w:tc>
          <w:tcPr>
            <w:tcW w:type="dxa" w:w="4464"/>
          </w:tcPr>
          <w:p>
            <w:pPr>
              <w:spacing w:after="20"/>
            </w:pPr>
            <w:r>
              <w:rPr>
                <w:color w:val="1C3A36"/>
                <w:sz w:val="17"/>
              </w:rPr>
              <w:t>note 11 — removed from working capital, deducted in the bridge</w:t>
            </w:r>
          </w:p>
        </w:tc>
      </w:tr>
      <w:tr>
        <w:tc>
          <w:tcPr>
            <w:tcW w:type="dxa" w:w="3240"/>
          </w:tcPr>
          <w:p>
            <w:pPr>
              <w:spacing w:after="20"/>
            </w:pPr>
            <w:r>
              <w:rPr>
                <w:color w:val="1C3A36"/>
                <w:sz w:val="17"/>
              </w:rPr>
              <w:t>Equity investment at fair value through OCI</w:t>
            </w:r>
          </w:p>
        </w:tc>
        <w:tc>
          <w:tcPr>
            <w:tcW w:type="dxa" w:w="1224"/>
          </w:tcPr>
          <w:p>
            <w:pPr>
              <w:spacing w:after="20"/>
              <w:jc w:val="right"/>
            </w:pPr>
            <w:r>
              <w:rPr>
                <w:color w:val="1C3A36"/>
                <w:sz w:val="17"/>
              </w:rPr>
              <w:t>70</w:t>
            </w:r>
          </w:p>
        </w:tc>
        <w:tc>
          <w:tcPr>
            <w:tcW w:type="dxa" w:w="1080"/>
          </w:tcPr>
          <w:p>
            <w:pPr>
              <w:spacing w:after="20"/>
              <w:jc w:val="right"/>
            </w:pPr>
            <w:r>
              <w:rPr>
                <w:color w:val="1C3A36"/>
                <w:sz w:val="17"/>
              </w:rPr>
              <w:t>0.05</w:t>
            </w:r>
          </w:p>
        </w:tc>
        <w:tc>
          <w:tcPr>
            <w:tcW w:type="dxa" w:w="4464"/>
          </w:tcPr>
          <w:p>
            <w:pPr>
              <w:spacing w:after="20"/>
            </w:pPr>
            <w:r>
              <w:rPr>
                <w:color w:val="1C3A36"/>
                <w:sz w:val="17"/>
              </w:rPr>
              <w:t>added as a non-operating asset</w:t>
            </w:r>
          </w:p>
        </w:tc>
      </w:tr>
      <w:tr>
        <w:tc>
          <w:tcPr>
            <w:tcW w:type="dxa" w:w="3240"/>
          </w:tcPr>
          <w:p>
            <w:pPr>
              <w:spacing w:after="20"/>
            </w:pPr>
            <w:r>
              <w:rPr>
                <w:color w:val="1C3A36"/>
                <w:sz w:val="17"/>
              </w:rPr>
              <w:t>Parent equity</w:t>
            </w:r>
          </w:p>
        </w:tc>
        <w:tc>
          <w:tcPr>
            <w:tcW w:type="dxa" w:w="1224"/>
          </w:tcPr>
          <w:p>
            <w:pPr>
              <w:spacing w:after="20"/>
              <w:jc w:val="right"/>
            </w:pPr>
            <w:r>
              <w:rPr>
                <w:color w:val="1C3A36"/>
                <w:sz w:val="17"/>
              </w:rPr>
              <w:t>4,791</w:t>
            </w:r>
          </w:p>
        </w:tc>
        <w:tc>
          <w:tcPr>
            <w:tcW w:type="dxa" w:w="1080"/>
          </w:tcPr>
          <w:p>
            <w:pPr>
              <w:spacing w:after="20"/>
              <w:jc w:val="right"/>
            </w:pPr>
            <w:r>
              <w:rPr>
                <w:color w:val="1C3A36"/>
                <w:sz w:val="17"/>
              </w:rPr>
              <w:t>3.71</w:t>
            </w:r>
          </w:p>
        </w:tc>
        <w:tc>
          <w:tcPr>
            <w:tcW w:type="dxa" w:w="4464"/>
          </w:tcPr>
          <w:p>
            <w:pPr>
              <w:spacing w:after="20"/>
            </w:pPr>
            <w:r>
              <w:rPr>
                <w:color w:val="1C3A36"/>
                <w:sz w:val="17"/>
              </w:rPr>
              <w:t>the book lens base</w:t>
            </w:r>
          </w:p>
        </w:tc>
      </w:tr>
    </w:tbl>
    <w:p>
      <w:pPr>
        <w:spacing w:after="40"/>
      </w:pPr>
    </w:p>
    <w:p>
      <w:pPr>
        <w:spacing w:after="200" w:before="0"/>
      </w:pPr>
      <w:r>
        <w:rPr>
          <w:b w:val="0"/>
          <w:i/>
          <w:color w:val="6E7B77"/>
          <w:sz w:val="17"/>
        </w:rPr>
        <w:t>Table 3 — the balance sheet at 31 December 2025, as filed. The company holds more than a fifth of its market capitalisation in net cash, which is why the cost-of-capital construction in section 1.6 RAISES the operating discount rate above the cost of equity rather than lowering it. Against that cash sit two disclosed claims — the provision and the declared dividend — that the previous edition of this study quoted in its text and never carried into its arithmetic.</w:t>
      </w:r>
    </w:p>
    <w:p>
      <w:pPr>
        <w:spacing w:after="120" w:before="280"/>
      </w:pPr>
      <w:r>
        <w:rPr>
          <w:b/>
          <w:i w:val="0"/>
          <w:color w:val="1C3A36"/>
          <w:sz w:val="30"/>
        </w:rPr>
        <w:t>1  Fundamental valuation</w:t>
      </w:r>
    </w:p>
    <w:p>
      <w:pPr>
        <w:spacing w:after="80" w:before="200"/>
      </w:pPr>
      <w:r>
        <w:rPr>
          <w:b/>
          <w:i w:val="0"/>
          <w:color w:val="1C3A36"/>
          <w:sz w:val="24"/>
        </w:rPr>
        <w:t>1.1  Why this company is valued as an operating company and not as anything else</w:t>
      </w:r>
    </w:p>
    <w:p>
      <w:pPr>
        <w:spacing w:after="120" w:before="0"/>
      </w:pPr>
      <w:r>
        <w:rPr>
          <w:b w:val="0"/>
          <w:i w:val="0"/>
          <w:color w:val="1C3A36"/>
          <w:sz w:val="21"/>
        </w:rPr>
        <w:t>Three tests decide the class, and all three point the same way. Revenue is 100% own-production petroleum product — there is no trading book, no rental stream and no portfolio of stakes to sum. The balance sheet is working capital and plant, not investments: property, plant and equipment plus projects under construction of EGP 1,300mn and net working capital of EGP 2,251mn against a single equity stake of EGP 70mn. And consolidated profit is dominated by one plant, with the minority in the wax subsidiary running at 3.26% of operating profit.</w:t>
      </w:r>
    </w:p>
    <w:p>
      <w:pPr>
        <w:spacing w:after="120" w:before="0"/>
      </w:pPr>
      <w:r>
        <w:rPr>
          <w:b w:val="0"/>
          <w:i w:val="0"/>
          <w:color w:val="1C3A36"/>
          <w:sz w:val="21"/>
        </w:rPr>
        <w:t>So the primary lens is free cash flow to the FIRM, discounted, with the three cross-checks of section 1.12 weighted behind it. A sum-of-the-parts framework is inapplicable: AMOC has no listed subsidiaries. One reviewer was asked to run an SOTP verification against three unrelated foreign companies and correctly rejected the premise; it is recorded here so no reader wonders whether it was considered.</w:t>
      </w:r>
    </w:p>
    <w:p>
      <w:pPr>
        <w:spacing w:after="80" w:before="200"/>
      </w:pPr>
      <w:r>
        <w:rPr>
          <w:b/>
          <w:i w:val="0"/>
          <w:color w:val="1C3A36"/>
          <w:sz w:val="24"/>
        </w:rPr>
        <w:t>1.2  The base year is constructed, and here is the construction</w:t>
      </w:r>
    </w:p>
    <w:p>
      <w:pPr>
        <w:spacing w:after="120" w:before="0"/>
      </w:pPr>
      <w:r>
        <w:rPr>
          <w:b w:val="0"/>
          <w:i w:val="0"/>
          <w:color w:val="1C3A36"/>
          <w:sz w:val="21"/>
        </w:rPr>
        <w:t>The base year is the TWELVE contiguous months to 30 June 2026: the audited transition half (July to December 2025) plus the half AMOC disclosed to the Egyptian Exchange on 29-30 July 2026, one week before this study’s anchor date. No annualisation scalar is applied to either half. HALF OF THIS BASE YEAR IS A PRESS RELEASE AND NOT A FILING, and this study says so on every page that uses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944"/>
        <w:gridCol w:w="1944"/>
        <w:gridCol w:w="1512"/>
        <w:gridCol w:w="2520"/>
      </w:tblGrid>
      <w:tr>
        <w:tc>
          <w:tcPr>
            <w:tcW w:type="dxa" w:w="2664"/>
            <w:shd w:val="clear" w:color="auto" w:fill="EAF0EE"/>
          </w:tcPr>
          <w:p>
            <w:pPr>
              <w:spacing w:after="20"/>
            </w:pPr>
            <w:r>
              <w:rPr>
                <w:b/>
                <w:color w:val="1C3A36"/>
                <w:sz w:val="17"/>
              </w:rPr>
              <w:t>Line</w:t>
            </w:r>
          </w:p>
        </w:tc>
        <w:tc>
          <w:tcPr>
            <w:tcW w:type="dxa" w:w="1944"/>
            <w:shd w:val="clear" w:color="auto" w:fill="EAF0EE"/>
          </w:tcPr>
          <w:p>
            <w:pPr>
              <w:spacing w:after="20"/>
            </w:pPr>
            <w:r>
              <w:rPr>
                <w:b/>
                <w:color w:val="1C3A36"/>
                <w:sz w:val="17"/>
              </w:rPr>
              <w:t>Audited 6M to Dec-2025</w:t>
            </w:r>
          </w:p>
        </w:tc>
        <w:tc>
          <w:tcPr>
            <w:tcW w:type="dxa" w:w="1944"/>
            <w:shd w:val="clear" w:color="auto" w:fill="EAF0EE"/>
          </w:tcPr>
          <w:p>
            <w:pPr>
              <w:spacing w:after="20"/>
            </w:pPr>
            <w:r>
              <w:rPr>
                <w:b/>
                <w:color w:val="1C3A36"/>
                <w:sz w:val="17"/>
              </w:rPr>
              <w:t>Reported 6M to Jun-2026</w:t>
            </w:r>
          </w:p>
        </w:tc>
        <w:tc>
          <w:tcPr>
            <w:tcW w:type="dxa" w:w="1512"/>
            <w:shd w:val="clear" w:color="auto" w:fill="EAF0EE"/>
          </w:tcPr>
          <w:p>
            <w:pPr>
              <w:spacing w:after="20"/>
            </w:pPr>
            <w:r>
              <w:rPr>
                <w:b/>
                <w:color w:val="1C3A36"/>
                <w:sz w:val="17"/>
              </w:rPr>
              <w:t>Base year</w:t>
            </w:r>
          </w:p>
        </w:tc>
        <w:tc>
          <w:tcPr>
            <w:tcW w:type="dxa" w:w="2520"/>
            <w:shd w:val="clear" w:color="auto" w:fill="EAF0EE"/>
          </w:tcPr>
          <w:p>
            <w:pPr>
              <w:spacing w:after="20"/>
            </w:pPr>
            <w:r>
              <w:rPr>
                <w:b/>
                <w:color w:val="1C3A36"/>
                <w:sz w:val="17"/>
              </w:rPr>
              <w:t>Basis</w:t>
            </w:r>
          </w:p>
        </w:tc>
      </w:tr>
      <w:tr>
        <w:tc>
          <w:tcPr>
            <w:tcW w:type="dxa" w:w="2664"/>
          </w:tcPr>
          <w:p>
            <w:pPr>
              <w:spacing w:after="20"/>
            </w:pPr>
            <w:r>
              <w:rPr>
                <w:color w:val="1C3A36"/>
                <w:sz w:val="17"/>
              </w:rPr>
              <w:t>Net sales</w:t>
            </w:r>
          </w:p>
        </w:tc>
        <w:tc>
          <w:tcPr>
            <w:tcW w:type="dxa" w:w="1944"/>
          </w:tcPr>
          <w:p>
            <w:pPr>
              <w:spacing w:after="20"/>
              <w:jc w:val="right"/>
            </w:pPr>
            <w:r>
              <w:rPr>
                <w:color w:val="1C3A36"/>
                <w:sz w:val="17"/>
              </w:rPr>
              <w:t>20,736</w:t>
            </w:r>
          </w:p>
        </w:tc>
        <w:tc>
          <w:tcPr>
            <w:tcW w:type="dxa" w:w="1944"/>
          </w:tcPr>
          <w:p>
            <w:pPr>
              <w:spacing w:after="20"/>
              <w:jc w:val="right"/>
            </w:pPr>
            <w:r>
              <w:rPr>
                <w:color w:val="1C3A36"/>
                <w:sz w:val="17"/>
              </w:rPr>
              <w:t>26,223</w:t>
            </w:r>
          </w:p>
        </w:tc>
        <w:tc>
          <w:tcPr>
            <w:tcW w:type="dxa" w:w="1512"/>
          </w:tcPr>
          <w:p>
            <w:pPr>
              <w:spacing w:after="20"/>
              <w:jc w:val="right"/>
            </w:pPr>
            <w:r>
              <w:rPr>
                <w:color w:val="1C3A36"/>
                <w:sz w:val="17"/>
              </w:rPr>
              <w:t>46,959</w:t>
            </w:r>
          </w:p>
        </w:tc>
        <w:tc>
          <w:tcPr>
            <w:tcW w:type="dxa" w:w="2520"/>
          </w:tcPr>
          <w:p>
            <w:pPr>
              <w:spacing w:after="20"/>
            </w:pPr>
            <w:r>
              <w:rPr>
                <w:color w:val="1C3A36"/>
                <w:sz w:val="17"/>
              </w:rPr>
              <w:t>both halves as disclosed</w:t>
            </w:r>
          </w:p>
        </w:tc>
      </w:tr>
      <w:tr>
        <w:tc>
          <w:tcPr>
            <w:tcW w:type="dxa" w:w="2664"/>
          </w:tcPr>
          <w:p>
            <w:pPr>
              <w:spacing w:after="20"/>
            </w:pPr>
            <w:r>
              <w:rPr>
                <w:color w:val="1C3A36"/>
                <w:sz w:val="17"/>
              </w:rPr>
              <w:t>Gross profit</w:t>
            </w:r>
          </w:p>
        </w:tc>
        <w:tc>
          <w:tcPr>
            <w:tcW w:type="dxa" w:w="1944"/>
          </w:tcPr>
          <w:p>
            <w:pPr>
              <w:spacing w:after="20"/>
              <w:jc w:val="right"/>
            </w:pPr>
            <w:r>
              <w:rPr>
                <w:color w:val="1C3A36"/>
                <w:sz w:val="17"/>
              </w:rPr>
              <w:t>1,274</w:t>
            </w:r>
          </w:p>
        </w:tc>
        <w:tc>
          <w:tcPr>
            <w:tcW w:type="dxa" w:w="1944"/>
          </w:tcPr>
          <w:p>
            <w:pPr>
              <w:spacing w:after="20"/>
              <w:jc w:val="right"/>
            </w:pPr>
            <w:r>
              <w:rPr>
                <w:color w:val="1C3A36"/>
                <w:sz w:val="17"/>
              </w:rPr>
              <w:t>2,951</w:t>
            </w:r>
          </w:p>
        </w:tc>
        <w:tc>
          <w:tcPr>
            <w:tcW w:type="dxa" w:w="1512"/>
          </w:tcPr>
          <w:p>
            <w:pPr>
              <w:spacing w:after="20"/>
              <w:jc w:val="right"/>
            </w:pPr>
            <w:r>
              <w:rPr>
                <w:color w:val="1C3A36"/>
                <w:sz w:val="17"/>
              </w:rPr>
              <w:t>4,225</w:t>
            </w:r>
          </w:p>
        </w:tc>
        <w:tc>
          <w:tcPr>
            <w:tcW w:type="dxa" w:w="2520"/>
          </w:tcPr>
          <w:p>
            <w:pPr>
              <w:spacing w:after="20"/>
            </w:pPr>
            <w:r>
              <w:rPr>
                <w:color w:val="1C3A36"/>
                <w:sz w:val="17"/>
              </w:rPr>
              <w:t>second half SOLVED, see below</w:t>
            </w:r>
          </w:p>
        </w:tc>
      </w:tr>
      <w:tr>
        <w:tc>
          <w:tcPr>
            <w:tcW w:type="dxa" w:w="2664"/>
          </w:tcPr>
          <w:p>
            <w:pPr>
              <w:spacing w:after="20"/>
            </w:pPr>
            <w:r>
              <w:rPr>
                <w:color w:val="1C3A36"/>
                <w:sz w:val="17"/>
              </w:rPr>
              <w:t>Gross margin</w:t>
            </w:r>
          </w:p>
        </w:tc>
        <w:tc>
          <w:tcPr>
            <w:tcW w:type="dxa" w:w="1944"/>
          </w:tcPr>
          <w:p>
            <w:pPr>
              <w:spacing w:after="20"/>
              <w:jc w:val="right"/>
            </w:pPr>
            <w:r>
              <w:rPr>
                <w:color w:val="1C3A36"/>
                <w:sz w:val="17"/>
              </w:rPr>
              <w:t>6.14%</w:t>
            </w:r>
          </w:p>
        </w:tc>
        <w:tc>
          <w:tcPr>
            <w:tcW w:type="dxa" w:w="1944"/>
          </w:tcPr>
          <w:p>
            <w:pPr>
              <w:spacing w:after="20"/>
              <w:jc w:val="right"/>
            </w:pPr>
            <w:r>
              <w:rPr>
                <w:color w:val="1C3A36"/>
                <w:sz w:val="17"/>
              </w:rPr>
              <w:t>11.25%</w:t>
            </w:r>
          </w:p>
        </w:tc>
        <w:tc>
          <w:tcPr>
            <w:tcW w:type="dxa" w:w="1512"/>
          </w:tcPr>
          <w:p>
            <w:pPr>
              <w:spacing w:after="20"/>
              <w:jc w:val="right"/>
            </w:pPr>
            <w:r>
              <w:rPr>
                <w:color w:val="1C3A36"/>
                <w:sz w:val="17"/>
              </w:rPr>
              <w:t>9.00%</w:t>
            </w:r>
          </w:p>
        </w:tc>
        <w:tc>
          <w:tcPr>
            <w:tcW w:type="dxa" w:w="2520"/>
          </w:tcPr>
          <w:p>
            <w:pPr>
              <w:spacing w:after="20"/>
            </w:pPr>
            <w:r>
              <w:rPr>
                <w:color w:val="1C3A36"/>
                <w:sz w:val="17"/>
              </w:rPr>
              <w:t>output</w:t>
            </w:r>
          </w:p>
        </w:tc>
      </w:tr>
      <w:tr>
        <w:tc>
          <w:tcPr>
            <w:tcW w:type="dxa" w:w="2664"/>
          </w:tcPr>
          <w:p>
            <w:pPr>
              <w:spacing w:after="20"/>
            </w:pPr>
            <w:r>
              <w:rPr>
                <w:color w:val="1C3A36"/>
                <w:sz w:val="17"/>
              </w:rPr>
              <w:t>Operating expense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1,747</w:t>
            </w:r>
          </w:p>
        </w:tc>
        <w:tc>
          <w:tcPr>
            <w:tcW w:type="dxa" w:w="2520"/>
          </w:tcPr>
          <w:p>
            <w:pPr>
              <w:spacing w:after="20"/>
            </w:pPr>
            <w:r>
              <w:rPr>
                <w:color w:val="1C3A36"/>
                <w:sz w:val="17"/>
              </w:rPr>
              <w:t>administrative + selling + other + provisions</w:t>
            </w:r>
          </w:p>
        </w:tc>
      </w:tr>
      <w:tr>
        <w:tc>
          <w:tcPr>
            <w:tcW w:type="dxa" w:w="2664"/>
          </w:tcPr>
          <w:p>
            <w:pPr>
              <w:spacing w:after="20"/>
            </w:pPr>
            <w:r>
              <w:rPr>
                <w:color w:val="1C3A36"/>
                <w:sz w:val="17"/>
              </w:rPr>
              <w:t>Depreciation</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151</w:t>
            </w:r>
          </w:p>
        </w:tc>
        <w:tc>
          <w:tcPr>
            <w:tcW w:type="dxa" w:w="2520"/>
          </w:tcPr>
          <w:p>
            <w:pPr>
              <w:spacing w:after="20"/>
            </w:pPr>
            <w:r>
              <w:rPr>
                <w:color w:val="1C3A36"/>
                <w:sz w:val="17"/>
              </w:rPr>
              <w:t>as filed</w:t>
            </w:r>
          </w:p>
        </w:tc>
      </w:tr>
      <w:tr>
        <w:tc>
          <w:tcPr>
            <w:tcW w:type="dxa" w:w="2664"/>
          </w:tcPr>
          <w:p>
            <w:pPr>
              <w:spacing w:after="20"/>
            </w:pPr>
            <w:r>
              <w:rPr>
                <w:color w:val="1C3A36"/>
                <w:sz w:val="17"/>
              </w:rPr>
              <w:t>Cash capital expenditure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160</w:t>
            </w:r>
          </w:p>
        </w:tc>
        <w:tc>
          <w:tcPr>
            <w:tcW w:type="dxa" w:w="2520"/>
          </w:tcPr>
          <w:p>
            <w:pPr>
              <w:spacing w:after="20"/>
            </w:pPr>
            <w:r>
              <w:rPr>
                <w:color w:val="1C3A36"/>
                <w:sz w:val="17"/>
              </w:rPr>
              <w:t>as paid</w:t>
            </w:r>
          </w:p>
        </w:tc>
      </w:tr>
      <w:tr>
        <w:tc>
          <w:tcPr>
            <w:tcW w:type="dxa" w:w="2664"/>
          </w:tcPr>
          <w:p>
            <w:pPr>
              <w:spacing w:after="20"/>
            </w:pPr>
            <w:r>
              <w:rPr>
                <w:color w:val="1C3A36"/>
                <w:sz w:val="17"/>
              </w:rPr>
              <w:t>Credit interest</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301</w:t>
            </w:r>
          </w:p>
        </w:tc>
        <w:tc>
          <w:tcPr>
            <w:tcW w:type="dxa" w:w="2520"/>
          </w:tcPr>
          <w:p>
            <w:pPr>
              <w:spacing w:after="20"/>
            </w:pPr>
            <w:r>
              <w:rPr>
                <w:color w:val="1C3A36"/>
                <w:sz w:val="17"/>
              </w:rPr>
              <w:t>note 14-B</w:t>
            </w:r>
          </w:p>
        </w:tc>
      </w:tr>
      <w:tr>
        <w:tc>
          <w:tcPr>
            <w:tcW w:type="dxa" w:w="2664"/>
          </w:tcPr>
          <w:p>
            <w:pPr>
              <w:spacing w:after="20"/>
            </w:pPr>
            <w:r>
              <w:rPr>
                <w:color w:val="1C3A36"/>
                <w:sz w:val="17"/>
              </w:rPr>
              <w:t>Employees’ profit share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135</w:t>
            </w:r>
          </w:p>
        </w:tc>
        <w:tc>
          <w:tcPr>
            <w:tcW w:type="dxa" w:w="2520"/>
          </w:tcPr>
          <w:p>
            <w:pPr>
              <w:spacing w:after="20"/>
            </w:pPr>
            <w:r>
              <w:rPr>
                <w:color w:val="1C3A36"/>
                <w:sz w:val="17"/>
              </w:rPr>
              <w:t>note 16</w:t>
            </w:r>
          </w:p>
        </w:tc>
      </w:tr>
    </w:tbl>
    <w:p>
      <w:pPr>
        <w:spacing w:after="40"/>
      </w:pPr>
    </w:p>
    <w:p>
      <w:pPr>
        <w:spacing w:after="200" w:before="0"/>
      </w:pPr>
      <w:r>
        <w:rPr>
          <w:b w:val="0"/>
          <w:i/>
          <w:color w:val="6E7B77"/>
          <w:sz w:val="17"/>
        </w:rPr>
        <w:t>Table 4 — the base year. Every operating line is struck on the SAME twelve months as revenue and gross profit. The previous edition built revenue from the six-month product table doubled while annualising cost of sales from nine months by four thirds, so its base-year gross margin of 7.081% corresponded to no filed period at all. One period, both sides, or the margin is an artefact of the scalars.</w:t>
      </w:r>
    </w:p>
    <w:p>
      <w:pPr>
        <w:spacing w:after="120" w:before="0"/>
      </w:pPr>
      <w:r>
        <w:rPr>
          <w:b w:val="0"/>
          <w:i w:val="0"/>
          <w:color w:val="1C3A36"/>
          <w:sz w:val="21"/>
        </w:rPr>
        <w:t>THE RELEASED GROSS PROFIT IS REJECTED. The release states gross profit of EGP 3,258mn for the half. Run through the company’s own first-quarter expense run rates, that figure implies profit after tax of EGP 2,142mn against the EGP 1,903mn the SAME release reports — 12.6% too high. At least one of the two released lines is wrong. Three tests decide which: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4752"/>
        <w:gridCol w:w="1800"/>
        <w:gridCol w:w="2376"/>
      </w:tblGrid>
      <w:tr>
        <w:tc>
          <w:tcPr>
            <w:tcW w:type="dxa" w:w="1584"/>
            <w:shd w:val="clear" w:color="auto" w:fill="EAF0EE"/>
          </w:tcPr>
          <w:p>
            <w:pPr>
              <w:spacing w:after="20"/>
            </w:pPr>
            <w:r>
              <w:rPr>
                <w:b/>
                <w:color w:val="1C3A36"/>
                <w:sz w:val="17"/>
              </w:rPr>
              <w:t>Test</w:t>
            </w:r>
          </w:p>
        </w:tc>
        <w:tc>
          <w:tcPr>
            <w:tcW w:type="dxa" w:w="4752"/>
            <w:shd w:val="clear" w:color="auto" w:fill="EAF0EE"/>
          </w:tcPr>
          <w:p>
            <w:pPr>
              <w:spacing w:after="20"/>
            </w:pPr>
            <w:r>
              <w:rPr>
                <w:b/>
                <w:color w:val="1C3A36"/>
                <w:sz w:val="17"/>
              </w:rPr>
              <w:t>What is compared</w:t>
            </w:r>
          </w:p>
        </w:tc>
        <w:tc>
          <w:tcPr>
            <w:tcW w:type="dxa" w:w="1800"/>
            <w:shd w:val="clear" w:color="auto" w:fill="EAF0EE"/>
          </w:tcPr>
          <w:p>
            <w:pPr>
              <w:spacing w:after="20"/>
            </w:pPr>
            <w:r>
              <w:rPr>
                <w:b/>
                <w:color w:val="1C3A36"/>
                <w:sz w:val="17"/>
              </w:rPr>
              <w:t>Result</w:t>
            </w:r>
          </w:p>
        </w:tc>
        <w:tc>
          <w:tcPr>
            <w:tcW w:type="dxa" w:w="2376"/>
            <w:shd w:val="clear" w:color="auto" w:fill="EAF0EE"/>
          </w:tcPr>
          <w:p>
            <w:pPr>
              <w:spacing w:after="20"/>
            </w:pPr>
            <w:r>
              <w:rPr>
                <w:b/>
                <w:color w:val="1C3A36"/>
                <w:sz w:val="17"/>
              </w:rPr>
              <w:t>Verdict</w:t>
            </w:r>
          </w:p>
        </w:tc>
      </w:tr>
      <w:tr>
        <w:tc>
          <w:tcPr>
            <w:tcW w:type="dxa" w:w="1584"/>
          </w:tcPr>
          <w:p>
            <w:pPr>
              <w:spacing w:after="20"/>
            </w:pPr>
            <w:r>
              <w:rPr>
                <w:color w:val="1C3A36"/>
                <w:sz w:val="17"/>
              </w:rPr>
              <w:t>1 — profit</w:t>
            </w:r>
          </w:p>
        </w:tc>
        <w:tc>
          <w:tcPr>
            <w:tcW w:type="dxa" w:w="4752"/>
          </w:tcPr>
          <w:p>
            <w:pPr>
              <w:spacing w:after="20"/>
            </w:pPr>
            <w:r>
              <w:rPr>
                <w:color w:val="1C3A36"/>
                <w:sz w:val="17"/>
              </w:rPr>
              <w:t>reported majority profit against the "+109%" growth applied to Jan-Jun 2025 majority profit read off the AUDITED statement of changes in equity</w:t>
            </w:r>
          </w:p>
        </w:tc>
        <w:tc>
          <w:tcPr>
            <w:tcW w:type="dxa" w:w="1800"/>
          </w:tcPr>
          <w:p>
            <w:pPr>
              <w:spacing w:after="20"/>
              <w:jc w:val="right"/>
            </w:pPr>
            <w:r>
              <w:rPr>
                <w:color w:val="1C3A36"/>
                <w:sz w:val="17"/>
              </w:rPr>
              <w:t>agree within 1.2%</w:t>
            </w:r>
          </w:p>
        </w:tc>
        <w:tc>
          <w:tcPr>
            <w:tcW w:type="dxa" w:w="2376"/>
          </w:tcPr>
          <w:p>
            <w:pPr>
              <w:spacing w:after="20"/>
            </w:pPr>
            <w:r>
              <w:rPr>
                <w:color w:val="1C3A36"/>
                <w:sz w:val="17"/>
              </w:rPr>
              <w:t>CONFIRMS the profit line</w:t>
            </w:r>
          </w:p>
        </w:tc>
      </w:tr>
      <w:tr>
        <w:tc>
          <w:tcPr>
            <w:tcW w:type="dxa" w:w="1584"/>
          </w:tcPr>
          <w:p>
            <w:pPr>
              <w:spacing w:after="20"/>
            </w:pPr>
            <w:r>
              <w:rPr>
                <w:color w:val="1C3A36"/>
                <w:sz w:val="17"/>
              </w:rPr>
              <w:t>2 — revenue</w:t>
            </w:r>
          </w:p>
        </w:tc>
        <w:tc>
          <w:tcPr>
            <w:tcW w:type="dxa" w:w="4752"/>
          </w:tcPr>
          <w:p>
            <w:pPr>
              <w:spacing w:after="20"/>
            </w:pPr>
            <w:r>
              <w:rPr>
                <w:color w:val="1C3A36"/>
                <w:sz w:val="17"/>
              </w:rPr>
              <w:t>reported revenue triangulated back to a twelve-month figure to Jun-2025 against an independent route through the audited comparatives</w:t>
            </w:r>
          </w:p>
        </w:tc>
        <w:tc>
          <w:tcPr>
            <w:tcW w:type="dxa" w:w="1800"/>
          </w:tcPr>
          <w:p>
            <w:pPr>
              <w:spacing w:after="20"/>
              <w:jc w:val="right"/>
            </w:pPr>
            <w:r>
              <w:rPr>
                <w:color w:val="1C3A36"/>
                <w:sz w:val="17"/>
              </w:rPr>
              <w:t>agree within 0.2%</w:t>
            </w:r>
          </w:p>
        </w:tc>
        <w:tc>
          <w:tcPr>
            <w:tcW w:type="dxa" w:w="2376"/>
          </w:tcPr>
          <w:p>
            <w:pPr>
              <w:spacing w:after="20"/>
            </w:pPr>
            <w:r>
              <w:rPr>
                <w:color w:val="1C3A36"/>
                <w:sz w:val="17"/>
              </w:rPr>
              <w:t>CONFIRMS the revenue line</w:t>
            </w:r>
          </w:p>
        </w:tc>
      </w:tr>
      <w:tr>
        <w:tc>
          <w:tcPr>
            <w:tcW w:type="dxa" w:w="1584"/>
          </w:tcPr>
          <w:p>
            <w:pPr>
              <w:spacing w:after="20"/>
            </w:pPr>
            <w:r>
              <w:rPr>
                <w:color w:val="1C3A36"/>
                <w:sz w:val="17"/>
              </w:rPr>
              <w:t>3 — gross profit</w:t>
            </w:r>
          </w:p>
        </w:tc>
        <w:tc>
          <w:tcPr>
            <w:tcW w:type="dxa" w:w="4752"/>
          </w:tcPr>
          <w:p>
            <w:pPr>
              <w:spacing w:after="20"/>
            </w:pPr>
            <w:r>
              <w:rPr>
                <w:color w:val="1C3A36"/>
                <w:sz w:val="17"/>
              </w:rPr>
              <w:t>released gross profit run down to profit after tax on Q1-2026 expense run rates, against the profit in the same release</w:t>
            </w:r>
          </w:p>
        </w:tc>
        <w:tc>
          <w:tcPr>
            <w:tcW w:type="dxa" w:w="1800"/>
          </w:tcPr>
          <w:p>
            <w:pPr>
              <w:spacing w:after="20"/>
              <w:jc w:val="right"/>
            </w:pPr>
            <w:r>
              <w:rPr>
                <w:color w:val="1C3A36"/>
                <w:sz w:val="17"/>
              </w:rPr>
              <w:t>disagree by 12.6%</w:t>
            </w:r>
          </w:p>
        </w:tc>
        <w:tc>
          <w:tcPr>
            <w:tcW w:type="dxa" w:w="2376"/>
          </w:tcPr>
          <w:p>
            <w:pPr>
              <w:spacing w:after="20"/>
            </w:pPr>
            <w:r>
              <w:rPr>
                <w:color w:val="1C3A36"/>
                <w:sz w:val="17"/>
              </w:rPr>
              <w:t>REFUTES the gross-profit line</w:t>
            </w:r>
          </w:p>
        </w:tc>
      </w:tr>
    </w:tbl>
    <w:p>
      <w:pPr>
        <w:spacing w:after="40"/>
      </w:pPr>
    </w:p>
    <w:p>
      <w:pPr>
        <w:spacing w:after="200" w:before="0"/>
      </w:pPr>
      <w:r>
        <w:rPr>
          <w:b w:val="0"/>
          <w:i/>
          <w:color w:val="6E7B77"/>
          <w:sz w:val="17"/>
        </w:rPr>
        <w:t>Table 5 — three coherence tests, run before the figure was used. Two independent tests confirm the profit and revenue lines; the third refutes the gross-profit line. Gross profit is therefore SOLVED from the release’s own profit: EGP 2,951mn, putting the implied Q2-2026 gross margin at 12.0% rather than the 13.9% the released line would require. The whole solve is a live formula block on the Base Year sheet of the companion workbook.</w:t>
      </w:r>
    </w:p>
    <w:p>
      <w:pPr>
        <w:spacing w:after="120" w:before="0"/>
      </w:pPr>
      <w:r>
        <w:rPr>
          <w:b w:val="0"/>
          <w:i w:val="0"/>
          <w:color w:val="1C3A36"/>
          <w:sz w:val="21"/>
        </w:rPr>
        <w:t>The fully-audited alternative is published beside the headline rather than discarded: the nine audited-and-reviewed months to 31 March 2026, annualised by four thirds, give revenue of EGP 41,662mn at a 7.51% margin. The gap to the headline base is +12.7% on revenue and +1.49% on margin. That gap is a real uncertainty about this company and it is disclosed, not averaged away.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800"/>
        <w:gridCol w:w="1800"/>
        <w:gridCol w:w="1656"/>
        <w:gridCol w:w="1944"/>
      </w:tblGrid>
      <w:tr>
        <w:tc>
          <w:tcPr>
            <w:tcW w:type="dxa" w:w="2448"/>
            <w:shd w:val="clear" w:color="auto" w:fill="EAF0EE"/>
          </w:tcPr>
          <w:p>
            <w:pPr>
              <w:spacing w:after="20"/>
            </w:pPr>
            <w:r>
              <w:rPr>
                <w:b/>
                <w:color w:val="1C3A36"/>
                <w:sz w:val="18"/>
              </w:rPr>
              <w:t>Period</w:t>
            </w:r>
          </w:p>
        </w:tc>
        <w:tc>
          <w:tcPr>
            <w:tcW w:type="dxa" w:w="1800"/>
            <w:shd w:val="clear" w:color="auto" w:fill="EAF0EE"/>
          </w:tcPr>
          <w:p>
            <w:pPr>
              <w:spacing w:after="20"/>
            </w:pPr>
            <w:r>
              <w:rPr>
                <w:b/>
                <w:color w:val="1C3A36"/>
                <w:sz w:val="18"/>
              </w:rPr>
              <w:t>Net sales</w:t>
            </w:r>
          </w:p>
        </w:tc>
        <w:tc>
          <w:tcPr>
            <w:tcW w:type="dxa" w:w="1800"/>
            <w:shd w:val="clear" w:color="auto" w:fill="EAF0EE"/>
          </w:tcPr>
          <w:p>
            <w:pPr>
              <w:spacing w:after="20"/>
            </w:pPr>
            <w:r>
              <w:rPr>
                <w:b/>
                <w:color w:val="1C3A36"/>
                <w:sz w:val="18"/>
              </w:rPr>
              <w:t>Gross profit</w:t>
            </w:r>
          </w:p>
        </w:tc>
        <w:tc>
          <w:tcPr>
            <w:tcW w:type="dxa" w:w="1656"/>
            <w:shd w:val="clear" w:color="auto" w:fill="EAF0EE"/>
          </w:tcPr>
          <w:p>
            <w:pPr>
              <w:spacing w:after="20"/>
            </w:pPr>
            <w:r>
              <w:rPr>
                <w:b/>
                <w:color w:val="1C3A36"/>
                <w:sz w:val="18"/>
              </w:rPr>
              <w:t>Gross margin</w:t>
            </w:r>
          </w:p>
        </w:tc>
        <w:tc>
          <w:tcPr>
            <w:tcW w:type="dxa" w:w="1944"/>
            <w:shd w:val="clear" w:color="auto" w:fill="EAF0EE"/>
          </w:tcPr>
          <w:p>
            <w:pPr>
              <w:spacing w:after="20"/>
            </w:pPr>
            <w:r>
              <w:rPr>
                <w:b/>
                <w:color w:val="1C3A36"/>
                <w:sz w:val="18"/>
              </w:rPr>
              <w:t>Operating profit</w:t>
            </w:r>
          </w:p>
        </w:tc>
      </w:tr>
      <w:tr>
        <w:tc>
          <w:tcPr>
            <w:tcW w:type="dxa" w:w="2448"/>
          </w:tcPr>
          <w:p>
            <w:pPr>
              <w:spacing w:after="20"/>
            </w:pPr>
            <w:r>
              <w:rPr>
                <w:color w:val="1C3A36"/>
                <w:sz w:val="18"/>
              </w:rPr>
              <w:t>6M Dec-2024</w:t>
            </w:r>
          </w:p>
        </w:tc>
        <w:tc>
          <w:tcPr>
            <w:tcW w:type="dxa" w:w="1800"/>
          </w:tcPr>
          <w:p>
            <w:pPr>
              <w:spacing w:after="20"/>
              <w:jc w:val="right"/>
            </w:pPr>
            <w:r>
              <w:rPr>
                <w:color w:val="1C3A36"/>
                <w:sz w:val="18"/>
              </w:rPr>
              <w:t>18,246</w:t>
            </w:r>
          </w:p>
        </w:tc>
        <w:tc>
          <w:tcPr>
            <w:tcW w:type="dxa" w:w="1800"/>
          </w:tcPr>
          <w:p>
            <w:pPr>
              <w:spacing w:after="20"/>
              <w:jc w:val="right"/>
            </w:pPr>
            <w:r>
              <w:rPr>
                <w:color w:val="1C3A36"/>
                <w:sz w:val="18"/>
              </w:rPr>
              <w:t>1,251</w:t>
            </w:r>
          </w:p>
        </w:tc>
        <w:tc>
          <w:tcPr>
            <w:tcW w:type="dxa" w:w="1656"/>
          </w:tcPr>
          <w:p>
            <w:pPr>
              <w:spacing w:after="20"/>
              <w:jc w:val="right"/>
            </w:pPr>
            <w:r>
              <w:rPr>
                <w:color w:val="1C3A36"/>
                <w:sz w:val="18"/>
              </w:rPr>
              <w:t>6.85%</w:t>
            </w:r>
          </w:p>
        </w:tc>
        <w:tc>
          <w:tcPr>
            <w:tcW w:type="dxa" w:w="1944"/>
          </w:tcPr>
          <w:p>
            <w:pPr>
              <w:spacing w:after="20"/>
              <w:jc w:val="right"/>
            </w:pPr>
            <w:r>
              <w:rPr>
                <w:color w:val="1C3A36"/>
                <w:sz w:val="18"/>
              </w:rPr>
              <w:t>744</w:t>
            </w:r>
          </w:p>
        </w:tc>
      </w:tr>
      <w:tr>
        <w:tc>
          <w:tcPr>
            <w:tcW w:type="dxa" w:w="2448"/>
          </w:tcPr>
          <w:p>
            <w:pPr>
              <w:spacing w:after="20"/>
            </w:pPr>
            <w:r>
              <w:rPr>
                <w:color w:val="1C3A36"/>
                <w:sz w:val="18"/>
              </w:rPr>
              <w:t>3M Mar-2025</w:t>
            </w:r>
          </w:p>
        </w:tc>
        <w:tc>
          <w:tcPr>
            <w:tcW w:type="dxa" w:w="1800"/>
          </w:tcPr>
          <w:p>
            <w:pPr>
              <w:spacing w:after="20"/>
              <w:jc w:val="right"/>
            </w:pPr>
            <w:r>
              <w:rPr>
                <w:color w:val="1C3A36"/>
                <w:sz w:val="18"/>
              </w:rPr>
              <w:t>10,068</w:t>
            </w:r>
          </w:p>
        </w:tc>
        <w:tc>
          <w:tcPr>
            <w:tcW w:type="dxa" w:w="1800"/>
          </w:tcPr>
          <w:p>
            <w:pPr>
              <w:spacing w:after="20"/>
              <w:jc w:val="right"/>
            </w:pPr>
            <w:r>
              <w:rPr>
                <w:color w:val="1C3A36"/>
                <w:sz w:val="18"/>
              </w:rPr>
              <w:t>509</w:t>
            </w:r>
          </w:p>
        </w:tc>
        <w:tc>
          <w:tcPr>
            <w:tcW w:type="dxa" w:w="1656"/>
          </w:tcPr>
          <w:p>
            <w:pPr>
              <w:spacing w:after="20"/>
              <w:jc w:val="right"/>
            </w:pPr>
            <w:r>
              <w:rPr>
                <w:color w:val="1C3A36"/>
                <w:sz w:val="18"/>
              </w:rPr>
              <w:t>5.05%</w:t>
            </w:r>
          </w:p>
        </w:tc>
        <w:tc>
          <w:tcPr>
            <w:tcW w:type="dxa" w:w="1944"/>
          </w:tcPr>
          <w:p>
            <w:pPr>
              <w:spacing w:after="20"/>
              <w:jc w:val="right"/>
            </w:pPr>
            <w:r>
              <w:rPr>
                <w:color w:val="1C3A36"/>
                <w:sz w:val="18"/>
              </w:rPr>
              <w:t>247</w:t>
            </w:r>
          </w:p>
        </w:tc>
      </w:tr>
      <w:tr>
        <w:tc>
          <w:tcPr>
            <w:tcW w:type="dxa" w:w="2448"/>
          </w:tcPr>
          <w:p>
            <w:pPr>
              <w:spacing w:after="20"/>
            </w:pPr>
            <w:r>
              <w:rPr>
                <w:color w:val="1C3A36"/>
                <w:sz w:val="18"/>
              </w:rPr>
              <w:t>6M Dec-2025</w:t>
            </w:r>
          </w:p>
        </w:tc>
        <w:tc>
          <w:tcPr>
            <w:tcW w:type="dxa" w:w="1800"/>
          </w:tcPr>
          <w:p>
            <w:pPr>
              <w:spacing w:after="20"/>
              <w:jc w:val="right"/>
            </w:pPr>
            <w:r>
              <w:rPr>
                <w:color w:val="1C3A36"/>
                <w:sz w:val="18"/>
              </w:rPr>
              <w:t>20,736</w:t>
            </w:r>
          </w:p>
        </w:tc>
        <w:tc>
          <w:tcPr>
            <w:tcW w:type="dxa" w:w="1800"/>
          </w:tcPr>
          <w:p>
            <w:pPr>
              <w:spacing w:after="20"/>
              <w:jc w:val="right"/>
            </w:pPr>
            <w:r>
              <w:rPr>
                <w:color w:val="1C3A36"/>
                <w:sz w:val="18"/>
              </w:rPr>
              <w:t>1,274</w:t>
            </w:r>
          </w:p>
        </w:tc>
        <w:tc>
          <w:tcPr>
            <w:tcW w:type="dxa" w:w="1656"/>
          </w:tcPr>
          <w:p>
            <w:pPr>
              <w:spacing w:after="20"/>
              <w:jc w:val="right"/>
            </w:pPr>
            <w:r>
              <w:rPr>
                <w:color w:val="1C3A36"/>
                <w:sz w:val="18"/>
              </w:rPr>
              <w:t>6.14%</w:t>
            </w:r>
          </w:p>
        </w:tc>
        <w:tc>
          <w:tcPr>
            <w:tcW w:type="dxa" w:w="1944"/>
          </w:tcPr>
          <w:p>
            <w:pPr>
              <w:spacing w:after="20"/>
              <w:jc w:val="right"/>
            </w:pPr>
            <w:r>
              <w:rPr>
                <w:color w:val="1C3A36"/>
                <w:sz w:val="18"/>
              </w:rPr>
              <w:t>486</w:t>
            </w:r>
          </w:p>
        </w:tc>
      </w:tr>
      <w:tr>
        <w:tc>
          <w:tcPr>
            <w:tcW w:type="dxa" w:w="2448"/>
          </w:tcPr>
          <w:p>
            <w:pPr>
              <w:spacing w:after="20"/>
            </w:pPr>
            <w:r>
              <w:rPr>
                <w:color w:val="1C3A36"/>
                <w:sz w:val="18"/>
              </w:rPr>
              <w:t>3M Mar-2026</w:t>
            </w:r>
          </w:p>
        </w:tc>
        <w:tc>
          <w:tcPr>
            <w:tcW w:type="dxa" w:w="1800"/>
          </w:tcPr>
          <w:p>
            <w:pPr>
              <w:spacing w:after="20"/>
              <w:jc w:val="right"/>
            </w:pPr>
            <w:r>
              <w:rPr>
                <w:color w:val="1C3A36"/>
                <w:sz w:val="18"/>
              </w:rPr>
              <w:t>10,511</w:t>
            </w:r>
          </w:p>
        </w:tc>
        <w:tc>
          <w:tcPr>
            <w:tcW w:type="dxa" w:w="1800"/>
          </w:tcPr>
          <w:p>
            <w:pPr>
              <w:spacing w:after="20"/>
              <w:jc w:val="right"/>
            </w:pPr>
            <w:r>
              <w:rPr>
                <w:color w:val="1C3A36"/>
                <w:sz w:val="18"/>
              </w:rPr>
              <w:t>1,071</w:t>
            </w:r>
          </w:p>
        </w:tc>
        <w:tc>
          <w:tcPr>
            <w:tcW w:type="dxa" w:w="1656"/>
          </w:tcPr>
          <w:p>
            <w:pPr>
              <w:spacing w:after="20"/>
              <w:jc w:val="right"/>
            </w:pPr>
            <w:r>
              <w:rPr>
                <w:color w:val="1C3A36"/>
                <w:sz w:val="18"/>
              </w:rPr>
              <w:t>10.19%</w:t>
            </w:r>
          </w:p>
        </w:tc>
        <w:tc>
          <w:tcPr>
            <w:tcW w:type="dxa" w:w="1944"/>
          </w:tcPr>
          <w:p>
            <w:pPr>
              <w:spacing w:after="20"/>
              <w:jc w:val="right"/>
            </w:pPr>
            <w:r>
              <w:rPr>
                <w:color w:val="1C3A36"/>
                <w:sz w:val="18"/>
              </w:rPr>
              <w:t>643</w:t>
            </w:r>
          </w:p>
        </w:tc>
      </w:tr>
    </w:tbl>
    <w:p>
      <w:pPr>
        <w:spacing w:after="40"/>
      </w:pPr>
    </w:p>
    <w:p>
      <w:pPr>
        <w:spacing w:after="200" w:before="0"/>
      </w:pPr>
      <w:r>
        <w:rPr>
          <w:b w:val="0"/>
          <w:i/>
          <w:color w:val="6E7B77"/>
          <w:sz w:val="17"/>
        </w:rPr>
        <w:t>Table 6 — the filed margin record. Four consecutively filed periods; the margin ranges 5.05% to 10.19%, a spread of 514 basis points. Nothing here is modelled. The margin is administered, not competed: read this as a policy record.</w:t>
      </w:r>
    </w:p>
    <w:p>
      <w:pPr>
        <w:spacing w:after="80" w:before="200"/>
      </w:pPr>
      <w:r>
        <w:rPr>
          <w:b/>
          <w:i w:val="0"/>
          <w:color w:val="1C3A36"/>
          <w:sz w:val="24"/>
        </w:rPr>
        <w:t>1.3  Three charges the reported profit hides — and which this study takes</w:t>
      </w:r>
    </w:p>
    <w:p>
      <w:pPr>
        <w:spacing w:after="120" w:before="0"/>
      </w:pPr>
      <w:r>
        <w:rPr>
          <w:b w:val="0"/>
          <w:i w:val="0"/>
          <w:color w:val="1C3A36"/>
          <w:sz w:val="21"/>
        </w:rPr>
        <w:t>Each of the following is disclosed in the filings, was registered as an input by the previous edition of this study, and was then read by no formula in it. All three are charged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160"/>
        <w:gridCol w:w="1584"/>
        <w:gridCol w:w="3384"/>
        <w:gridCol w:w="1800"/>
      </w:tblGrid>
      <w:tr>
        <w:tc>
          <w:tcPr>
            <w:tcW w:type="dxa" w:w="2304"/>
            <w:shd w:val="clear" w:color="auto" w:fill="EAF0EE"/>
          </w:tcPr>
          <w:p>
            <w:pPr>
              <w:spacing w:after="20"/>
            </w:pPr>
            <w:r>
              <w:rPr>
                <w:b/>
                <w:color w:val="1C3A36"/>
                <w:sz w:val="17"/>
              </w:rPr>
              <w:t>Charge</w:t>
            </w:r>
          </w:p>
        </w:tc>
        <w:tc>
          <w:tcPr>
            <w:tcW w:type="dxa" w:w="2160"/>
            <w:shd w:val="clear" w:color="auto" w:fill="EAF0EE"/>
          </w:tcPr>
          <w:p>
            <w:pPr>
              <w:spacing w:after="20"/>
            </w:pPr>
            <w:r>
              <w:rPr>
                <w:b/>
                <w:color w:val="1C3A36"/>
                <w:sz w:val="17"/>
              </w:rPr>
              <w:t>Disclosed</w:t>
            </w:r>
          </w:p>
        </w:tc>
        <w:tc>
          <w:tcPr>
            <w:tcW w:type="dxa" w:w="1584"/>
            <w:shd w:val="clear" w:color="auto" w:fill="EAF0EE"/>
          </w:tcPr>
          <w:p>
            <w:pPr>
              <w:spacing w:after="20"/>
            </w:pPr>
            <w:r>
              <w:rPr>
                <w:b/>
                <w:color w:val="1C3A36"/>
                <w:sz w:val="17"/>
              </w:rPr>
              <w:t>Annualised</w:t>
            </w:r>
          </w:p>
        </w:tc>
        <w:tc>
          <w:tcPr>
            <w:tcW w:type="dxa" w:w="3384"/>
            <w:shd w:val="clear" w:color="auto" w:fill="EAF0EE"/>
          </w:tcPr>
          <w:p>
            <w:pPr>
              <w:spacing w:after="20"/>
            </w:pPr>
            <w:r>
              <w:rPr>
                <w:b/>
                <w:color w:val="1C3A36"/>
                <w:sz w:val="17"/>
              </w:rPr>
              <w:t>Where it belongs</w:t>
            </w:r>
          </w:p>
        </w:tc>
        <w:tc>
          <w:tcPr>
            <w:tcW w:type="dxa" w:w="1800"/>
            <w:shd w:val="clear" w:color="auto" w:fill="EAF0EE"/>
          </w:tcPr>
          <w:p>
            <w:pPr>
              <w:spacing w:after="20"/>
            </w:pPr>
            <w:r>
              <w:rPr>
                <w:b/>
                <w:color w:val="1C3A36"/>
                <w:sz w:val="17"/>
              </w:rPr>
              <w:t>Central WITHOUT it</w:t>
            </w:r>
          </w:p>
        </w:tc>
      </w:tr>
      <w:tr>
        <w:tc>
          <w:tcPr>
            <w:tcW w:type="dxa" w:w="2304"/>
          </w:tcPr>
          <w:p>
            <w:pPr>
              <w:spacing w:after="20"/>
            </w:pPr>
            <w:r>
              <w:rPr>
                <w:color w:val="1C3A36"/>
                <w:sz w:val="17"/>
              </w:rPr>
              <w:t>Employees’ profit share and board bonuses</w:t>
            </w:r>
          </w:p>
        </w:tc>
        <w:tc>
          <w:tcPr>
            <w:tcW w:type="dxa" w:w="2160"/>
          </w:tcPr>
          <w:p>
            <w:pPr>
              <w:spacing w:after="20"/>
            </w:pPr>
            <w:r>
              <w:rPr>
                <w:color w:val="1C3A36"/>
                <w:sz w:val="17"/>
              </w:rPr>
              <w:t>EGP 67mn in the audited half (note 16)</w:t>
            </w:r>
          </w:p>
        </w:tc>
        <w:tc>
          <w:tcPr>
            <w:tcW w:type="dxa" w:w="1584"/>
          </w:tcPr>
          <w:p>
            <w:pPr>
              <w:spacing w:after="20"/>
            </w:pPr>
            <w:r>
              <w:rPr>
                <w:color w:val="1C3A36"/>
                <w:sz w:val="17"/>
              </w:rPr>
              <w:t>5.27% of profit after tax</w:t>
            </w:r>
          </w:p>
        </w:tc>
        <w:tc>
          <w:tcPr>
            <w:tcW w:type="dxa" w:w="3384"/>
          </w:tcPr>
          <w:p>
            <w:pPr>
              <w:spacing w:after="20"/>
            </w:pPr>
            <w:r>
              <w:rPr>
                <w:color w:val="1C3A36"/>
                <w:sz w:val="17"/>
              </w:rPr>
              <w:t>charged in the waterfall and in normalised earnings — a contractual appropriation that reaches neither the shareholder nor the tax line</w:t>
            </w:r>
          </w:p>
        </w:tc>
        <w:tc>
          <w:tcPr>
            <w:tcW w:type="dxa" w:w="1800"/>
          </w:tcPr>
          <w:p>
            <w:pPr>
              <w:spacing w:after="20"/>
              <w:jc w:val="right"/>
            </w:pPr>
            <w:r>
              <w:rPr>
                <w:color w:val="1C3A36"/>
                <w:sz w:val="17"/>
              </w:rPr>
              <w:t>6.16  (+3.4%)</w:t>
            </w:r>
          </w:p>
        </w:tc>
      </w:tr>
      <w:tr>
        <w:tc>
          <w:tcPr>
            <w:tcW w:type="dxa" w:w="2304"/>
          </w:tcPr>
          <w:p>
            <w:pPr>
              <w:spacing w:after="20"/>
            </w:pPr>
            <w:r>
              <w:rPr>
                <w:color w:val="1C3A36"/>
                <w:sz w:val="17"/>
              </w:rPr>
              <w:t>Provision for tax disputes and claims</w:t>
            </w:r>
          </w:p>
        </w:tc>
        <w:tc>
          <w:tcPr>
            <w:tcW w:type="dxa" w:w="2160"/>
          </w:tcPr>
          <w:p>
            <w:pPr>
              <w:spacing w:after="20"/>
            </w:pPr>
            <w:r>
              <w:rPr>
                <w:color w:val="1C3A36"/>
                <w:sz w:val="17"/>
              </w:rPr>
              <w:t>EGP 921mn at 31-Dec-2025 (note 10-1)</w:t>
            </w:r>
          </w:p>
        </w:tc>
        <w:tc>
          <w:tcPr>
            <w:tcW w:type="dxa" w:w="1584"/>
          </w:tcPr>
          <w:p>
            <w:pPr>
              <w:spacing w:after="20"/>
            </w:pPr>
            <w:r>
              <w:rPr>
                <w:color w:val="1C3A36"/>
                <w:sz w:val="17"/>
              </w:rPr>
              <w:t>one-off, at face</w:t>
            </w:r>
          </w:p>
        </w:tc>
        <w:tc>
          <w:tcPr>
            <w:tcW w:type="dxa" w:w="3384"/>
          </w:tcPr>
          <w:p>
            <w:pPr>
              <w:spacing w:after="20"/>
            </w:pPr>
            <w:r>
              <w:rPr>
                <w:color w:val="1C3A36"/>
                <w:sz w:val="17"/>
              </w:rPr>
              <w:t>deducted in the equity bridge as a senior claim on the cash</w:t>
            </w:r>
          </w:p>
        </w:tc>
        <w:tc>
          <w:tcPr>
            <w:tcW w:type="dxa" w:w="1800"/>
          </w:tcPr>
          <w:p>
            <w:pPr>
              <w:spacing w:after="20"/>
              <w:jc w:val="right"/>
            </w:pPr>
            <w:r>
              <w:rPr>
                <w:color w:val="1C3A36"/>
                <w:sz w:val="17"/>
              </w:rPr>
              <w:t>6.56  (+10.2%)</w:t>
            </w:r>
          </w:p>
        </w:tc>
      </w:tr>
      <w:tr>
        <w:tc>
          <w:tcPr>
            <w:tcW w:type="dxa" w:w="2304"/>
          </w:tcPr>
          <w:p>
            <w:pPr>
              <w:spacing w:after="20"/>
            </w:pPr>
            <w:r>
              <w:rPr>
                <w:color w:val="1C3A36"/>
                <w:sz w:val="17"/>
              </w:rPr>
              <w:t>Dividends payable, declared and unpaid</w:t>
            </w:r>
          </w:p>
        </w:tc>
        <w:tc>
          <w:tcPr>
            <w:tcW w:type="dxa" w:w="2160"/>
          </w:tcPr>
          <w:p>
            <w:pPr>
              <w:spacing w:after="20"/>
            </w:pPr>
            <w:r>
              <w:rPr>
                <w:color w:val="1C3A36"/>
                <w:sz w:val="17"/>
              </w:rPr>
              <w:t>EGP 517mn at 31-Dec-2025 (note 11)</w:t>
            </w:r>
          </w:p>
        </w:tc>
        <w:tc>
          <w:tcPr>
            <w:tcW w:type="dxa" w:w="1584"/>
          </w:tcPr>
          <w:p>
            <w:pPr>
              <w:spacing w:after="20"/>
            </w:pPr>
            <w:r>
              <w:rPr>
                <w:color w:val="1C3A36"/>
                <w:sz w:val="17"/>
              </w:rPr>
              <w:t>one-off, at face</w:t>
            </w:r>
          </w:p>
        </w:tc>
        <w:tc>
          <w:tcPr>
            <w:tcW w:type="dxa" w:w="3384"/>
          </w:tcPr>
          <w:p>
            <w:pPr>
              <w:spacing w:after="20"/>
            </w:pPr>
            <w:r>
              <w:rPr>
                <w:color w:val="1C3A36"/>
                <w:sz w:val="17"/>
              </w:rPr>
              <w:t>removed from operating working capital and deducted in the bridge</w:t>
            </w:r>
          </w:p>
        </w:tc>
        <w:tc>
          <w:tcPr>
            <w:tcW w:type="dxa" w:w="1800"/>
          </w:tcPr>
          <w:p>
            <w:pPr>
              <w:spacing w:after="20"/>
              <w:jc w:val="right"/>
            </w:pPr>
            <w:r>
              <w:rPr>
                <w:color w:val="1C3A36"/>
                <w:sz w:val="17"/>
              </w:rPr>
              <w:t>6.39  (+7.3%)</w:t>
            </w:r>
          </w:p>
        </w:tc>
      </w:tr>
    </w:tbl>
    <w:p>
      <w:pPr>
        <w:spacing w:after="40"/>
      </w:pPr>
    </w:p>
    <w:p>
      <w:pPr>
        <w:spacing w:after="200" w:before="0"/>
      </w:pPr>
      <w:r>
        <w:rPr>
          <w:b w:val="0"/>
          <w:i/>
          <w:color w:val="6E7B77"/>
          <w:sz w:val="17"/>
        </w:rPr>
        <w:t>Table 7 — the three charges. The rightmost column is the weighted central this study would print if the charge were NOT taken, from a full model re-run — so a positive figure is how much each charge costs the valuation. Setting the provision to zero in the previous edition moved its valuation by nothing at all, to four decimal places, because no formula read the cell. A rewritten reachability gate now FAILS the build if any input carrying a balance-sheet or profit-statement claim is registered without being used; it found sixteen such inputs where the old gate reported zero.</w:t>
      </w:r>
    </w:p>
    <w:p>
      <w:pPr>
        <w:spacing w:after="80" w:before="200"/>
      </w:pPr>
      <w:r>
        <w:rPr>
          <w:b/>
          <w:i w:val="0"/>
          <w:color w:val="1C3A36"/>
          <w:sz w:val="24"/>
        </w:rPr>
        <w:t>1.4  How revenue is built</w:t>
      </w:r>
    </w:p>
    <w:p>
      <w:pPr>
        <w:spacing w:after="120" w:before="0"/>
      </w:pPr>
      <w:r>
        <w:rPr>
          <w:b w:val="0"/>
          <w:i w:val="0"/>
          <w:color w:val="1C3A36"/>
          <w:sz w:val="21"/>
        </w:rPr>
        <w:t>Revenue is the eight disclosed product lines, tonnes times realisation, rolled forward on a volume path per line and one realisation path. Tonnage comes from note 14-A annualised; realisations are note 14-A value divided by note 14-A tonnes, lifted by ONE solved index so the base year foots to the twelve-month revenue. That index is 1.132 and it is the only free scalar on the revenue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368"/>
        <w:gridCol w:w="1656"/>
        <w:gridCol w:w="1195"/>
        <w:gridCol w:w="1195"/>
        <w:gridCol w:w="1195"/>
        <w:gridCol w:w="1195"/>
        <w:gridCol w:w="1195"/>
      </w:tblGrid>
      <w:tr>
        <w:tc>
          <w:tcPr>
            <w:tcW w:type="dxa" w:w="1944"/>
            <w:shd w:val="clear" w:color="auto" w:fill="EAF0EE"/>
          </w:tcPr>
          <w:p>
            <w:pPr>
              <w:spacing w:after="20"/>
            </w:pPr>
            <w:r>
              <w:rPr>
                <w:b/>
                <w:color w:val="1C3A36"/>
                <w:sz w:val="16"/>
              </w:rPr>
              <w:t>Line</w:t>
            </w:r>
          </w:p>
        </w:tc>
        <w:tc>
          <w:tcPr>
            <w:tcW w:type="dxa" w:w="1368"/>
            <w:shd w:val="clear" w:color="auto" w:fill="EAF0EE"/>
          </w:tcPr>
          <w:p>
            <w:pPr>
              <w:spacing w:after="20"/>
            </w:pPr>
            <w:r>
              <w:rPr>
                <w:b/>
                <w:color w:val="1C3A36"/>
                <w:sz w:val="16"/>
              </w:rPr>
              <w:t>Base tonnes mn</w:t>
            </w:r>
          </w:p>
        </w:tc>
        <w:tc>
          <w:tcPr>
            <w:tcW w:type="dxa" w:w="1656"/>
            <w:shd w:val="clear" w:color="auto" w:fill="EAF0EE"/>
          </w:tcPr>
          <w:p>
            <w:pPr>
              <w:spacing w:after="20"/>
            </w:pPr>
            <w:r>
              <w:rPr>
                <w:b/>
                <w:color w:val="1C3A36"/>
                <w:sz w:val="16"/>
              </w:rPr>
              <w:t>Base realisation EGP/t</w:t>
            </w:r>
          </w:p>
        </w:tc>
        <w:tc>
          <w:tcPr>
            <w:tcW w:type="dxa" w:w="1195"/>
            <w:shd w:val="clear" w:color="auto" w:fill="EAF0EE"/>
          </w:tcPr>
          <w:p>
            <w:pPr>
              <w:spacing w:after="20"/>
            </w:pPr>
            <w:r>
              <w:rPr>
                <w:b/>
                <w:color w:val="1C3A36"/>
                <w:sz w:val="16"/>
              </w:rPr>
              <w:t>2026E</w:t>
            </w:r>
          </w:p>
        </w:tc>
        <w:tc>
          <w:tcPr>
            <w:tcW w:type="dxa" w:w="1195"/>
            <w:shd w:val="clear" w:color="auto" w:fill="EAF0EE"/>
          </w:tcPr>
          <w:p>
            <w:pPr>
              <w:spacing w:after="20"/>
            </w:pPr>
            <w:r>
              <w:rPr>
                <w:b/>
                <w:color w:val="1C3A36"/>
                <w:sz w:val="16"/>
              </w:rPr>
              <w:t>2027E</w:t>
            </w:r>
          </w:p>
        </w:tc>
        <w:tc>
          <w:tcPr>
            <w:tcW w:type="dxa" w:w="1195"/>
            <w:shd w:val="clear" w:color="auto" w:fill="EAF0EE"/>
          </w:tcPr>
          <w:p>
            <w:pPr>
              <w:spacing w:after="20"/>
            </w:pPr>
            <w:r>
              <w:rPr>
                <w:b/>
                <w:color w:val="1C3A36"/>
                <w:sz w:val="16"/>
              </w:rPr>
              <w:t>2028E</w:t>
            </w:r>
          </w:p>
        </w:tc>
        <w:tc>
          <w:tcPr>
            <w:tcW w:type="dxa" w:w="1195"/>
            <w:shd w:val="clear" w:color="auto" w:fill="EAF0EE"/>
          </w:tcPr>
          <w:p>
            <w:pPr>
              <w:spacing w:after="20"/>
            </w:pPr>
            <w:r>
              <w:rPr>
                <w:b/>
                <w:color w:val="1C3A36"/>
                <w:sz w:val="16"/>
              </w:rPr>
              <w:t>2029E</w:t>
            </w:r>
          </w:p>
        </w:tc>
        <w:tc>
          <w:tcPr>
            <w:tcW w:type="dxa" w:w="1195"/>
            <w:shd w:val="clear" w:color="auto" w:fill="EAF0EE"/>
          </w:tcPr>
          <w:p>
            <w:pPr>
              <w:spacing w:after="20"/>
            </w:pPr>
            <w:r>
              <w:rPr>
                <w:b/>
                <w:color w:val="1C3A36"/>
                <w:sz w:val="16"/>
              </w:rPr>
              <w:t>2030E</w:t>
            </w:r>
          </w:p>
        </w:tc>
      </w:tr>
      <w:tr>
        <w:tc>
          <w:tcPr>
            <w:tcW w:type="dxa" w:w="1944"/>
          </w:tcPr>
          <w:p>
            <w:pPr>
              <w:spacing w:after="20"/>
            </w:pPr>
            <w:r>
              <w:rPr>
                <w:color w:val="1C3A36"/>
                <w:sz w:val="16"/>
              </w:rPr>
              <w:t>Base and special oils</w:t>
            </w:r>
          </w:p>
        </w:tc>
        <w:tc>
          <w:tcPr>
            <w:tcW w:type="dxa" w:w="1368"/>
          </w:tcPr>
          <w:p>
            <w:pPr>
              <w:spacing w:after="20"/>
              <w:jc w:val="right"/>
            </w:pPr>
            <w:r>
              <w:rPr>
                <w:color w:val="1C3A36"/>
                <w:sz w:val="16"/>
              </w:rPr>
              <w:t>0.110</w:t>
            </w:r>
          </w:p>
        </w:tc>
        <w:tc>
          <w:tcPr>
            <w:tcW w:type="dxa" w:w="1656"/>
          </w:tcPr>
          <w:p>
            <w:pPr>
              <w:spacing w:after="20"/>
              <w:jc w:val="right"/>
            </w:pPr>
            <w:r>
              <w:rPr>
                <w:color w:val="1C3A36"/>
                <w:sz w:val="16"/>
              </w:rPr>
              <w:t>53,502</w:t>
            </w:r>
          </w:p>
        </w:tc>
        <w:tc>
          <w:tcPr>
            <w:tcW w:type="dxa" w:w="1195"/>
          </w:tcPr>
          <w:p>
            <w:pPr>
              <w:spacing w:after="20"/>
              <w:jc w:val="right"/>
            </w:pPr>
            <w:r>
              <w:rPr>
                <w:color w:val="1C3A36"/>
                <w:sz w:val="16"/>
              </w:rPr>
              <w:t>6,700</w:t>
            </w:r>
          </w:p>
        </w:tc>
        <w:tc>
          <w:tcPr>
            <w:tcW w:type="dxa" w:w="1195"/>
          </w:tcPr>
          <w:p>
            <w:pPr>
              <w:spacing w:after="20"/>
              <w:jc w:val="right"/>
            </w:pPr>
            <w:r>
              <w:rPr>
                <w:color w:val="1C3A36"/>
                <w:sz w:val="16"/>
              </w:rPr>
              <w:t>7,490</w:t>
            </w:r>
          </w:p>
        </w:tc>
        <w:tc>
          <w:tcPr>
            <w:tcW w:type="dxa" w:w="1195"/>
          </w:tcPr>
          <w:p>
            <w:pPr>
              <w:spacing w:after="20"/>
              <w:jc w:val="right"/>
            </w:pPr>
            <w:r>
              <w:rPr>
                <w:color w:val="1C3A36"/>
                <w:sz w:val="16"/>
              </w:rPr>
              <w:t>8,256</w:t>
            </w:r>
          </w:p>
        </w:tc>
        <w:tc>
          <w:tcPr>
            <w:tcW w:type="dxa" w:w="1195"/>
          </w:tcPr>
          <w:p>
            <w:pPr>
              <w:spacing w:after="20"/>
              <w:jc w:val="right"/>
            </w:pPr>
            <w:r>
              <w:rPr>
                <w:color w:val="1C3A36"/>
                <w:sz w:val="16"/>
              </w:rPr>
              <w:t>8,997</w:t>
            </w:r>
          </w:p>
        </w:tc>
        <w:tc>
          <w:tcPr>
            <w:tcW w:type="dxa" w:w="1195"/>
          </w:tcPr>
          <w:p>
            <w:pPr>
              <w:spacing w:after="20"/>
              <w:jc w:val="right"/>
            </w:pPr>
            <w:r>
              <w:rPr>
                <w:color w:val="1C3A36"/>
                <w:sz w:val="16"/>
              </w:rPr>
              <w:t>9,730</w:t>
            </w:r>
          </w:p>
        </w:tc>
      </w:tr>
      <w:tr>
        <w:tc>
          <w:tcPr>
            <w:tcW w:type="dxa" w:w="1944"/>
          </w:tcPr>
          <w:p>
            <w:pPr>
              <w:spacing w:after="20"/>
            </w:pPr>
            <w:r>
              <w:rPr>
                <w:color w:val="1C3A36"/>
                <w:sz w:val="16"/>
              </w:rPr>
              <w:t>Paraffin wax</w:t>
            </w:r>
          </w:p>
        </w:tc>
        <w:tc>
          <w:tcPr>
            <w:tcW w:type="dxa" w:w="1368"/>
          </w:tcPr>
          <w:p>
            <w:pPr>
              <w:spacing w:after="20"/>
              <w:jc w:val="right"/>
            </w:pPr>
            <w:r>
              <w:rPr>
                <w:color w:val="1C3A36"/>
                <w:sz w:val="16"/>
              </w:rPr>
              <w:t>0.084</w:t>
            </w:r>
          </w:p>
        </w:tc>
        <w:tc>
          <w:tcPr>
            <w:tcW w:type="dxa" w:w="1656"/>
          </w:tcPr>
          <w:p>
            <w:pPr>
              <w:spacing w:after="20"/>
              <w:jc w:val="right"/>
            </w:pPr>
            <w:r>
              <w:rPr>
                <w:color w:val="1C3A36"/>
                <w:sz w:val="16"/>
              </w:rPr>
              <w:t>55,349</w:t>
            </w:r>
          </w:p>
        </w:tc>
        <w:tc>
          <w:tcPr>
            <w:tcW w:type="dxa" w:w="1195"/>
          </w:tcPr>
          <w:p>
            <w:pPr>
              <w:spacing w:after="20"/>
              <w:jc w:val="right"/>
            </w:pPr>
            <w:r>
              <w:rPr>
                <w:color w:val="1C3A36"/>
                <w:sz w:val="16"/>
              </w:rPr>
              <w:t>5,393</w:t>
            </w:r>
          </w:p>
        </w:tc>
        <w:tc>
          <w:tcPr>
            <w:tcW w:type="dxa" w:w="1195"/>
          </w:tcPr>
          <w:p>
            <w:pPr>
              <w:spacing w:after="20"/>
              <w:jc w:val="right"/>
            </w:pPr>
            <w:r>
              <w:rPr>
                <w:color w:val="1C3A36"/>
                <w:sz w:val="16"/>
              </w:rPr>
              <w:t>6,117</w:t>
            </w:r>
          </w:p>
        </w:tc>
        <w:tc>
          <w:tcPr>
            <w:tcW w:type="dxa" w:w="1195"/>
          </w:tcPr>
          <w:p>
            <w:pPr>
              <w:spacing w:after="20"/>
              <w:jc w:val="right"/>
            </w:pPr>
            <w:r>
              <w:rPr>
                <w:color w:val="1C3A36"/>
                <w:sz w:val="16"/>
              </w:rPr>
              <w:t>6,807</w:t>
            </w:r>
          </w:p>
        </w:tc>
        <w:tc>
          <w:tcPr>
            <w:tcW w:type="dxa" w:w="1195"/>
          </w:tcPr>
          <w:p>
            <w:pPr>
              <w:spacing w:after="20"/>
              <w:jc w:val="right"/>
            </w:pPr>
            <w:r>
              <w:rPr>
                <w:color w:val="1C3A36"/>
                <w:sz w:val="16"/>
              </w:rPr>
              <w:t>7,476</w:t>
            </w:r>
          </w:p>
        </w:tc>
        <w:tc>
          <w:tcPr>
            <w:tcW w:type="dxa" w:w="1195"/>
          </w:tcPr>
          <w:p>
            <w:pPr>
              <w:spacing w:after="20"/>
              <w:jc w:val="right"/>
            </w:pPr>
            <w:r>
              <w:rPr>
                <w:color w:val="1C3A36"/>
                <w:sz w:val="16"/>
              </w:rPr>
              <w:t>8,116</w:t>
            </w:r>
          </w:p>
        </w:tc>
      </w:tr>
      <w:tr>
        <w:tc>
          <w:tcPr>
            <w:tcW w:type="dxa" w:w="1944"/>
          </w:tcPr>
          <w:p>
            <w:pPr>
              <w:spacing w:after="20"/>
            </w:pPr>
            <w:r>
              <w:rPr>
                <w:color w:val="1C3A36"/>
                <w:sz w:val="16"/>
              </w:rPr>
              <w:t>Gas oil</w:t>
            </w:r>
          </w:p>
        </w:tc>
        <w:tc>
          <w:tcPr>
            <w:tcW w:type="dxa" w:w="1368"/>
          </w:tcPr>
          <w:p>
            <w:pPr>
              <w:spacing w:after="20"/>
              <w:jc w:val="right"/>
            </w:pPr>
            <w:r>
              <w:rPr>
                <w:color w:val="1C3A36"/>
                <w:sz w:val="16"/>
              </w:rPr>
              <w:t>0.343</w:t>
            </w:r>
          </w:p>
        </w:tc>
        <w:tc>
          <w:tcPr>
            <w:tcW w:type="dxa" w:w="1656"/>
          </w:tcPr>
          <w:p>
            <w:pPr>
              <w:spacing w:after="20"/>
              <w:jc w:val="right"/>
            </w:pPr>
            <w:r>
              <w:rPr>
                <w:color w:val="1C3A36"/>
                <w:sz w:val="16"/>
              </w:rPr>
              <w:t>33,779</w:t>
            </w:r>
          </w:p>
        </w:tc>
        <w:tc>
          <w:tcPr>
            <w:tcW w:type="dxa" w:w="1195"/>
          </w:tcPr>
          <w:p>
            <w:pPr>
              <w:spacing w:after="20"/>
              <w:jc w:val="right"/>
            </w:pPr>
            <w:r>
              <w:rPr>
                <w:color w:val="1C3A36"/>
                <w:sz w:val="16"/>
              </w:rPr>
              <w:t>12,895</w:t>
            </w:r>
          </w:p>
        </w:tc>
        <w:tc>
          <w:tcPr>
            <w:tcW w:type="dxa" w:w="1195"/>
          </w:tcPr>
          <w:p>
            <w:pPr>
              <w:spacing w:after="20"/>
              <w:jc w:val="right"/>
            </w:pPr>
            <w:r>
              <w:rPr>
                <w:color w:val="1C3A36"/>
                <w:sz w:val="16"/>
              </w:rPr>
              <w:t>14,140</w:t>
            </w:r>
          </w:p>
        </w:tc>
        <w:tc>
          <w:tcPr>
            <w:tcW w:type="dxa" w:w="1195"/>
          </w:tcPr>
          <w:p>
            <w:pPr>
              <w:spacing w:after="20"/>
              <w:jc w:val="right"/>
            </w:pPr>
            <w:r>
              <w:rPr>
                <w:color w:val="1C3A36"/>
                <w:sz w:val="16"/>
              </w:rPr>
              <w:t>15,330</w:t>
            </w:r>
          </w:p>
        </w:tc>
        <w:tc>
          <w:tcPr>
            <w:tcW w:type="dxa" w:w="1195"/>
          </w:tcPr>
          <w:p>
            <w:pPr>
              <w:spacing w:after="20"/>
              <w:jc w:val="right"/>
            </w:pPr>
            <w:r>
              <w:rPr>
                <w:color w:val="1C3A36"/>
                <w:sz w:val="16"/>
              </w:rPr>
              <w:t>16,479</w:t>
            </w:r>
          </w:p>
        </w:tc>
        <w:tc>
          <w:tcPr>
            <w:tcW w:type="dxa" w:w="1195"/>
          </w:tcPr>
          <w:p>
            <w:pPr>
              <w:spacing w:after="20"/>
              <w:jc w:val="right"/>
            </w:pPr>
            <w:r>
              <w:rPr>
                <w:color w:val="1C3A36"/>
                <w:sz w:val="16"/>
              </w:rPr>
              <w:t>17,596</w:t>
            </w:r>
          </w:p>
        </w:tc>
      </w:tr>
      <w:tr>
        <w:tc>
          <w:tcPr>
            <w:tcW w:type="dxa" w:w="1944"/>
          </w:tcPr>
          <w:p>
            <w:pPr>
              <w:spacing w:after="20"/>
            </w:pPr>
            <w:r>
              <w:rPr>
                <w:color w:val="1C3A36"/>
                <w:sz w:val="16"/>
              </w:rPr>
              <w:t>Naphtha</w:t>
            </w:r>
          </w:p>
        </w:tc>
        <w:tc>
          <w:tcPr>
            <w:tcW w:type="dxa" w:w="1368"/>
          </w:tcPr>
          <w:p>
            <w:pPr>
              <w:spacing w:after="20"/>
              <w:jc w:val="right"/>
            </w:pPr>
            <w:r>
              <w:rPr>
                <w:color w:val="1C3A36"/>
                <w:sz w:val="16"/>
              </w:rPr>
              <w:t>0.083</w:t>
            </w:r>
          </w:p>
        </w:tc>
        <w:tc>
          <w:tcPr>
            <w:tcW w:type="dxa" w:w="1656"/>
          </w:tcPr>
          <w:p>
            <w:pPr>
              <w:spacing w:after="20"/>
              <w:jc w:val="right"/>
            </w:pPr>
            <w:r>
              <w:rPr>
                <w:color w:val="1C3A36"/>
                <w:sz w:val="16"/>
              </w:rPr>
              <w:t>26,203</w:t>
            </w:r>
          </w:p>
        </w:tc>
        <w:tc>
          <w:tcPr>
            <w:tcW w:type="dxa" w:w="1195"/>
          </w:tcPr>
          <w:p>
            <w:pPr>
              <w:spacing w:after="20"/>
              <w:jc w:val="right"/>
            </w:pPr>
            <w:r>
              <w:rPr>
                <w:color w:val="1C3A36"/>
                <w:sz w:val="16"/>
              </w:rPr>
              <w:t>2,402</w:t>
            </w:r>
          </w:p>
        </w:tc>
        <w:tc>
          <w:tcPr>
            <w:tcW w:type="dxa" w:w="1195"/>
          </w:tcPr>
          <w:p>
            <w:pPr>
              <w:spacing w:after="20"/>
              <w:jc w:val="right"/>
            </w:pPr>
            <w:r>
              <w:rPr>
                <w:color w:val="1C3A36"/>
                <w:sz w:val="16"/>
              </w:rPr>
              <w:t>2,629</w:t>
            </w:r>
          </w:p>
        </w:tc>
        <w:tc>
          <w:tcPr>
            <w:tcW w:type="dxa" w:w="1195"/>
          </w:tcPr>
          <w:p>
            <w:pPr>
              <w:spacing w:after="20"/>
              <w:jc w:val="right"/>
            </w:pPr>
            <w:r>
              <w:rPr>
                <w:color w:val="1C3A36"/>
                <w:sz w:val="16"/>
              </w:rPr>
              <w:t>2,850</w:t>
            </w:r>
          </w:p>
        </w:tc>
        <w:tc>
          <w:tcPr>
            <w:tcW w:type="dxa" w:w="1195"/>
          </w:tcPr>
          <w:p>
            <w:pPr>
              <w:spacing w:after="20"/>
              <w:jc w:val="right"/>
            </w:pPr>
            <w:r>
              <w:rPr>
                <w:color w:val="1C3A36"/>
                <w:sz w:val="16"/>
              </w:rPr>
              <w:t>3,064</w:t>
            </w:r>
          </w:p>
        </w:tc>
        <w:tc>
          <w:tcPr>
            <w:tcW w:type="dxa" w:w="1195"/>
          </w:tcPr>
          <w:p>
            <w:pPr>
              <w:spacing w:after="20"/>
              <w:jc w:val="right"/>
            </w:pPr>
            <w:r>
              <w:rPr>
                <w:color w:val="1C3A36"/>
                <w:sz w:val="16"/>
              </w:rPr>
              <w:t>3,271</w:t>
            </w:r>
          </w:p>
        </w:tc>
      </w:tr>
      <w:tr>
        <w:tc>
          <w:tcPr>
            <w:tcW w:type="dxa" w:w="1944"/>
          </w:tcPr>
          <w:p>
            <w:pPr>
              <w:spacing w:after="20"/>
            </w:pPr>
            <w:r>
              <w:rPr>
                <w:color w:val="1C3A36"/>
                <w:sz w:val="16"/>
              </w:rPr>
              <w:t>Liquefied petroleum gas</w:t>
            </w:r>
          </w:p>
        </w:tc>
        <w:tc>
          <w:tcPr>
            <w:tcW w:type="dxa" w:w="1368"/>
          </w:tcPr>
          <w:p>
            <w:pPr>
              <w:spacing w:after="20"/>
              <w:jc w:val="right"/>
            </w:pPr>
            <w:r>
              <w:rPr>
                <w:color w:val="1C3A36"/>
                <w:sz w:val="16"/>
              </w:rPr>
              <w:t>0.047</w:t>
            </w:r>
          </w:p>
        </w:tc>
        <w:tc>
          <w:tcPr>
            <w:tcW w:type="dxa" w:w="1656"/>
          </w:tcPr>
          <w:p>
            <w:pPr>
              <w:spacing w:after="20"/>
              <w:jc w:val="right"/>
            </w:pPr>
            <w:r>
              <w:rPr>
                <w:color w:val="1C3A36"/>
                <w:sz w:val="16"/>
              </w:rPr>
              <w:t>38,940</w:t>
            </w:r>
          </w:p>
        </w:tc>
        <w:tc>
          <w:tcPr>
            <w:tcW w:type="dxa" w:w="1195"/>
          </w:tcPr>
          <w:p>
            <w:pPr>
              <w:spacing w:after="20"/>
              <w:jc w:val="right"/>
            </w:pPr>
            <w:r>
              <w:rPr>
                <w:color w:val="1C3A36"/>
                <w:sz w:val="16"/>
              </w:rPr>
              <w:t>2,065</w:t>
            </w:r>
          </w:p>
        </w:tc>
        <w:tc>
          <w:tcPr>
            <w:tcW w:type="dxa" w:w="1195"/>
          </w:tcPr>
          <w:p>
            <w:pPr>
              <w:spacing w:after="20"/>
              <w:jc w:val="right"/>
            </w:pPr>
            <w:r>
              <w:rPr>
                <w:color w:val="1C3A36"/>
                <w:sz w:val="16"/>
              </w:rPr>
              <w:t>2,269</w:t>
            </w:r>
          </w:p>
        </w:tc>
        <w:tc>
          <w:tcPr>
            <w:tcW w:type="dxa" w:w="1195"/>
          </w:tcPr>
          <w:p>
            <w:pPr>
              <w:spacing w:after="20"/>
              <w:jc w:val="right"/>
            </w:pPr>
            <w:r>
              <w:rPr>
                <w:color w:val="1C3A36"/>
                <w:sz w:val="16"/>
              </w:rPr>
              <w:t>2,465</w:t>
            </w:r>
          </w:p>
        </w:tc>
        <w:tc>
          <w:tcPr>
            <w:tcW w:type="dxa" w:w="1195"/>
          </w:tcPr>
          <w:p>
            <w:pPr>
              <w:spacing w:after="20"/>
              <w:jc w:val="right"/>
            </w:pPr>
            <w:r>
              <w:rPr>
                <w:color w:val="1C3A36"/>
                <w:sz w:val="16"/>
              </w:rPr>
              <w:t>2,655</w:t>
            </w:r>
          </w:p>
        </w:tc>
        <w:tc>
          <w:tcPr>
            <w:tcW w:type="dxa" w:w="1195"/>
          </w:tcPr>
          <w:p>
            <w:pPr>
              <w:spacing w:after="20"/>
              <w:jc w:val="right"/>
            </w:pPr>
            <w:r>
              <w:rPr>
                <w:color w:val="1C3A36"/>
                <w:sz w:val="16"/>
              </w:rPr>
              <w:t>2,837</w:t>
            </w:r>
          </w:p>
        </w:tc>
      </w:tr>
      <w:tr>
        <w:tc>
          <w:tcPr>
            <w:tcW w:type="dxa" w:w="1944"/>
          </w:tcPr>
          <w:p>
            <w:pPr>
              <w:spacing w:after="20"/>
            </w:pPr>
            <w:r>
              <w:rPr>
                <w:color w:val="1C3A36"/>
                <w:sz w:val="16"/>
              </w:rPr>
              <w:t>Fuel oil (mix)</w:t>
            </w:r>
          </w:p>
        </w:tc>
        <w:tc>
          <w:tcPr>
            <w:tcW w:type="dxa" w:w="1368"/>
          </w:tcPr>
          <w:p>
            <w:pPr>
              <w:spacing w:after="20"/>
              <w:jc w:val="right"/>
            </w:pPr>
            <w:r>
              <w:rPr>
                <w:color w:val="1C3A36"/>
                <w:sz w:val="16"/>
              </w:rPr>
              <w:t>0.920</w:t>
            </w:r>
          </w:p>
        </w:tc>
        <w:tc>
          <w:tcPr>
            <w:tcW w:type="dxa" w:w="1656"/>
          </w:tcPr>
          <w:p>
            <w:pPr>
              <w:spacing w:after="20"/>
              <w:jc w:val="right"/>
            </w:pPr>
            <w:r>
              <w:rPr>
                <w:color w:val="1C3A36"/>
                <w:sz w:val="16"/>
              </w:rPr>
              <w:t>22,086</w:t>
            </w:r>
          </w:p>
        </w:tc>
        <w:tc>
          <w:tcPr>
            <w:tcW w:type="dxa" w:w="1195"/>
          </w:tcPr>
          <w:p>
            <w:pPr>
              <w:spacing w:after="20"/>
              <w:jc w:val="right"/>
            </w:pPr>
            <w:r>
              <w:rPr>
                <w:color w:val="1C3A36"/>
                <w:sz w:val="16"/>
              </w:rPr>
              <w:t>22,820</w:t>
            </w:r>
          </w:p>
        </w:tc>
        <w:tc>
          <w:tcPr>
            <w:tcW w:type="dxa" w:w="1195"/>
          </w:tcPr>
          <w:p>
            <w:pPr>
              <w:spacing w:after="20"/>
              <w:jc w:val="right"/>
            </w:pPr>
            <w:r>
              <w:rPr>
                <w:color w:val="1C3A36"/>
                <w:sz w:val="16"/>
              </w:rPr>
              <w:t>25,170</w:t>
            </w:r>
          </w:p>
        </w:tc>
        <w:tc>
          <w:tcPr>
            <w:tcW w:type="dxa" w:w="1195"/>
          </w:tcPr>
          <w:p>
            <w:pPr>
              <w:spacing w:after="20"/>
              <w:jc w:val="right"/>
            </w:pPr>
            <w:r>
              <w:rPr>
                <w:color w:val="1C3A36"/>
                <w:sz w:val="16"/>
              </w:rPr>
              <w:t>27,395</w:t>
            </w:r>
          </w:p>
        </w:tc>
        <w:tc>
          <w:tcPr>
            <w:tcW w:type="dxa" w:w="1195"/>
          </w:tcPr>
          <w:p>
            <w:pPr>
              <w:spacing w:after="20"/>
              <w:jc w:val="right"/>
            </w:pPr>
            <w:r>
              <w:rPr>
                <w:color w:val="1C3A36"/>
                <w:sz w:val="16"/>
              </w:rPr>
              <w:t>29,564</w:t>
            </w:r>
          </w:p>
        </w:tc>
        <w:tc>
          <w:tcPr>
            <w:tcW w:type="dxa" w:w="1195"/>
          </w:tcPr>
          <w:p>
            <w:pPr>
              <w:spacing w:after="20"/>
              <w:jc w:val="right"/>
            </w:pPr>
            <w:r>
              <w:rPr>
                <w:color w:val="1C3A36"/>
                <w:sz w:val="16"/>
              </w:rPr>
              <w:t>31,661</w:t>
            </w:r>
          </w:p>
        </w:tc>
      </w:tr>
      <w:tr>
        <w:tc>
          <w:tcPr>
            <w:tcW w:type="dxa" w:w="1944"/>
          </w:tcPr>
          <w:p>
            <w:pPr>
              <w:spacing w:after="20"/>
            </w:pPr>
            <w:r>
              <w:rPr>
                <w:color w:val="1C3A36"/>
                <w:sz w:val="16"/>
              </w:rPr>
              <w:t>Heavy fuel oil</w:t>
            </w:r>
          </w:p>
        </w:tc>
        <w:tc>
          <w:tcPr>
            <w:tcW w:type="dxa" w:w="1368"/>
          </w:tcPr>
          <w:p>
            <w:pPr>
              <w:spacing w:after="20"/>
              <w:jc w:val="right"/>
            </w:pPr>
            <w:r>
              <w:rPr>
                <w:color w:val="1C3A36"/>
                <w:sz w:val="16"/>
              </w:rPr>
              <w:t>0.029</w:t>
            </w:r>
          </w:p>
        </w:tc>
        <w:tc>
          <w:tcPr>
            <w:tcW w:type="dxa" w:w="1656"/>
          </w:tcPr>
          <w:p>
            <w:pPr>
              <w:spacing w:after="20"/>
              <w:jc w:val="right"/>
            </w:pPr>
            <w:r>
              <w:rPr>
                <w:color w:val="1C3A36"/>
                <w:sz w:val="16"/>
              </w:rPr>
              <w:t>17,712</w:t>
            </w:r>
          </w:p>
        </w:tc>
        <w:tc>
          <w:tcPr>
            <w:tcW w:type="dxa" w:w="1195"/>
          </w:tcPr>
          <w:p>
            <w:pPr>
              <w:spacing w:after="20"/>
              <w:jc w:val="right"/>
            </w:pPr>
            <w:r>
              <w:rPr>
                <w:color w:val="1C3A36"/>
                <w:sz w:val="16"/>
              </w:rPr>
              <w:t>564</w:t>
            </w:r>
          </w:p>
        </w:tc>
        <w:tc>
          <w:tcPr>
            <w:tcW w:type="dxa" w:w="1195"/>
          </w:tcPr>
          <w:p>
            <w:pPr>
              <w:spacing w:after="20"/>
              <w:jc w:val="right"/>
            </w:pPr>
            <w:r>
              <w:rPr>
                <w:color w:val="1C3A36"/>
                <w:sz w:val="16"/>
              </w:rPr>
              <w:t>618</w:t>
            </w:r>
          </w:p>
        </w:tc>
        <w:tc>
          <w:tcPr>
            <w:tcW w:type="dxa" w:w="1195"/>
          </w:tcPr>
          <w:p>
            <w:pPr>
              <w:spacing w:after="20"/>
              <w:jc w:val="right"/>
            </w:pPr>
            <w:r>
              <w:rPr>
                <w:color w:val="1C3A36"/>
                <w:sz w:val="16"/>
              </w:rPr>
              <w:t>668</w:t>
            </w:r>
          </w:p>
        </w:tc>
        <w:tc>
          <w:tcPr>
            <w:tcW w:type="dxa" w:w="1195"/>
          </w:tcPr>
          <w:p>
            <w:pPr>
              <w:spacing w:after="20"/>
              <w:jc w:val="right"/>
            </w:pPr>
            <w:r>
              <w:rPr>
                <w:color w:val="1C3A36"/>
                <w:sz w:val="16"/>
              </w:rPr>
              <w:t>718</w:t>
            </w:r>
          </w:p>
        </w:tc>
        <w:tc>
          <w:tcPr>
            <w:tcW w:type="dxa" w:w="1195"/>
          </w:tcPr>
          <w:p>
            <w:pPr>
              <w:spacing w:after="20"/>
              <w:jc w:val="right"/>
            </w:pPr>
            <w:r>
              <w:rPr>
                <w:color w:val="1C3A36"/>
                <w:sz w:val="16"/>
              </w:rPr>
              <w:t>765</w:t>
            </w:r>
          </w:p>
        </w:tc>
      </w:tr>
      <w:tr>
        <w:tc>
          <w:tcPr>
            <w:tcW w:type="dxa" w:w="1944"/>
            <w:shd w:val="clear" w:color="auto" w:fill="F6F1E6"/>
          </w:tcPr>
          <w:p>
            <w:pPr>
              <w:spacing w:after="20"/>
            </w:pPr>
            <w:r>
              <w:rPr>
                <w:b/>
                <w:color w:val="1C3A36"/>
                <w:sz w:val="16"/>
              </w:rPr>
              <w:t>TOTAL REVENUE</w:t>
            </w:r>
          </w:p>
        </w:tc>
        <w:tc>
          <w:tcPr>
            <w:tcW w:type="dxa" w:w="1368"/>
            <w:shd w:val="clear" w:color="auto" w:fill="F6F1E6"/>
          </w:tcPr>
          <w:p>
            <w:pPr>
              <w:spacing w:after="20"/>
              <w:jc w:val="right"/>
            </w:pPr>
            <w:r>
              <w:rPr>
                <w:b/>
                <w:color w:val="1C3A36"/>
                <w:sz w:val="16"/>
              </w:rPr>
              <w:t>1.616</w:t>
            </w:r>
          </w:p>
        </w:tc>
        <w:tc>
          <w:tcPr>
            <w:tcW w:type="dxa" w:w="1656"/>
            <w:shd w:val="clear" w:color="auto" w:fill="F6F1E6"/>
          </w:tcPr>
          <w:p>
            <w:pPr>
              <w:spacing w:after="20"/>
              <w:jc w:val="right"/>
            </w:pPr>
            <w:r>
              <w:rPr>
                <w:b/>
                <w:color w:val="1C3A36"/>
                <w:sz w:val="16"/>
              </w:rPr>
              <w:t>29,056</w:t>
            </w:r>
          </w:p>
        </w:tc>
        <w:tc>
          <w:tcPr>
            <w:tcW w:type="dxa" w:w="1195"/>
            <w:shd w:val="clear" w:color="auto" w:fill="F6F1E6"/>
          </w:tcPr>
          <w:p>
            <w:pPr>
              <w:spacing w:after="20"/>
              <w:jc w:val="right"/>
            </w:pPr>
            <w:r>
              <w:rPr>
                <w:b/>
                <w:color w:val="1C3A36"/>
                <w:sz w:val="16"/>
              </w:rPr>
              <w:t>52,841</w:t>
            </w:r>
          </w:p>
        </w:tc>
        <w:tc>
          <w:tcPr>
            <w:tcW w:type="dxa" w:w="1195"/>
            <w:shd w:val="clear" w:color="auto" w:fill="F6F1E6"/>
          </w:tcPr>
          <w:p>
            <w:pPr>
              <w:spacing w:after="20"/>
              <w:jc w:val="right"/>
            </w:pPr>
            <w:r>
              <w:rPr>
                <w:b/>
                <w:color w:val="1C3A36"/>
                <w:sz w:val="16"/>
              </w:rPr>
              <w:t>58,432</w:t>
            </w:r>
          </w:p>
        </w:tc>
        <w:tc>
          <w:tcPr>
            <w:tcW w:type="dxa" w:w="1195"/>
            <w:shd w:val="clear" w:color="auto" w:fill="F6F1E6"/>
          </w:tcPr>
          <w:p>
            <w:pPr>
              <w:spacing w:after="20"/>
              <w:jc w:val="right"/>
            </w:pPr>
            <w:r>
              <w:rPr>
                <w:b/>
                <w:color w:val="1C3A36"/>
                <w:sz w:val="16"/>
              </w:rPr>
              <w:t>63,773</w:t>
            </w:r>
          </w:p>
        </w:tc>
        <w:tc>
          <w:tcPr>
            <w:tcW w:type="dxa" w:w="1195"/>
            <w:shd w:val="clear" w:color="auto" w:fill="F6F1E6"/>
          </w:tcPr>
          <w:p>
            <w:pPr>
              <w:spacing w:after="20"/>
              <w:jc w:val="right"/>
            </w:pPr>
            <w:r>
              <w:rPr>
                <w:b/>
                <w:color w:val="1C3A36"/>
                <w:sz w:val="16"/>
              </w:rPr>
              <w:t>68,952</w:t>
            </w:r>
          </w:p>
        </w:tc>
        <w:tc>
          <w:tcPr>
            <w:tcW w:type="dxa" w:w="1195"/>
            <w:shd w:val="clear" w:color="auto" w:fill="F6F1E6"/>
          </w:tcPr>
          <w:p>
            <w:pPr>
              <w:spacing w:after="20"/>
              <w:jc w:val="right"/>
            </w:pPr>
            <w:r>
              <w:rPr>
                <w:b/>
                <w:color w:val="1C3A36"/>
                <w:sz w:val="16"/>
              </w:rPr>
              <w:t>73,978</w:t>
            </w:r>
          </w:p>
        </w:tc>
      </w:tr>
    </w:tbl>
    <w:p>
      <w:pPr>
        <w:spacing w:after="40"/>
      </w:pPr>
    </w:p>
    <w:p>
      <w:pPr>
        <w:spacing w:after="200" w:before="0"/>
      </w:pPr>
      <w:r>
        <w:rPr>
          <w:b w:val="0"/>
          <w:i/>
          <w:color w:val="6E7B77"/>
          <w:sz w:val="17"/>
        </w:rPr>
        <w:t>Table 8 — revenue by line, EGP mn. Volume growth is set per line from the measured half-on-half record; realisation grows on one path for all lines. The waste line is omitted from the table for space and is immaterial, but it is carried in the model.</w:t>
      </w:r>
    </w:p>
    <w:p>
      <w:pPr>
        <w:spacing w:after="80" w:before="200"/>
      </w:pPr>
      <w:r>
        <w:rPr>
          <w:b/>
          <w:i w:val="0"/>
          <w:color w:val="1C3A36"/>
          <w:sz w:val="24"/>
        </w:rPr>
        <w:t>1.5  The cost side, built per line — and what it says about the slate</w:t>
      </w:r>
    </w:p>
    <w:p>
      <w:pPr>
        <w:spacing w:after="120" w:before="0"/>
      </w:pPr>
      <w:r>
        <w:rPr>
          <w:b w:val="0"/>
          <w:i w:val="0"/>
          <w:color w:val="1C3A36"/>
          <w:sz w:val="21"/>
        </w:rPr>
        <w:t>This is where the previous edition was weakest and where the rebuild is deepest. Cost of sales is 91.0% of revenue on this name, so a cost side expressed as a percentage of revenue means the margin assumption IS the valuation. Cost is now built per line, in two legs.</w:t>
      </w:r>
    </w:p>
    <w:p>
      <w:pPr>
        <w:spacing w:after="120" w:before="0"/>
      </w:pPr>
      <w:r>
        <w:rPr>
          <w:b w:val="0"/>
          <w:i w:val="0"/>
          <w:color w:val="1C3A36"/>
          <w:sz w:val="21"/>
        </w:rPr>
        <w:t>CONVERSION — salaries, supporting materials, other operating costs and depreciation, the 9.3% of note 15-A that is not feedstock — is allocated across the eight lines on registered processing-intensity weights: base oils 1.00 as the reference through the full lube train (vacuum distillation, solvent extraction, dewaxing, hydrofinishing), paraffin wax 1.15 for the additional deoiling and sweating, the light ends 0.15 to 0.25, the residue fuel oils 0.05.</w:t>
      </w:r>
    </w:p>
    <w:p>
      <w:pPr>
        <w:spacing w:after="120" w:before="0"/>
      </w:pPr>
      <w:r>
        <w:rPr>
          <w:b w:val="0"/>
          <w:i w:val="0"/>
          <w:color w:val="1C3A36"/>
          <w:sz w:val="21"/>
        </w:rPr>
        <w:t>FEEDSTOCK is then allocated on NET REALISABLE VALUE — each line’s realisation less its own conversion cost. This is the standard joint-product convention and it is the only one of three bases tested that survives a sanity check. Allocating feedstock flat per tonne says fuel oil sells below the cost of its own feed, which is an artefact of the basis rather than a fact about the business. Allocating it on relative sales value makes base oils and paraffin wax — the products this plant exists for — run at negative margins once their conversion cost is stacked on top. Net realisable value is the only basis that leaves every disclosed line with a positive spread, and the workbook documents all three.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16"/>
        <w:gridCol w:w="1512"/>
        <w:gridCol w:w="1469"/>
        <w:gridCol w:w="1469"/>
        <w:gridCol w:w="1469"/>
        <w:gridCol w:w="1368"/>
        <w:gridCol w:w="1008"/>
      </w:tblGrid>
      <w:tr>
        <w:tc>
          <w:tcPr>
            <w:tcW w:type="dxa" w:w="2016"/>
            <w:shd w:val="clear" w:color="auto" w:fill="EAF0EE"/>
          </w:tcPr>
          <w:p>
            <w:pPr>
              <w:spacing w:after="20"/>
            </w:pPr>
            <w:r>
              <w:rPr>
                <w:b/>
                <w:color w:val="1C3A36"/>
                <w:sz w:val="17"/>
              </w:rPr>
              <w:t>Line</w:t>
            </w:r>
          </w:p>
        </w:tc>
        <w:tc>
          <w:tcPr>
            <w:tcW w:type="dxa" w:w="1512"/>
            <w:shd w:val="clear" w:color="auto" w:fill="EAF0EE"/>
          </w:tcPr>
          <w:p>
            <w:pPr>
              <w:spacing w:after="20"/>
            </w:pPr>
            <w:r>
              <w:rPr>
                <w:b/>
                <w:color w:val="1C3A36"/>
                <w:sz w:val="17"/>
              </w:rPr>
              <w:t>Realisation EGP/t</w:t>
            </w:r>
          </w:p>
        </w:tc>
        <w:tc>
          <w:tcPr>
            <w:tcW w:type="dxa" w:w="1469"/>
            <w:shd w:val="clear" w:color="auto" w:fill="EAF0EE"/>
          </w:tcPr>
          <w:p>
            <w:pPr>
              <w:spacing w:after="20"/>
            </w:pPr>
            <w:r>
              <w:rPr>
                <w:b/>
                <w:color w:val="1C3A36"/>
                <w:sz w:val="17"/>
              </w:rPr>
              <w:t>Conversion EGP/t</w:t>
            </w:r>
          </w:p>
        </w:tc>
        <w:tc>
          <w:tcPr>
            <w:tcW w:type="dxa" w:w="1469"/>
            <w:shd w:val="clear" w:color="auto" w:fill="EAF0EE"/>
          </w:tcPr>
          <w:p>
            <w:pPr>
              <w:spacing w:after="20"/>
            </w:pPr>
            <w:r>
              <w:rPr>
                <w:b/>
                <w:color w:val="1C3A36"/>
                <w:sz w:val="17"/>
              </w:rPr>
              <w:t>Feedstock EGP/t</w:t>
            </w:r>
          </w:p>
        </w:tc>
        <w:tc>
          <w:tcPr>
            <w:tcW w:type="dxa" w:w="1469"/>
            <w:shd w:val="clear" w:color="auto" w:fill="EAF0EE"/>
          </w:tcPr>
          <w:p>
            <w:pPr>
              <w:spacing w:after="20"/>
            </w:pPr>
            <w:r>
              <w:rPr>
                <w:b/>
                <w:color w:val="1C3A36"/>
                <w:sz w:val="17"/>
              </w:rPr>
              <w:t>Total cost EGP/t</w:t>
            </w:r>
          </w:p>
        </w:tc>
        <w:tc>
          <w:tcPr>
            <w:tcW w:type="dxa" w:w="1368"/>
            <w:shd w:val="clear" w:color="auto" w:fill="EAF0EE"/>
          </w:tcPr>
          <w:p>
            <w:pPr>
              <w:spacing w:after="20"/>
            </w:pPr>
            <w:r>
              <w:rPr>
                <w:b/>
                <w:color w:val="1C3A36"/>
                <w:sz w:val="17"/>
              </w:rPr>
              <w:t>SPREAD EGP/t</w:t>
            </w:r>
          </w:p>
        </w:tc>
        <w:tc>
          <w:tcPr>
            <w:tcW w:type="dxa" w:w="1008"/>
            <w:shd w:val="clear" w:color="auto" w:fill="EAF0EE"/>
          </w:tcPr>
          <w:p>
            <w:pPr>
              <w:spacing w:after="20"/>
            </w:pPr>
            <w:r>
              <w:rPr>
                <w:b/>
                <w:color w:val="1C3A36"/>
                <w:sz w:val="17"/>
              </w:rPr>
              <w:t>Margin</w:t>
            </w:r>
          </w:p>
        </w:tc>
      </w:tr>
      <w:tr>
        <w:tc>
          <w:tcPr>
            <w:tcW w:type="dxa" w:w="2016"/>
          </w:tcPr>
          <w:p>
            <w:pPr>
              <w:spacing w:after="20"/>
            </w:pPr>
            <w:r>
              <w:rPr>
                <w:color w:val="1C3A36"/>
                <w:sz w:val="17"/>
              </w:rPr>
              <w:t>Base and special oils</w:t>
            </w:r>
          </w:p>
        </w:tc>
        <w:tc>
          <w:tcPr>
            <w:tcW w:type="dxa" w:w="1512"/>
          </w:tcPr>
          <w:p>
            <w:pPr>
              <w:spacing w:after="20"/>
              <w:jc w:val="right"/>
            </w:pPr>
            <w:r>
              <w:rPr>
                <w:color w:val="1C3A36"/>
                <w:sz w:val="17"/>
              </w:rPr>
              <w:t>53,502</w:t>
            </w:r>
          </w:p>
        </w:tc>
        <w:tc>
          <w:tcPr>
            <w:tcW w:type="dxa" w:w="1469"/>
          </w:tcPr>
          <w:p>
            <w:pPr>
              <w:spacing w:after="20"/>
              <w:jc w:val="right"/>
            </w:pPr>
            <w:r>
              <w:rPr>
                <w:color w:val="1C3A36"/>
                <w:sz w:val="17"/>
              </w:rPr>
              <w:t>10,957</w:t>
            </w:r>
          </w:p>
        </w:tc>
        <w:tc>
          <w:tcPr>
            <w:tcW w:type="dxa" w:w="1469"/>
          </w:tcPr>
          <w:p>
            <w:pPr>
              <w:spacing w:after="20"/>
              <w:jc w:val="right"/>
            </w:pPr>
            <w:r>
              <w:rPr>
                <w:color w:val="1C3A36"/>
                <w:sz w:val="17"/>
              </w:rPr>
              <w:t>38,362</w:t>
            </w:r>
          </w:p>
        </w:tc>
        <w:tc>
          <w:tcPr>
            <w:tcW w:type="dxa" w:w="1469"/>
          </w:tcPr>
          <w:p>
            <w:pPr>
              <w:spacing w:after="20"/>
              <w:jc w:val="right"/>
            </w:pPr>
            <w:r>
              <w:rPr>
                <w:color w:val="1C3A36"/>
                <w:sz w:val="17"/>
              </w:rPr>
              <w:t>49,320</w:t>
            </w:r>
          </w:p>
        </w:tc>
        <w:tc>
          <w:tcPr>
            <w:tcW w:type="dxa" w:w="1368"/>
          </w:tcPr>
          <w:p>
            <w:pPr>
              <w:spacing w:after="20"/>
              <w:jc w:val="right"/>
            </w:pPr>
            <w:r>
              <w:rPr>
                <w:color w:val="1C3A36"/>
                <w:sz w:val="17"/>
              </w:rPr>
              <w:t>4,182</w:t>
            </w:r>
          </w:p>
        </w:tc>
        <w:tc>
          <w:tcPr>
            <w:tcW w:type="dxa" w:w="1008"/>
          </w:tcPr>
          <w:p>
            <w:pPr>
              <w:spacing w:after="20"/>
              <w:jc w:val="right"/>
            </w:pPr>
            <w:r>
              <w:rPr>
                <w:color w:val="1C3A36"/>
                <w:sz w:val="17"/>
              </w:rPr>
              <w:t>7.8%</w:t>
            </w:r>
          </w:p>
        </w:tc>
      </w:tr>
      <w:tr>
        <w:tc>
          <w:tcPr>
            <w:tcW w:type="dxa" w:w="2016"/>
          </w:tcPr>
          <w:p>
            <w:pPr>
              <w:spacing w:after="20"/>
            </w:pPr>
            <w:r>
              <w:rPr>
                <w:color w:val="1C3A36"/>
                <w:sz w:val="17"/>
              </w:rPr>
              <w:t>Paraffin wax</w:t>
            </w:r>
          </w:p>
        </w:tc>
        <w:tc>
          <w:tcPr>
            <w:tcW w:type="dxa" w:w="1512"/>
          </w:tcPr>
          <w:p>
            <w:pPr>
              <w:spacing w:after="20"/>
              <w:jc w:val="right"/>
            </w:pPr>
            <w:r>
              <w:rPr>
                <w:color w:val="1C3A36"/>
                <w:sz w:val="17"/>
              </w:rPr>
              <w:t>55,349</w:t>
            </w:r>
          </w:p>
        </w:tc>
        <w:tc>
          <w:tcPr>
            <w:tcW w:type="dxa" w:w="1469"/>
          </w:tcPr>
          <w:p>
            <w:pPr>
              <w:spacing w:after="20"/>
              <w:jc w:val="right"/>
            </w:pPr>
            <w:r>
              <w:rPr>
                <w:color w:val="1C3A36"/>
                <w:sz w:val="17"/>
              </w:rPr>
              <w:t>12,601</w:t>
            </w:r>
          </w:p>
        </w:tc>
        <w:tc>
          <w:tcPr>
            <w:tcW w:type="dxa" w:w="1469"/>
          </w:tcPr>
          <w:p>
            <w:pPr>
              <w:spacing w:after="20"/>
              <w:jc w:val="right"/>
            </w:pPr>
            <w:r>
              <w:rPr>
                <w:color w:val="1C3A36"/>
                <w:sz w:val="17"/>
              </w:rPr>
              <w:t>38,546</w:t>
            </w:r>
          </w:p>
        </w:tc>
        <w:tc>
          <w:tcPr>
            <w:tcW w:type="dxa" w:w="1469"/>
          </w:tcPr>
          <w:p>
            <w:pPr>
              <w:spacing w:after="20"/>
              <w:jc w:val="right"/>
            </w:pPr>
            <w:r>
              <w:rPr>
                <w:color w:val="1C3A36"/>
                <w:sz w:val="17"/>
              </w:rPr>
              <w:t>51,147</w:t>
            </w:r>
          </w:p>
        </w:tc>
        <w:tc>
          <w:tcPr>
            <w:tcW w:type="dxa" w:w="1368"/>
          </w:tcPr>
          <w:p>
            <w:pPr>
              <w:spacing w:after="20"/>
              <w:jc w:val="right"/>
            </w:pPr>
            <w:r>
              <w:rPr>
                <w:color w:val="1C3A36"/>
                <w:sz w:val="17"/>
              </w:rPr>
              <w:t>4,202</w:t>
            </w:r>
          </w:p>
        </w:tc>
        <w:tc>
          <w:tcPr>
            <w:tcW w:type="dxa" w:w="1008"/>
          </w:tcPr>
          <w:p>
            <w:pPr>
              <w:spacing w:after="20"/>
              <w:jc w:val="right"/>
            </w:pPr>
            <w:r>
              <w:rPr>
                <w:color w:val="1C3A36"/>
                <w:sz w:val="17"/>
              </w:rPr>
              <w:t>7.6%</w:t>
            </w:r>
          </w:p>
        </w:tc>
      </w:tr>
      <w:tr>
        <w:tc>
          <w:tcPr>
            <w:tcW w:type="dxa" w:w="2016"/>
          </w:tcPr>
          <w:p>
            <w:pPr>
              <w:spacing w:after="20"/>
            </w:pPr>
            <w:r>
              <w:rPr>
                <w:color w:val="1C3A36"/>
                <w:sz w:val="17"/>
              </w:rPr>
              <w:t>Gas oil</w:t>
            </w:r>
          </w:p>
        </w:tc>
        <w:tc>
          <w:tcPr>
            <w:tcW w:type="dxa" w:w="1512"/>
          </w:tcPr>
          <w:p>
            <w:pPr>
              <w:spacing w:after="20"/>
              <w:jc w:val="right"/>
            </w:pPr>
            <w:r>
              <w:rPr>
                <w:color w:val="1C3A36"/>
                <w:sz w:val="17"/>
              </w:rPr>
              <w:t>33,779</w:t>
            </w:r>
          </w:p>
        </w:tc>
        <w:tc>
          <w:tcPr>
            <w:tcW w:type="dxa" w:w="1469"/>
          </w:tcPr>
          <w:p>
            <w:pPr>
              <w:spacing w:after="20"/>
              <w:jc w:val="right"/>
            </w:pPr>
            <w:r>
              <w:rPr>
                <w:color w:val="1C3A36"/>
                <w:sz w:val="17"/>
              </w:rPr>
              <w:t>2,739</w:t>
            </w:r>
          </w:p>
        </w:tc>
        <w:tc>
          <w:tcPr>
            <w:tcW w:type="dxa" w:w="1469"/>
          </w:tcPr>
          <w:p>
            <w:pPr>
              <w:spacing w:after="20"/>
              <w:jc w:val="right"/>
            </w:pPr>
            <w:r>
              <w:rPr>
                <w:color w:val="1C3A36"/>
                <w:sz w:val="17"/>
              </w:rPr>
              <w:t>27,989</w:t>
            </w:r>
          </w:p>
        </w:tc>
        <w:tc>
          <w:tcPr>
            <w:tcW w:type="dxa" w:w="1469"/>
          </w:tcPr>
          <w:p>
            <w:pPr>
              <w:spacing w:after="20"/>
              <w:jc w:val="right"/>
            </w:pPr>
            <w:r>
              <w:rPr>
                <w:color w:val="1C3A36"/>
                <w:sz w:val="17"/>
              </w:rPr>
              <w:t>30,728</w:t>
            </w:r>
          </w:p>
        </w:tc>
        <w:tc>
          <w:tcPr>
            <w:tcW w:type="dxa" w:w="1368"/>
          </w:tcPr>
          <w:p>
            <w:pPr>
              <w:spacing w:after="20"/>
              <w:jc w:val="right"/>
            </w:pPr>
            <w:r>
              <w:rPr>
                <w:color w:val="1C3A36"/>
                <w:sz w:val="17"/>
              </w:rPr>
              <w:t>3,051</w:t>
            </w:r>
          </w:p>
        </w:tc>
        <w:tc>
          <w:tcPr>
            <w:tcW w:type="dxa" w:w="1008"/>
          </w:tcPr>
          <w:p>
            <w:pPr>
              <w:spacing w:after="20"/>
              <w:jc w:val="right"/>
            </w:pPr>
            <w:r>
              <w:rPr>
                <w:color w:val="1C3A36"/>
                <w:sz w:val="17"/>
              </w:rPr>
              <w:t>9.0%</w:t>
            </w:r>
          </w:p>
        </w:tc>
      </w:tr>
      <w:tr>
        <w:tc>
          <w:tcPr>
            <w:tcW w:type="dxa" w:w="2016"/>
          </w:tcPr>
          <w:p>
            <w:pPr>
              <w:spacing w:after="20"/>
            </w:pPr>
            <w:r>
              <w:rPr>
                <w:color w:val="1C3A36"/>
                <w:sz w:val="17"/>
              </w:rPr>
              <w:t>Naphtha</w:t>
            </w:r>
          </w:p>
        </w:tc>
        <w:tc>
          <w:tcPr>
            <w:tcW w:type="dxa" w:w="1512"/>
          </w:tcPr>
          <w:p>
            <w:pPr>
              <w:spacing w:after="20"/>
              <w:jc w:val="right"/>
            </w:pPr>
            <w:r>
              <w:rPr>
                <w:color w:val="1C3A36"/>
                <w:sz w:val="17"/>
              </w:rPr>
              <w:t>26,203</w:t>
            </w:r>
          </w:p>
        </w:tc>
        <w:tc>
          <w:tcPr>
            <w:tcW w:type="dxa" w:w="1469"/>
          </w:tcPr>
          <w:p>
            <w:pPr>
              <w:spacing w:after="20"/>
              <w:jc w:val="right"/>
            </w:pPr>
            <w:r>
              <w:rPr>
                <w:color w:val="1C3A36"/>
                <w:sz w:val="17"/>
              </w:rPr>
              <w:t>2,191</w:t>
            </w:r>
          </w:p>
        </w:tc>
        <w:tc>
          <w:tcPr>
            <w:tcW w:type="dxa" w:w="1469"/>
          </w:tcPr>
          <w:p>
            <w:pPr>
              <w:spacing w:after="20"/>
              <w:jc w:val="right"/>
            </w:pPr>
            <w:r>
              <w:rPr>
                <w:color w:val="1C3A36"/>
                <w:sz w:val="17"/>
              </w:rPr>
              <w:t>21,651</w:t>
            </w:r>
          </w:p>
        </w:tc>
        <w:tc>
          <w:tcPr>
            <w:tcW w:type="dxa" w:w="1469"/>
          </w:tcPr>
          <w:p>
            <w:pPr>
              <w:spacing w:after="20"/>
              <w:jc w:val="right"/>
            </w:pPr>
            <w:r>
              <w:rPr>
                <w:color w:val="1C3A36"/>
                <w:sz w:val="17"/>
              </w:rPr>
              <w:t>23,843</w:t>
            </w:r>
          </w:p>
        </w:tc>
        <w:tc>
          <w:tcPr>
            <w:tcW w:type="dxa" w:w="1368"/>
          </w:tcPr>
          <w:p>
            <w:pPr>
              <w:spacing w:after="20"/>
              <w:jc w:val="right"/>
            </w:pPr>
            <w:r>
              <w:rPr>
                <w:color w:val="1C3A36"/>
                <w:sz w:val="17"/>
              </w:rPr>
              <w:t>2,360</w:t>
            </w:r>
          </w:p>
        </w:tc>
        <w:tc>
          <w:tcPr>
            <w:tcW w:type="dxa" w:w="1008"/>
          </w:tcPr>
          <w:p>
            <w:pPr>
              <w:spacing w:after="20"/>
              <w:jc w:val="right"/>
            </w:pPr>
            <w:r>
              <w:rPr>
                <w:color w:val="1C3A36"/>
                <w:sz w:val="17"/>
              </w:rPr>
              <w:t>9.0%</w:t>
            </w:r>
          </w:p>
        </w:tc>
      </w:tr>
      <w:tr>
        <w:tc>
          <w:tcPr>
            <w:tcW w:type="dxa" w:w="2016"/>
          </w:tcPr>
          <w:p>
            <w:pPr>
              <w:spacing w:after="20"/>
            </w:pPr>
            <w:r>
              <w:rPr>
                <w:color w:val="1C3A36"/>
                <w:sz w:val="17"/>
              </w:rPr>
              <w:t>Liquefied petroleum gas</w:t>
            </w:r>
          </w:p>
        </w:tc>
        <w:tc>
          <w:tcPr>
            <w:tcW w:type="dxa" w:w="1512"/>
          </w:tcPr>
          <w:p>
            <w:pPr>
              <w:spacing w:after="20"/>
              <w:jc w:val="right"/>
            </w:pPr>
            <w:r>
              <w:rPr>
                <w:color w:val="1C3A36"/>
                <w:sz w:val="17"/>
              </w:rPr>
              <w:t>38,940</w:t>
            </w:r>
          </w:p>
        </w:tc>
        <w:tc>
          <w:tcPr>
            <w:tcW w:type="dxa" w:w="1469"/>
          </w:tcPr>
          <w:p>
            <w:pPr>
              <w:spacing w:after="20"/>
              <w:jc w:val="right"/>
            </w:pPr>
            <w:r>
              <w:rPr>
                <w:color w:val="1C3A36"/>
                <w:sz w:val="17"/>
              </w:rPr>
              <w:t>1,644</w:t>
            </w:r>
          </w:p>
        </w:tc>
        <w:tc>
          <w:tcPr>
            <w:tcW w:type="dxa" w:w="1469"/>
          </w:tcPr>
          <w:p>
            <w:pPr>
              <w:spacing w:after="20"/>
              <w:jc w:val="right"/>
            </w:pPr>
            <w:r>
              <w:rPr>
                <w:color w:val="1C3A36"/>
                <w:sz w:val="17"/>
              </w:rPr>
              <w:t>33,630</w:t>
            </w:r>
          </w:p>
        </w:tc>
        <w:tc>
          <w:tcPr>
            <w:tcW w:type="dxa" w:w="1469"/>
          </w:tcPr>
          <w:p>
            <w:pPr>
              <w:spacing w:after="20"/>
              <w:jc w:val="right"/>
            </w:pPr>
            <w:r>
              <w:rPr>
                <w:color w:val="1C3A36"/>
                <w:sz w:val="17"/>
              </w:rPr>
              <w:t>35,274</w:t>
            </w:r>
          </w:p>
        </w:tc>
        <w:tc>
          <w:tcPr>
            <w:tcW w:type="dxa" w:w="1368"/>
          </w:tcPr>
          <w:p>
            <w:pPr>
              <w:spacing w:after="20"/>
              <w:jc w:val="right"/>
            </w:pPr>
            <w:r>
              <w:rPr>
                <w:color w:val="1C3A36"/>
                <w:sz w:val="17"/>
              </w:rPr>
              <w:t>3,666</w:t>
            </w:r>
          </w:p>
        </w:tc>
        <w:tc>
          <w:tcPr>
            <w:tcW w:type="dxa" w:w="1008"/>
          </w:tcPr>
          <w:p>
            <w:pPr>
              <w:spacing w:after="20"/>
              <w:jc w:val="right"/>
            </w:pPr>
            <w:r>
              <w:rPr>
                <w:color w:val="1C3A36"/>
                <w:sz w:val="17"/>
              </w:rPr>
              <w:t>9.4%</w:t>
            </w:r>
          </w:p>
        </w:tc>
      </w:tr>
      <w:tr>
        <w:tc>
          <w:tcPr>
            <w:tcW w:type="dxa" w:w="2016"/>
          </w:tcPr>
          <w:p>
            <w:pPr>
              <w:spacing w:after="20"/>
            </w:pPr>
            <w:r>
              <w:rPr>
                <w:color w:val="1C3A36"/>
                <w:sz w:val="17"/>
              </w:rPr>
              <w:t>Fuel oil (mix)</w:t>
            </w:r>
          </w:p>
        </w:tc>
        <w:tc>
          <w:tcPr>
            <w:tcW w:type="dxa" w:w="1512"/>
          </w:tcPr>
          <w:p>
            <w:pPr>
              <w:spacing w:after="20"/>
              <w:jc w:val="right"/>
            </w:pPr>
            <w:r>
              <w:rPr>
                <w:color w:val="1C3A36"/>
                <w:sz w:val="17"/>
              </w:rPr>
              <w:t>22,086</w:t>
            </w:r>
          </w:p>
        </w:tc>
        <w:tc>
          <w:tcPr>
            <w:tcW w:type="dxa" w:w="1469"/>
          </w:tcPr>
          <w:p>
            <w:pPr>
              <w:spacing w:after="20"/>
              <w:jc w:val="right"/>
            </w:pPr>
            <w:r>
              <w:rPr>
                <w:color w:val="1C3A36"/>
                <w:sz w:val="17"/>
              </w:rPr>
              <w:t>548</w:t>
            </w:r>
          </w:p>
        </w:tc>
        <w:tc>
          <w:tcPr>
            <w:tcW w:type="dxa" w:w="1469"/>
          </w:tcPr>
          <w:p>
            <w:pPr>
              <w:spacing w:after="20"/>
              <w:jc w:val="right"/>
            </w:pPr>
            <w:r>
              <w:rPr>
                <w:color w:val="1C3A36"/>
                <w:sz w:val="17"/>
              </w:rPr>
              <w:t>19,421</w:t>
            </w:r>
          </w:p>
        </w:tc>
        <w:tc>
          <w:tcPr>
            <w:tcW w:type="dxa" w:w="1469"/>
          </w:tcPr>
          <w:p>
            <w:pPr>
              <w:spacing w:after="20"/>
              <w:jc w:val="right"/>
            </w:pPr>
            <w:r>
              <w:rPr>
                <w:color w:val="1C3A36"/>
                <w:sz w:val="17"/>
              </w:rPr>
              <w:t>19,969</w:t>
            </w:r>
          </w:p>
        </w:tc>
        <w:tc>
          <w:tcPr>
            <w:tcW w:type="dxa" w:w="1368"/>
          </w:tcPr>
          <w:p>
            <w:pPr>
              <w:spacing w:after="20"/>
              <w:jc w:val="right"/>
            </w:pPr>
            <w:r>
              <w:rPr>
                <w:color w:val="1C3A36"/>
                <w:sz w:val="17"/>
              </w:rPr>
              <w:t>2,117</w:t>
            </w:r>
          </w:p>
        </w:tc>
        <w:tc>
          <w:tcPr>
            <w:tcW w:type="dxa" w:w="1008"/>
          </w:tcPr>
          <w:p>
            <w:pPr>
              <w:spacing w:after="20"/>
              <w:jc w:val="right"/>
            </w:pPr>
            <w:r>
              <w:rPr>
                <w:color w:val="1C3A36"/>
                <w:sz w:val="17"/>
              </w:rPr>
              <w:t>9.6%</w:t>
            </w:r>
          </w:p>
        </w:tc>
      </w:tr>
      <w:tr>
        <w:tc>
          <w:tcPr>
            <w:tcW w:type="dxa" w:w="2016"/>
          </w:tcPr>
          <w:p>
            <w:pPr>
              <w:spacing w:after="20"/>
            </w:pPr>
            <w:r>
              <w:rPr>
                <w:color w:val="1C3A36"/>
                <w:sz w:val="17"/>
              </w:rPr>
              <w:t>Heavy fuel oil</w:t>
            </w:r>
          </w:p>
        </w:tc>
        <w:tc>
          <w:tcPr>
            <w:tcW w:type="dxa" w:w="1512"/>
          </w:tcPr>
          <w:p>
            <w:pPr>
              <w:spacing w:after="20"/>
              <w:jc w:val="right"/>
            </w:pPr>
            <w:r>
              <w:rPr>
                <w:color w:val="1C3A36"/>
                <w:sz w:val="17"/>
              </w:rPr>
              <w:t>17,712</w:t>
            </w:r>
          </w:p>
        </w:tc>
        <w:tc>
          <w:tcPr>
            <w:tcW w:type="dxa" w:w="1469"/>
          </w:tcPr>
          <w:p>
            <w:pPr>
              <w:spacing w:after="20"/>
              <w:jc w:val="right"/>
            </w:pPr>
            <w:r>
              <w:rPr>
                <w:color w:val="1C3A36"/>
                <w:sz w:val="17"/>
              </w:rPr>
              <w:t>548</w:t>
            </w:r>
          </w:p>
        </w:tc>
        <w:tc>
          <w:tcPr>
            <w:tcW w:type="dxa" w:w="1469"/>
          </w:tcPr>
          <w:p>
            <w:pPr>
              <w:spacing w:after="20"/>
              <w:jc w:val="right"/>
            </w:pPr>
            <w:r>
              <w:rPr>
                <w:color w:val="1C3A36"/>
                <w:sz w:val="17"/>
              </w:rPr>
              <w:t>15,477</w:t>
            </w:r>
          </w:p>
        </w:tc>
        <w:tc>
          <w:tcPr>
            <w:tcW w:type="dxa" w:w="1469"/>
          </w:tcPr>
          <w:p>
            <w:pPr>
              <w:spacing w:after="20"/>
              <w:jc w:val="right"/>
            </w:pPr>
            <w:r>
              <w:rPr>
                <w:color w:val="1C3A36"/>
                <w:sz w:val="17"/>
              </w:rPr>
              <w:t>16,024</w:t>
            </w:r>
          </w:p>
        </w:tc>
        <w:tc>
          <w:tcPr>
            <w:tcW w:type="dxa" w:w="1368"/>
          </w:tcPr>
          <w:p>
            <w:pPr>
              <w:spacing w:after="20"/>
              <w:jc w:val="right"/>
            </w:pPr>
            <w:r>
              <w:rPr>
                <w:color w:val="1C3A36"/>
                <w:sz w:val="17"/>
              </w:rPr>
              <w:t>1,687</w:t>
            </w:r>
          </w:p>
        </w:tc>
        <w:tc>
          <w:tcPr>
            <w:tcW w:type="dxa" w:w="1008"/>
          </w:tcPr>
          <w:p>
            <w:pPr>
              <w:spacing w:after="20"/>
              <w:jc w:val="right"/>
            </w:pPr>
            <w:r>
              <w:rPr>
                <w:color w:val="1C3A36"/>
                <w:sz w:val="17"/>
              </w:rPr>
              <w:t>9.5%</w:t>
            </w:r>
          </w:p>
        </w:tc>
      </w:tr>
      <w:tr>
        <w:tc>
          <w:tcPr>
            <w:tcW w:type="dxa" w:w="2016"/>
            <w:shd w:val="clear" w:color="auto" w:fill="F6F1E6"/>
          </w:tcPr>
          <w:p>
            <w:pPr>
              <w:spacing w:after="20"/>
            </w:pPr>
            <w:r>
              <w:rPr>
                <w:b/>
                <w:color w:val="1C3A36"/>
                <w:sz w:val="17"/>
              </w:rPr>
              <w:t>Blended</w:t>
            </w:r>
          </w:p>
        </w:tc>
        <w:tc>
          <w:tcPr>
            <w:tcW w:type="dxa" w:w="1512"/>
            <w:shd w:val="clear" w:color="auto" w:fill="F6F1E6"/>
          </w:tcPr>
          <w:p>
            <w:pPr>
              <w:spacing w:after="20"/>
              <w:jc w:val="right"/>
            </w:pPr>
            <w:r>
              <w:rPr>
                <w:b/>
                <w:color w:val="1C3A36"/>
                <w:sz w:val="17"/>
              </w:rPr>
              <w:t>29,056</w:t>
            </w:r>
          </w:p>
        </w:tc>
        <w:tc>
          <w:tcPr>
            <w:tcW w:type="dxa" w:w="1469"/>
            <w:shd w:val="clear" w:color="auto" w:fill="F6F1E6"/>
          </w:tcPr>
          <w:p>
            <w:pPr>
              <w:spacing w:after="20"/>
              <w:jc w:val="right"/>
            </w:pPr>
            <w:r>
              <w:rPr>
                <w:b/>
                <w:color w:val="1C3A36"/>
                <w:sz w:val="17"/>
              </w:rPr>
            </w:r>
          </w:p>
        </w:tc>
        <w:tc>
          <w:tcPr>
            <w:tcW w:type="dxa" w:w="1469"/>
            <w:shd w:val="clear" w:color="auto" w:fill="F6F1E6"/>
          </w:tcPr>
          <w:p>
            <w:pPr>
              <w:spacing w:after="20"/>
              <w:jc w:val="right"/>
            </w:pPr>
            <w:r>
              <w:rPr>
                <w:b/>
                <w:color w:val="1C3A36"/>
                <w:sz w:val="17"/>
              </w:rPr>
            </w:r>
          </w:p>
        </w:tc>
        <w:tc>
          <w:tcPr>
            <w:tcW w:type="dxa" w:w="1469"/>
            <w:shd w:val="clear" w:color="auto" w:fill="F6F1E6"/>
          </w:tcPr>
          <w:p>
            <w:pPr>
              <w:spacing w:after="20"/>
              <w:jc w:val="right"/>
            </w:pPr>
            <w:r>
              <w:rPr>
                <w:b/>
                <w:color w:val="1C3A36"/>
                <w:sz w:val="17"/>
              </w:rPr>
              <w:t>26,441</w:t>
            </w:r>
          </w:p>
        </w:tc>
        <w:tc>
          <w:tcPr>
            <w:tcW w:type="dxa" w:w="1368"/>
            <w:shd w:val="clear" w:color="auto" w:fill="F6F1E6"/>
          </w:tcPr>
          <w:p>
            <w:pPr>
              <w:spacing w:after="20"/>
              <w:jc w:val="right"/>
            </w:pPr>
            <w:r>
              <w:rPr>
                <w:b/>
                <w:color w:val="1C3A36"/>
                <w:sz w:val="17"/>
              </w:rPr>
              <w:t>2,614</w:t>
            </w:r>
          </w:p>
        </w:tc>
        <w:tc>
          <w:tcPr>
            <w:tcW w:type="dxa" w:w="1008"/>
            <w:shd w:val="clear" w:color="auto" w:fill="F6F1E6"/>
          </w:tcPr>
          <w:p>
            <w:pPr>
              <w:spacing w:after="20"/>
              <w:jc w:val="right"/>
            </w:pPr>
            <w:r>
              <w:rPr>
                <w:b/>
                <w:color w:val="1C3A36"/>
                <w:sz w:val="17"/>
              </w:rPr>
              <w:t>9.0%</w:t>
            </w:r>
          </w:p>
        </w:tc>
      </w:tr>
    </w:tbl>
    <w:p>
      <w:pPr>
        <w:spacing w:after="40"/>
      </w:pPr>
    </w:p>
    <w:p>
      <w:pPr>
        <w:spacing w:after="200" w:before="0"/>
      </w:pPr>
      <w:r>
        <w:rPr>
          <w:b w:val="0"/>
          <w:i/>
          <w:color w:val="6E7B77"/>
          <w:sz w:val="17"/>
        </w:rPr>
        <w:t>Table 9 — per-line economics of the base year. The eight per-line costs rebuild the disclosed cost of sales exactly; that footing test is a live cell in the workbook. A tonne of base oil contributes 2.0 times the spread of a tonne of fuel oil, so the MIX now moves the margin. The previous edition applied one blended margin to all eight lines and described that as a bottom-up build; it was a single company-level number wearing eight labels, and it meant the mix could shift without the margin responding at all.</w:t>
      </w:r>
    </w:p>
    <w:p>
      <w:pPr>
        <w:spacing w:after="40"/>
        <w:jc w:val="center"/>
      </w:pPr>
      <w:r>
        <w:drawing>
          <wp:inline xmlns:a="http://schemas.openxmlformats.org/drawingml/2006/main" xmlns:pic="http://schemas.openxmlformats.org/drawingml/2006/picture">
            <wp:extent cx="6126480" cy="2318128"/>
            <wp:docPr id="2" name="Picture 2"/>
            <wp:cNvGraphicFramePr>
              <a:graphicFrameLocks noChangeAspect="1"/>
            </wp:cNvGraphicFramePr>
            <a:graphic>
              <a:graphicData uri="http://schemas.openxmlformats.org/drawingml/2006/picture">
                <pic:pic>
                  <pic:nvPicPr>
                    <pic:cNvPr id="0" name="fig5_spread.png"/>
                    <pic:cNvPicPr/>
                  </pic:nvPicPr>
                  <pic:blipFill>
                    <a:blip r:embed="rId10"/>
                    <a:stretch>
                      <a:fillRect/>
                    </a:stretch>
                  </pic:blipFill>
                  <pic:spPr>
                    <a:xfrm>
                      <a:off x="0" y="0"/>
                      <a:ext cx="6126480" cy="2318128"/>
                    </a:xfrm>
                    <a:prstGeom prst="rect"/>
                  </pic:spPr>
                </pic:pic>
              </a:graphicData>
            </a:graphic>
          </wp:inline>
        </w:drawing>
      </w:r>
    </w:p>
    <w:p>
      <w:pPr>
        <w:spacing w:after="200" w:before="0"/>
      </w:pPr>
      <w:r>
        <w:rPr>
          <w:b w:val="0"/>
          <w:i/>
          <w:color w:val="6E7B77"/>
          <w:sz w:val="17"/>
        </w:rPr>
        <w:t>Figure 2 — gross spread per tonne by line; gold is the specialty slate. Note that the specialty lines show a LOWER margin percentage on a HIGHER spread per tonne, because their realisation per tonne is nearly three times fuel oil’s. On a joint-product slate the percentage margin is the wrong lens and the spread per tonne is the right one.</w:t>
      </w:r>
    </w:p>
    <w:p>
      <w:pPr>
        <w:spacing w:after="120" w:before="0"/>
      </w:pPr>
      <w:r>
        <w:rPr>
          <w:b w:val="0"/>
          <w:i w:val="0"/>
          <w:color w:val="1C3A36"/>
          <w:sz w:val="21"/>
        </w:rPr>
        <w:t>THE ONE OPERATING INPUT NOT READ OFF A FILING. Note 15-A discloses the cost stack for the company and NOT by line, and note 14-A carries only price and volume — so any weight derived from note 14-A alone is a function of price, and a price-derived weight returns an identical margin on every line, which is precisely the defect this build exists to remove. The processing-intensity vector is therefore an engineering judgement. It is registered, dated and sourced like every other input, its effect is bounded (it redistributes cost BETWEEN lines while the company total stays pinned to note 15-A), and section 7 carries it as a named weakness rather than burying it in a formula.</w:t>
      </w:r>
    </w:p>
    <w:p>
      <w:pPr>
        <w:spacing w:after="80" w:before="200"/>
      </w:pPr>
      <w:r>
        <w:rPr>
          <w:b/>
          <w:i w:val="0"/>
          <w:color w:val="1C3A36"/>
          <w:sz w:val="24"/>
        </w:rPr>
        <w:t>1.6  The cost of capital, built rather than asserted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512"/>
        <w:gridCol w:w="1296"/>
        <w:gridCol w:w="4824"/>
      </w:tblGrid>
      <w:tr>
        <w:tc>
          <w:tcPr>
            <w:tcW w:type="dxa" w:w="2592"/>
            <w:shd w:val="clear" w:color="auto" w:fill="EAF0EE"/>
          </w:tcPr>
          <w:p>
            <w:pPr>
              <w:spacing w:after="20"/>
            </w:pPr>
            <w:r>
              <w:rPr>
                <w:b/>
                <w:color w:val="1C3A36"/>
                <w:sz w:val="17"/>
              </w:rPr>
              <w:t>Component</w:t>
            </w:r>
          </w:p>
        </w:tc>
        <w:tc>
          <w:tcPr>
            <w:tcW w:type="dxa" w:w="1512"/>
            <w:shd w:val="clear" w:color="auto" w:fill="EAF0EE"/>
          </w:tcPr>
          <w:p>
            <w:pPr>
              <w:spacing w:after="20"/>
            </w:pPr>
            <w:r>
              <w:rPr>
                <w:b/>
                <w:color w:val="1C3A36"/>
                <w:sz w:val="17"/>
              </w:rPr>
              <w:t>Explicit window</w:t>
            </w:r>
          </w:p>
        </w:tc>
        <w:tc>
          <w:tcPr>
            <w:tcW w:type="dxa" w:w="1296"/>
            <w:shd w:val="clear" w:color="auto" w:fill="EAF0EE"/>
          </w:tcPr>
          <w:p>
            <w:pPr>
              <w:spacing w:after="20"/>
            </w:pPr>
            <w:r>
              <w:rPr>
                <w:b/>
                <w:color w:val="1C3A36"/>
                <w:sz w:val="17"/>
              </w:rPr>
              <w:t>Terminal</w:t>
            </w:r>
          </w:p>
        </w:tc>
        <w:tc>
          <w:tcPr>
            <w:tcW w:type="dxa" w:w="4824"/>
            <w:shd w:val="clear" w:color="auto" w:fill="EAF0EE"/>
          </w:tcPr>
          <w:p>
            <w:pPr>
              <w:spacing w:after="20"/>
            </w:pPr>
            <w:r>
              <w:rPr>
                <w:b/>
                <w:color w:val="1C3A36"/>
                <w:sz w:val="17"/>
              </w:rPr>
              <w:t>Construction</w:t>
            </w:r>
          </w:p>
        </w:tc>
      </w:tr>
      <w:tr>
        <w:tc>
          <w:tcPr>
            <w:tcW w:type="dxa" w:w="2592"/>
          </w:tcPr>
          <w:p>
            <w:pPr>
              <w:spacing w:after="20"/>
            </w:pPr>
            <w:r>
              <w:rPr>
                <w:color w:val="1C3A36"/>
                <w:sz w:val="17"/>
              </w:rPr>
              <w:t>Risk-free rate</w:t>
            </w:r>
          </w:p>
        </w:tc>
        <w:tc>
          <w:tcPr>
            <w:tcW w:type="dxa" w:w="1512"/>
          </w:tcPr>
          <w:p>
            <w:pPr>
              <w:spacing w:after="20"/>
              <w:jc w:val="right"/>
            </w:pPr>
            <w:r>
              <w:rPr>
                <w:color w:val="1C3A36"/>
                <w:sz w:val="17"/>
              </w:rPr>
              <w:t>22.31%</w:t>
            </w:r>
          </w:p>
        </w:tc>
        <w:tc>
          <w:tcPr>
            <w:tcW w:type="dxa" w:w="1296"/>
          </w:tcPr>
          <w:p>
            <w:pPr>
              <w:spacing w:after="20"/>
              <w:jc w:val="right"/>
            </w:pPr>
            <w:r>
              <w:rPr>
                <w:color w:val="1C3A36"/>
                <w:sz w:val="17"/>
              </w:rPr>
              <w:t>12.50%</w:t>
            </w:r>
          </w:p>
        </w:tc>
        <w:tc>
          <w:tcPr>
            <w:tcW w:type="dxa" w:w="4824"/>
          </w:tcPr>
          <w:p>
            <w:pPr>
              <w:spacing w:after="20"/>
            </w:pPr>
            <w:r>
              <w:rPr>
                <w:color w:val="1C3A36"/>
                <w:sz w:val="17"/>
              </w:rPr>
              <w:t>Egypt 10-year local currency. The TERMINAL rate is DERIVED, not typed: the central bank’s inflation target IN FORCE for the terminal horizon (7%) plus a 5.5% real convention</w:t>
            </w:r>
          </w:p>
        </w:tc>
      </w:tr>
      <w:tr>
        <w:tc>
          <w:tcPr>
            <w:tcW w:type="dxa" w:w="2592"/>
          </w:tcPr>
          <w:p>
            <w:pPr>
              <w:spacing w:after="20"/>
            </w:pPr>
            <w:r>
              <w:rPr>
                <w:color w:val="1C3A36"/>
                <w:sz w:val="17"/>
              </w:rPr>
              <w:t>less sovereign default spread</w:t>
            </w:r>
          </w:p>
        </w:tc>
        <w:tc>
          <w:tcPr>
            <w:tcW w:type="dxa" w:w="1512"/>
          </w:tcPr>
          <w:p>
            <w:pPr>
              <w:spacing w:after="20"/>
              <w:jc w:val="right"/>
            </w:pPr>
            <w:r>
              <w:rPr>
                <w:color w:val="1C3A36"/>
                <w:sz w:val="17"/>
              </w:rPr>
              <w:t>−3.40%</w:t>
            </w:r>
          </w:p>
        </w:tc>
        <w:tc>
          <w:tcPr>
            <w:tcW w:type="dxa" w:w="1296"/>
          </w:tcPr>
          <w:p>
            <w:pPr>
              <w:spacing w:after="20"/>
              <w:jc w:val="right"/>
            </w:pPr>
            <w:r>
              <w:rPr>
                <w:color w:val="1C3A36"/>
                <w:sz w:val="17"/>
              </w:rPr>
              <w:t>—</w:t>
            </w:r>
          </w:p>
        </w:tc>
        <w:tc>
          <w:tcPr>
            <w:tcW w:type="dxa" w:w="4824"/>
          </w:tcPr>
          <w:p>
            <w:pPr>
              <w:spacing w:after="20"/>
            </w:pPr>
            <w:r>
              <w:rPr>
                <w:color w:val="1C3A36"/>
                <w:sz w:val="17"/>
              </w:rPr>
              <w:t>netted out of the risk-free rate so country risk is not counted in both the rate and the equity premium</w:t>
            </w:r>
          </w:p>
        </w:tc>
      </w:tr>
      <w:tr>
        <w:tc>
          <w:tcPr>
            <w:tcW w:type="dxa" w:w="2592"/>
          </w:tcPr>
          <w:p>
            <w:pPr>
              <w:spacing w:after="20"/>
            </w:pPr>
            <w:r>
              <w:rPr>
                <w:color w:val="1C3A36"/>
                <w:sz w:val="17"/>
              </w:rPr>
              <w:t>Equity risk premium</w:t>
            </w:r>
          </w:p>
        </w:tc>
        <w:tc>
          <w:tcPr>
            <w:tcW w:type="dxa" w:w="1512"/>
          </w:tcPr>
          <w:p>
            <w:pPr>
              <w:spacing w:after="20"/>
              <w:jc w:val="right"/>
            </w:pPr>
            <w:r>
              <w:rPr>
                <w:color w:val="1C3A36"/>
                <w:sz w:val="17"/>
              </w:rPr>
              <w:t>9.41%</w:t>
            </w:r>
          </w:p>
        </w:tc>
        <w:tc>
          <w:tcPr>
            <w:tcW w:type="dxa" w:w="1296"/>
          </w:tcPr>
          <w:p>
            <w:pPr>
              <w:spacing w:after="20"/>
              <w:jc w:val="right"/>
            </w:pPr>
            <w:r>
              <w:rPr>
                <w:color w:val="1C3A36"/>
                <w:sz w:val="17"/>
              </w:rPr>
              <w:t>7.00%</w:t>
            </w:r>
          </w:p>
        </w:tc>
        <w:tc>
          <w:tcPr>
            <w:tcW w:type="dxa" w:w="4824"/>
          </w:tcPr>
          <w:p>
            <w:pPr>
              <w:spacing w:after="20"/>
            </w:pPr>
            <w:r>
              <w:rPr>
                <w:color w:val="1C3A36"/>
                <w:sz w:val="17"/>
              </w:rPr>
              <w:t>CDS basis, Damodaran country file. The rating-basis alternative is computed and published in section 1.13</w:t>
            </w:r>
          </w:p>
        </w:tc>
      </w:tr>
      <w:tr>
        <w:tc>
          <w:tcPr>
            <w:tcW w:type="dxa" w:w="2592"/>
          </w:tcPr>
          <w:p>
            <w:pPr>
              <w:spacing w:after="20"/>
            </w:pPr>
            <w:r>
              <w:rPr>
                <w:color w:val="1C3A36"/>
                <w:sz w:val="17"/>
              </w:rPr>
              <w:t>Beta</w:t>
            </w:r>
          </w:p>
        </w:tc>
        <w:tc>
          <w:tcPr>
            <w:tcW w:type="dxa" w:w="1512"/>
          </w:tcPr>
          <w:p>
            <w:pPr>
              <w:spacing w:after="20"/>
              <w:jc w:val="right"/>
            </w:pPr>
            <w:r>
              <w:rPr>
                <w:color w:val="1C3A36"/>
                <w:sz w:val="17"/>
              </w:rPr>
              <w:t>0.940</w:t>
            </w:r>
          </w:p>
        </w:tc>
        <w:tc>
          <w:tcPr>
            <w:tcW w:type="dxa" w:w="1296"/>
          </w:tcPr>
          <w:p>
            <w:pPr>
              <w:spacing w:after="20"/>
              <w:jc w:val="right"/>
            </w:pPr>
            <w:r>
              <w:rPr>
                <w:color w:val="1C3A36"/>
                <w:sz w:val="17"/>
              </w:rPr>
              <w:t>0.940</w:t>
            </w:r>
          </w:p>
        </w:tc>
        <w:tc>
          <w:tcPr>
            <w:tcW w:type="dxa" w:w="4824"/>
          </w:tcPr>
          <w:p>
            <w:pPr>
              <w:spacing w:after="20"/>
            </w:pPr>
            <w:r>
              <w:rPr>
                <w:color w:val="1C3A36"/>
                <w:sz w:val="17"/>
              </w:rPr>
              <w:t>own-stock regression, n=257, R² 31.2%, standard error 0.087, 90% interval [0.797, 1.084]</w:t>
            </w:r>
          </w:p>
        </w:tc>
      </w:tr>
      <w:tr>
        <w:tc>
          <w:tcPr>
            <w:tcW w:type="dxa" w:w="2592"/>
            <w:shd w:val="clear" w:color="auto" w:fill="F6F1E6"/>
          </w:tcPr>
          <w:p>
            <w:pPr>
              <w:spacing w:after="20"/>
            </w:pPr>
            <w:r>
              <w:rPr>
                <w:b/>
                <w:color w:val="1C3A36"/>
                <w:sz w:val="17"/>
              </w:rPr>
              <w:t>COST OF EQUITY</w:t>
            </w:r>
          </w:p>
        </w:tc>
        <w:tc>
          <w:tcPr>
            <w:tcW w:type="dxa" w:w="1512"/>
            <w:shd w:val="clear" w:color="auto" w:fill="F6F1E6"/>
          </w:tcPr>
          <w:p>
            <w:pPr>
              <w:spacing w:after="20"/>
              <w:jc w:val="right"/>
            </w:pPr>
            <w:r>
              <w:rPr>
                <w:b/>
                <w:color w:val="1C3A36"/>
                <w:sz w:val="17"/>
              </w:rPr>
              <w:t>27.76%</w:t>
            </w:r>
          </w:p>
        </w:tc>
        <w:tc>
          <w:tcPr>
            <w:tcW w:type="dxa" w:w="1296"/>
            <w:shd w:val="clear" w:color="auto" w:fill="F6F1E6"/>
          </w:tcPr>
          <w:p>
            <w:pPr>
              <w:spacing w:after="20"/>
              <w:jc w:val="right"/>
            </w:pPr>
            <w:r>
              <w:rPr>
                <w:b/>
                <w:color w:val="1C3A36"/>
                <w:sz w:val="17"/>
              </w:rPr>
              <w:t>19.08%</w:t>
            </w:r>
          </w:p>
        </w:tc>
        <w:tc>
          <w:tcPr>
            <w:tcW w:type="dxa" w:w="4824"/>
            <w:shd w:val="clear" w:color="auto" w:fill="F6F1E6"/>
          </w:tcPr>
          <w:p>
            <w:pPr>
              <w:spacing w:after="20"/>
            </w:pPr>
            <w:r>
              <w:rPr>
                <w:b/>
                <w:color w:val="1C3A36"/>
                <w:sz w:val="17"/>
              </w:rPr>
            </w:r>
          </w:p>
        </w:tc>
      </w:tr>
      <w:tr>
        <w:tc>
          <w:tcPr>
            <w:tcW w:type="dxa" w:w="2592"/>
          </w:tcPr>
          <w:p>
            <w:pPr>
              <w:spacing w:after="20"/>
            </w:pPr>
            <w:r>
              <w:rPr>
                <w:color w:val="1C3A36"/>
                <w:sz w:val="17"/>
              </w:rPr>
              <w:t>Cost of debt, after tax</w:t>
            </w:r>
          </w:p>
        </w:tc>
        <w:tc>
          <w:tcPr>
            <w:tcW w:type="dxa" w:w="1512"/>
          </w:tcPr>
          <w:p>
            <w:pPr>
              <w:spacing w:after="20"/>
              <w:jc w:val="right"/>
            </w:pPr>
            <w:r>
              <w:rPr>
                <w:color w:val="1C3A36"/>
                <w:sz w:val="17"/>
              </w:rPr>
              <w:t>13.21%</w:t>
            </w:r>
          </w:p>
        </w:tc>
        <w:tc>
          <w:tcPr>
            <w:tcW w:type="dxa" w:w="1296"/>
          </w:tcPr>
          <w:p>
            <w:pPr>
              <w:spacing w:after="20"/>
              <w:jc w:val="right"/>
            </w:pPr>
            <w:r>
              <w:rPr>
                <w:color w:val="1C3A36"/>
                <w:sz w:val="17"/>
              </w:rPr>
              <w:t>11.68%</w:t>
            </w:r>
          </w:p>
        </w:tc>
        <w:tc>
          <w:tcPr>
            <w:tcW w:type="dxa" w:w="4824"/>
          </w:tcPr>
          <w:p>
            <w:pPr>
              <w:spacing w:after="20"/>
            </w:pPr>
            <w:r>
              <w:rPr>
                <w:color w:val="1C3A36"/>
                <w:sz w:val="17"/>
              </w:rPr>
              <w:t>on NET debt in the explicit window; the company is net cash</w:t>
            </w:r>
          </w:p>
        </w:tc>
      </w:tr>
      <w:tr>
        <w:tc>
          <w:tcPr>
            <w:tcW w:type="dxa" w:w="2592"/>
          </w:tcPr>
          <w:p>
            <w:pPr>
              <w:spacing w:after="20"/>
            </w:pPr>
            <w:r>
              <w:rPr>
                <w:color w:val="1C3A36"/>
                <w:sz w:val="17"/>
              </w:rPr>
              <w:t>Equity weight</w:t>
            </w:r>
          </w:p>
        </w:tc>
        <w:tc>
          <w:tcPr>
            <w:tcW w:type="dxa" w:w="1512"/>
          </w:tcPr>
          <w:p>
            <w:pPr>
              <w:spacing w:after="20"/>
              <w:jc w:val="right"/>
            </w:pPr>
            <w:r>
              <w:rPr>
                <w:color w:val="1C3A36"/>
                <w:sz w:val="17"/>
              </w:rPr>
              <w:t>126.24%</w:t>
            </w:r>
          </w:p>
        </w:tc>
        <w:tc>
          <w:tcPr>
            <w:tcW w:type="dxa" w:w="1296"/>
          </w:tcPr>
          <w:p>
            <w:pPr>
              <w:spacing w:after="20"/>
              <w:jc w:val="right"/>
            </w:pPr>
            <w:r>
              <w:rPr>
                <w:color w:val="1C3A36"/>
                <w:sz w:val="17"/>
              </w:rPr>
              <w:t>90.00%</w:t>
            </w:r>
          </w:p>
        </w:tc>
        <w:tc>
          <w:tcPr>
            <w:tcW w:type="dxa" w:w="4824"/>
          </w:tcPr>
          <w:p>
            <w:pPr>
              <w:spacing w:after="20"/>
            </w:pPr>
            <w:r>
              <w:rPr>
                <w:color w:val="1C3A36"/>
                <w:sz w:val="17"/>
              </w:rPr>
            </w:r>
          </w:p>
        </w:tc>
      </w:tr>
      <w:tr>
        <w:tc>
          <w:tcPr>
            <w:tcW w:type="dxa" w:w="2592"/>
          </w:tcPr>
          <w:p>
            <w:pPr>
              <w:spacing w:after="20"/>
            </w:pPr>
            <w:r>
              <w:rPr>
                <w:color w:val="1C3A36"/>
                <w:sz w:val="17"/>
              </w:rPr>
              <w:t>Debt weight</w:t>
            </w:r>
          </w:p>
        </w:tc>
        <w:tc>
          <w:tcPr>
            <w:tcW w:type="dxa" w:w="1512"/>
          </w:tcPr>
          <w:p>
            <w:pPr>
              <w:spacing w:after="20"/>
              <w:jc w:val="right"/>
            </w:pPr>
            <w:r>
              <w:rPr>
                <w:color w:val="1C3A36"/>
                <w:sz w:val="17"/>
              </w:rPr>
              <w:t>-26.24%</w:t>
            </w:r>
          </w:p>
        </w:tc>
        <w:tc>
          <w:tcPr>
            <w:tcW w:type="dxa" w:w="1296"/>
          </w:tcPr>
          <w:p>
            <w:pPr>
              <w:spacing w:after="20"/>
              <w:jc w:val="right"/>
            </w:pPr>
            <w:r>
              <w:rPr>
                <w:color w:val="1C3A36"/>
                <w:sz w:val="17"/>
              </w:rPr>
              <w:t>10.00%</w:t>
            </w:r>
          </w:p>
        </w:tc>
        <w:tc>
          <w:tcPr>
            <w:tcW w:type="dxa" w:w="4824"/>
          </w:tcPr>
          <w:p>
            <w:pPr>
              <w:spacing w:after="20"/>
            </w:pPr>
            <w:r>
              <w:rPr>
                <w:color w:val="1C3A36"/>
                <w:sz w:val="17"/>
              </w:rPr>
              <w:t>NEGATIVE in the explicit window — the company holds net cash</w:t>
            </w:r>
          </w:p>
        </w:tc>
      </w:tr>
      <w:tr>
        <w:tc>
          <w:tcPr>
            <w:tcW w:type="dxa" w:w="2592"/>
            <w:shd w:val="clear" w:color="auto" w:fill="F6F1E6"/>
          </w:tcPr>
          <w:p>
            <w:pPr>
              <w:spacing w:after="20"/>
            </w:pPr>
            <w:r>
              <w:rPr>
                <w:b/>
                <w:color w:val="1C3A36"/>
                <w:sz w:val="17"/>
              </w:rPr>
              <w:t>WEIGHTED COST OF CAPITAL</w:t>
            </w:r>
          </w:p>
        </w:tc>
        <w:tc>
          <w:tcPr>
            <w:tcW w:type="dxa" w:w="1512"/>
            <w:shd w:val="clear" w:color="auto" w:fill="F6F1E6"/>
          </w:tcPr>
          <w:p>
            <w:pPr>
              <w:spacing w:after="20"/>
              <w:jc w:val="right"/>
            </w:pPr>
            <w:r>
              <w:rPr>
                <w:b/>
                <w:color w:val="1C3A36"/>
                <w:sz w:val="17"/>
              </w:rPr>
              <w:t>31.58%</w:t>
            </w:r>
          </w:p>
        </w:tc>
        <w:tc>
          <w:tcPr>
            <w:tcW w:type="dxa" w:w="1296"/>
            <w:shd w:val="clear" w:color="auto" w:fill="F6F1E6"/>
          </w:tcPr>
          <w:p>
            <w:pPr>
              <w:spacing w:after="20"/>
              <w:jc w:val="right"/>
            </w:pPr>
            <w:r>
              <w:rPr>
                <w:b/>
                <w:color w:val="1C3A36"/>
                <w:sz w:val="17"/>
              </w:rPr>
              <w:t>18.34%</w:t>
            </w:r>
          </w:p>
        </w:tc>
        <w:tc>
          <w:tcPr>
            <w:tcW w:type="dxa" w:w="4824"/>
            <w:shd w:val="clear" w:color="auto" w:fill="F6F1E6"/>
          </w:tcPr>
          <w:p>
            <w:pPr>
              <w:spacing w:after="20"/>
            </w:pPr>
            <w:r>
              <w:rPr>
                <w:b/>
                <w:color w:val="1C3A36"/>
                <w:sz w:val="17"/>
              </w:rPr>
              <w:t>the negative debt weight RAISES the operating rate above the cost of equity</w:t>
            </w:r>
          </w:p>
        </w:tc>
      </w:tr>
    </w:tbl>
    <w:p>
      <w:pPr>
        <w:spacing w:after="40"/>
      </w:pPr>
    </w:p>
    <w:p>
      <w:pPr>
        <w:spacing w:after="200" w:before="0"/>
      </w:pPr>
      <w:r>
        <w:rPr>
          <w:b w:val="0"/>
          <w:i/>
          <w:color w:val="6E7B77"/>
          <w:sz w:val="17"/>
        </w:rPr>
        <w:t>Table 10 — the discount-rate stack. The construction that matters most here is the net-cash weighting. A naive model lets a cash pile drag the weighted rate DOWN; this one applies a negative debt weight of -26.2%, which forces the operating rate to 31.6% — ABOVE the 27.8% cost of equity — correctly isolating and penalising the risk of the pure unlevered operating assets. The unlevering identity is asserted in the build to recombine exactly.</w:t>
      </w:r>
    </w:p>
    <w:p>
      <w:pPr>
        <w:spacing w:after="80" w:before="200"/>
      </w:pPr>
      <w:r>
        <w:rPr>
          <w:b/>
          <w:i w:val="0"/>
          <w:color w:val="1C3A36"/>
          <w:sz w:val="24"/>
        </w:rPr>
        <w:t>1.7  The discount-rate schedule, year by year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195"/>
        <w:gridCol w:w="1195"/>
        <w:gridCol w:w="1195"/>
        <w:gridCol w:w="1195"/>
        <w:gridCol w:w="1195"/>
        <w:gridCol w:w="1224"/>
      </w:tblGrid>
      <w:tr>
        <w:tc>
          <w:tcPr>
            <w:tcW w:type="dxa" w:w="3024"/>
            <w:shd w:val="clear" w:color="auto" w:fill="EAF0EE"/>
          </w:tcPr>
          <w:p>
            <w:pPr>
              <w:spacing w:after="20"/>
            </w:pPr>
            <w:r>
              <w:rPr>
                <w:b/>
                <w:color w:val="1C3A36"/>
                <w:sz w:val="17"/>
              </w:rPr>
            </w:r>
          </w:p>
        </w:tc>
        <w:tc>
          <w:tcPr>
            <w:tcW w:type="dxa" w:w="1195"/>
            <w:shd w:val="clear" w:color="auto" w:fill="EAF0EE"/>
          </w:tcPr>
          <w:p>
            <w:pPr>
              <w:spacing w:after="20"/>
            </w:pPr>
            <w:r>
              <w:rPr>
                <w:b/>
                <w:color w:val="1C3A36"/>
                <w:sz w:val="17"/>
              </w:rPr>
              <w:t>2026E</w:t>
            </w:r>
          </w:p>
        </w:tc>
        <w:tc>
          <w:tcPr>
            <w:tcW w:type="dxa" w:w="1195"/>
            <w:shd w:val="clear" w:color="auto" w:fill="EAF0EE"/>
          </w:tcPr>
          <w:p>
            <w:pPr>
              <w:spacing w:after="20"/>
            </w:pPr>
            <w:r>
              <w:rPr>
                <w:b/>
                <w:color w:val="1C3A36"/>
                <w:sz w:val="17"/>
              </w:rPr>
              <w:t>2027E</w:t>
            </w:r>
          </w:p>
        </w:tc>
        <w:tc>
          <w:tcPr>
            <w:tcW w:type="dxa" w:w="1195"/>
            <w:shd w:val="clear" w:color="auto" w:fill="EAF0EE"/>
          </w:tcPr>
          <w:p>
            <w:pPr>
              <w:spacing w:after="20"/>
            </w:pPr>
            <w:r>
              <w:rPr>
                <w:b/>
                <w:color w:val="1C3A36"/>
                <w:sz w:val="17"/>
              </w:rPr>
              <w:t>2028E</w:t>
            </w:r>
          </w:p>
        </w:tc>
        <w:tc>
          <w:tcPr>
            <w:tcW w:type="dxa" w:w="1195"/>
            <w:shd w:val="clear" w:color="auto" w:fill="EAF0EE"/>
          </w:tcPr>
          <w:p>
            <w:pPr>
              <w:spacing w:after="20"/>
            </w:pPr>
            <w:r>
              <w:rPr>
                <w:b/>
                <w:color w:val="1C3A36"/>
                <w:sz w:val="17"/>
              </w:rPr>
              <w:t>2029E</w:t>
            </w:r>
          </w:p>
        </w:tc>
        <w:tc>
          <w:tcPr>
            <w:tcW w:type="dxa" w:w="1195"/>
            <w:shd w:val="clear" w:color="auto" w:fill="EAF0EE"/>
          </w:tcPr>
          <w:p>
            <w:pPr>
              <w:spacing w:after="20"/>
            </w:pPr>
            <w:r>
              <w:rPr>
                <w:b/>
                <w:color w:val="1C3A36"/>
                <w:sz w:val="17"/>
              </w:rPr>
              <w:t>2030E</w:t>
            </w:r>
          </w:p>
        </w:tc>
        <w:tc>
          <w:tcPr>
            <w:tcW w:type="dxa" w:w="1224"/>
            <w:shd w:val="clear" w:color="auto" w:fill="EAF0EE"/>
          </w:tcPr>
          <w:p>
            <w:pPr>
              <w:spacing w:after="20"/>
            </w:pPr>
            <w:r>
              <w:rPr>
                <w:b/>
                <w:color w:val="1C3A36"/>
                <w:sz w:val="17"/>
              </w:rPr>
              <w:t>Terminal</w:t>
            </w:r>
          </w:p>
        </w:tc>
      </w:tr>
      <w:tr>
        <w:tc>
          <w:tcPr>
            <w:tcW w:type="dxa" w:w="3024"/>
          </w:tcPr>
          <w:p>
            <w:pPr>
              <w:spacing w:after="20"/>
            </w:pPr>
            <w:r>
              <w:rPr>
                <w:color w:val="1C3A36"/>
                <w:sz w:val="17"/>
              </w:rPr>
              <w:t>Glide fraction</w:t>
            </w:r>
          </w:p>
        </w:tc>
        <w:tc>
          <w:tcPr>
            <w:tcW w:type="dxa" w:w="1195"/>
          </w:tcPr>
          <w:p>
            <w:pPr>
              <w:spacing w:after="20"/>
              <w:jc w:val="right"/>
            </w:pPr>
            <w:r>
              <w:rPr>
                <w:color w:val="1C3A36"/>
                <w:sz w:val="17"/>
              </w:rPr>
              <w:t>0.000</w:t>
            </w:r>
          </w:p>
        </w:tc>
        <w:tc>
          <w:tcPr>
            <w:tcW w:type="dxa" w:w="1195"/>
          </w:tcPr>
          <w:p>
            <w:pPr>
              <w:spacing w:after="20"/>
              <w:jc w:val="right"/>
            </w:pPr>
            <w:r>
              <w:rPr>
                <w:color w:val="1C3A36"/>
                <w:sz w:val="17"/>
              </w:rPr>
              <w:t>0.357</w:t>
            </w:r>
          </w:p>
        </w:tc>
        <w:tc>
          <w:tcPr>
            <w:tcW w:type="dxa" w:w="1195"/>
          </w:tcPr>
          <w:p>
            <w:pPr>
              <w:spacing w:after="20"/>
              <w:jc w:val="right"/>
            </w:pPr>
            <w:r>
              <w:rPr>
                <w:color w:val="1C3A36"/>
                <w:sz w:val="17"/>
              </w:rPr>
              <w:t>0.643</w:t>
            </w:r>
          </w:p>
        </w:tc>
        <w:tc>
          <w:tcPr>
            <w:tcW w:type="dxa" w:w="1195"/>
          </w:tcPr>
          <w:p>
            <w:pPr>
              <w:spacing w:after="20"/>
              <w:jc w:val="right"/>
            </w:pPr>
            <w:r>
              <w:rPr>
                <w:color w:val="1C3A36"/>
                <w:sz w:val="17"/>
              </w:rPr>
              <w:t>0.857</w:t>
            </w:r>
          </w:p>
        </w:tc>
        <w:tc>
          <w:tcPr>
            <w:tcW w:type="dxa" w:w="1195"/>
          </w:tcPr>
          <w:p>
            <w:pPr>
              <w:spacing w:after="20"/>
              <w:jc w:val="right"/>
            </w:pPr>
            <w:r>
              <w:rPr>
                <w:color w:val="1C3A36"/>
                <w:sz w:val="17"/>
              </w:rPr>
              <w:t>1.000</w:t>
            </w:r>
          </w:p>
        </w:tc>
        <w:tc>
          <w:tcPr>
            <w:tcW w:type="dxa" w:w="1224"/>
          </w:tcPr>
          <w:p>
            <w:pPr>
              <w:spacing w:after="20"/>
              <w:jc w:val="right"/>
            </w:pPr>
            <w:r>
              <w:rPr>
                <w:color w:val="1C3A36"/>
                <w:sz w:val="17"/>
              </w:rPr>
              <w:t>1.000</w:t>
            </w:r>
          </w:p>
        </w:tc>
      </w:tr>
      <w:tr>
        <w:tc>
          <w:tcPr>
            <w:tcW w:type="dxa" w:w="3024"/>
          </w:tcPr>
          <w:p>
            <w:pPr>
              <w:spacing w:after="20"/>
            </w:pPr>
            <w:r>
              <w:rPr>
                <w:color w:val="1C3A36"/>
                <w:sz w:val="17"/>
              </w:rPr>
              <w:t>Forward cost of capital</w:t>
            </w:r>
          </w:p>
        </w:tc>
        <w:tc>
          <w:tcPr>
            <w:tcW w:type="dxa" w:w="1195"/>
          </w:tcPr>
          <w:p>
            <w:pPr>
              <w:spacing w:after="20"/>
              <w:jc w:val="right"/>
            </w:pPr>
            <w:r>
              <w:rPr>
                <w:color w:val="1C3A36"/>
                <w:sz w:val="17"/>
              </w:rPr>
              <w:t>31.58%</w:t>
            </w:r>
          </w:p>
        </w:tc>
        <w:tc>
          <w:tcPr>
            <w:tcW w:type="dxa" w:w="1195"/>
          </w:tcPr>
          <w:p>
            <w:pPr>
              <w:spacing w:after="20"/>
              <w:jc w:val="right"/>
            </w:pPr>
            <w:r>
              <w:rPr>
                <w:color w:val="1C3A36"/>
                <w:sz w:val="17"/>
              </w:rPr>
              <w:t>26.85%</w:t>
            </w:r>
          </w:p>
        </w:tc>
        <w:tc>
          <w:tcPr>
            <w:tcW w:type="dxa" w:w="1195"/>
          </w:tcPr>
          <w:p>
            <w:pPr>
              <w:spacing w:after="20"/>
              <w:jc w:val="right"/>
            </w:pPr>
            <w:r>
              <w:rPr>
                <w:color w:val="1C3A36"/>
                <w:sz w:val="17"/>
              </w:rPr>
              <w:t>23.07%</w:t>
            </w:r>
          </w:p>
        </w:tc>
        <w:tc>
          <w:tcPr>
            <w:tcW w:type="dxa" w:w="1195"/>
          </w:tcPr>
          <w:p>
            <w:pPr>
              <w:spacing w:after="20"/>
              <w:jc w:val="right"/>
            </w:pPr>
            <w:r>
              <w:rPr>
                <w:color w:val="1C3A36"/>
                <w:sz w:val="17"/>
              </w:rPr>
              <w:t>20.23%</w:t>
            </w:r>
          </w:p>
        </w:tc>
        <w:tc>
          <w:tcPr>
            <w:tcW w:type="dxa" w:w="1195"/>
          </w:tcPr>
          <w:p>
            <w:pPr>
              <w:spacing w:after="20"/>
              <w:jc w:val="right"/>
            </w:pPr>
            <w:r>
              <w:rPr>
                <w:color w:val="1C3A36"/>
                <w:sz w:val="17"/>
              </w:rPr>
              <w:t>18.34%</w:t>
            </w:r>
          </w:p>
        </w:tc>
        <w:tc>
          <w:tcPr>
            <w:tcW w:type="dxa" w:w="1224"/>
          </w:tcPr>
          <w:p>
            <w:pPr>
              <w:spacing w:after="20"/>
              <w:jc w:val="right"/>
            </w:pPr>
            <w:r>
              <w:rPr>
                <w:color w:val="1C3A36"/>
                <w:sz w:val="17"/>
              </w:rPr>
              <w:t>18.34%</w:t>
            </w:r>
          </w:p>
        </w:tc>
      </w:tr>
      <w:tr>
        <w:tc>
          <w:tcPr>
            <w:tcW w:type="dxa" w:w="3024"/>
          </w:tcPr>
          <w:p>
            <w:pPr>
              <w:spacing w:after="20"/>
            </w:pPr>
            <w:r>
              <w:rPr>
                <w:color w:val="1C3A36"/>
                <w:sz w:val="17"/>
              </w:rPr>
              <w:t>Cumulative discount factor</w:t>
            </w:r>
          </w:p>
        </w:tc>
        <w:tc>
          <w:tcPr>
            <w:tcW w:type="dxa" w:w="1195"/>
          </w:tcPr>
          <w:p>
            <w:pPr>
              <w:spacing w:after="20"/>
              <w:jc w:val="right"/>
            </w:pPr>
            <w:r>
              <w:rPr>
                <w:color w:val="1C3A36"/>
                <w:sz w:val="17"/>
              </w:rPr>
              <w:t>0.76000</w:t>
            </w:r>
          </w:p>
        </w:tc>
        <w:tc>
          <w:tcPr>
            <w:tcW w:type="dxa" w:w="1195"/>
          </w:tcPr>
          <w:p>
            <w:pPr>
              <w:spacing w:after="20"/>
              <w:jc w:val="right"/>
            </w:pPr>
            <w:r>
              <w:rPr>
                <w:color w:val="1C3A36"/>
                <w:sz w:val="17"/>
              </w:rPr>
              <w:t>0.59913</w:t>
            </w:r>
          </w:p>
        </w:tc>
        <w:tc>
          <w:tcPr>
            <w:tcW w:type="dxa" w:w="1195"/>
          </w:tcPr>
          <w:p>
            <w:pPr>
              <w:spacing w:after="20"/>
              <w:jc w:val="right"/>
            </w:pPr>
            <w:r>
              <w:rPr>
                <w:color w:val="1C3A36"/>
                <w:sz w:val="17"/>
              </w:rPr>
              <w:t>0.48682</w:t>
            </w:r>
          </w:p>
        </w:tc>
        <w:tc>
          <w:tcPr>
            <w:tcW w:type="dxa" w:w="1195"/>
          </w:tcPr>
          <w:p>
            <w:pPr>
              <w:spacing w:after="20"/>
              <w:jc w:val="right"/>
            </w:pPr>
            <w:r>
              <w:rPr>
                <w:color w:val="1C3A36"/>
                <w:sz w:val="17"/>
              </w:rPr>
              <w:t>0.40489</w:t>
            </w:r>
          </w:p>
        </w:tc>
        <w:tc>
          <w:tcPr>
            <w:tcW w:type="dxa" w:w="1195"/>
          </w:tcPr>
          <w:p>
            <w:pPr>
              <w:spacing w:after="20"/>
              <w:jc w:val="right"/>
            </w:pPr>
            <w:r>
              <w:rPr>
                <w:color w:val="1C3A36"/>
                <w:sz w:val="17"/>
              </w:rPr>
              <w:t>0.34213</w:t>
            </w:r>
          </w:p>
        </w:tc>
        <w:tc>
          <w:tcPr>
            <w:tcW w:type="dxa" w:w="1224"/>
          </w:tcPr>
          <w:p>
            <w:pPr>
              <w:spacing w:after="20"/>
              <w:jc w:val="right"/>
            </w:pPr>
            <w:r>
              <w:rPr>
                <w:color w:val="1C3A36"/>
                <w:sz w:val="17"/>
              </w:rPr>
            </w:r>
          </w:p>
        </w:tc>
      </w:tr>
    </w:tbl>
    <w:p>
      <w:pPr>
        <w:spacing w:after="40"/>
      </w:pPr>
    </w:p>
    <w:p>
      <w:pPr>
        <w:spacing w:after="200" w:before="0"/>
      </w:pPr>
      <w:r>
        <w:rPr>
          <w:b w:val="0"/>
          <w:i/>
          <w:color w:val="6E7B77"/>
          <w:sz w:val="17"/>
        </w:rPr>
        <w:t>Table 11 — one date, one price of time. Each year is discounted at its OWN forward rate, and the glide from the explicit anchor to the terminal anchor is inherited from the cost-of-debt path’s own cumulative progress rather than invented as a straight line. The terminal block is discounted at the year-5 cumulative factor.</w:t>
      </w:r>
    </w:p>
    <w:p>
      <w:pPr>
        <w:spacing w:after="80" w:before="200"/>
      </w:pPr>
      <w:r>
        <w:rPr>
          <w:b/>
          <w:i w:val="0"/>
          <w:color w:val="1C3A36"/>
          <w:sz w:val="24"/>
        </w:rPr>
        <w:t>1.8  The free-cash-flow waterfall and the enterprise-value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38"/>
        <w:gridCol w:w="1238"/>
        <w:gridCol w:w="1238"/>
        <w:gridCol w:w="1238"/>
        <w:gridCol w:w="1238"/>
      </w:tblGrid>
      <w:tr>
        <w:tc>
          <w:tcPr>
            <w:tcW w:type="dxa" w:w="3600"/>
            <w:shd w:val="clear" w:color="auto" w:fill="EAF0EE"/>
          </w:tcPr>
          <w:p>
            <w:pPr>
              <w:spacing w:after="20"/>
            </w:pPr>
            <w:r>
              <w:rPr>
                <w:b/>
                <w:color w:val="1C3A36"/>
                <w:sz w:val="17"/>
              </w:rPr>
            </w:r>
          </w:p>
        </w:tc>
        <w:tc>
          <w:tcPr>
            <w:tcW w:type="dxa" w:w="1238"/>
            <w:shd w:val="clear" w:color="auto" w:fill="EAF0EE"/>
          </w:tcPr>
          <w:p>
            <w:pPr>
              <w:spacing w:after="20"/>
            </w:pPr>
            <w:r>
              <w:rPr>
                <w:b/>
                <w:color w:val="1C3A36"/>
                <w:sz w:val="17"/>
              </w:rPr>
              <w:t>2026E</w:t>
            </w:r>
          </w:p>
        </w:tc>
        <w:tc>
          <w:tcPr>
            <w:tcW w:type="dxa" w:w="1238"/>
            <w:shd w:val="clear" w:color="auto" w:fill="EAF0EE"/>
          </w:tcPr>
          <w:p>
            <w:pPr>
              <w:spacing w:after="20"/>
            </w:pPr>
            <w:r>
              <w:rPr>
                <w:b/>
                <w:color w:val="1C3A36"/>
                <w:sz w:val="17"/>
              </w:rPr>
              <w:t>2027E</w:t>
            </w:r>
          </w:p>
        </w:tc>
        <w:tc>
          <w:tcPr>
            <w:tcW w:type="dxa" w:w="1238"/>
            <w:shd w:val="clear" w:color="auto" w:fill="EAF0EE"/>
          </w:tcPr>
          <w:p>
            <w:pPr>
              <w:spacing w:after="20"/>
            </w:pPr>
            <w:r>
              <w:rPr>
                <w:b/>
                <w:color w:val="1C3A36"/>
                <w:sz w:val="17"/>
              </w:rPr>
              <w:t>2028E</w:t>
            </w:r>
          </w:p>
        </w:tc>
        <w:tc>
          <w:tcPr>
            <w:tcW w:type="dxa" w:w="1238"/>
            <w:shd w:val="clear" w:color="auto" w:fill="EAF0EE"/>
          </w:tcPr>
          <w:p>
            <w:pPr>
              <w:spacing w:after="20"/>
            </w:pPr>
            <w:r>
              <w:rPr>
                <w:b/>
                <w:color w:val="1C3A36"/>
                <w:sz w:val="17"/>
              </w:rPr>
              <w:t>2029E</w:t>
            </w:r>
          </w:p>
        </w:tc>
        <w:tc>
          <w:tcPr>
            <w:tcW w:type="dxa" w:w="1238"/>
            <w:shd w:val="clear" w:color="auto" w:fill="EAF0EE"/>
          </w:tcPr>
          <w:p>
            <w:pPr>
              <w:spacing w:after="20"/>
            </w:pPr>
            <w:r>
              <w:rPr>
                <w:b/>
                <w:color w:val="1C3A36"/>
                <w:sz w:val="17"/>
              </w:rPr>
              <w:t>2030E</w:t>
            </w:r>
          </w:p>
        </w:tc>
      </w:tr>
      <w:tr>
        <w:tc>
          <w:tcPr>
            <w:tcW w:type="dxa" w:w="3600"/>
          </w:tcPr>
          <w:p>
            <w:pPr>
              <w:spacing w:after="20"/>
            </w:pPr>
            <w:r>
              <w:rPr>
                <w:color w:val="1C3A36"/>
                <w:sz w:val="17"/>
              </w:rPr>
              <w:t>Revenue</w:t>
            </w:r>
          </w:p>
        </w:tc>
        <w:tc>
          <w:tcPr>
            <w:tcW w:type="dxa" w:w="1238"/>
          </w:tcPr>
          <w:p>
            <w:pPr>
              <w:spacing w:after="20"/>
              <w:jc w:val="right"/>
            </w:pPr>
            <w:r>
              <w:rPr>
                <w:color w:val="1C3A36"/>
                <w:sz w:val="17"/>
              </w:rPr>
              <w:t>52,841</w:t>
            </w:r>
          </w:p>
        </w:tc>
        <w:tc>
          <w:tcPr>
            <w:tcW w:type="dxa" w:w="1238"/>
          </w:tcPr>
          <w:p>
            <w:pPr>
              <w:spacing w:after="20"/>
              <w:jc w:val="right"/>
            </w:pPr>
            <w:r>
              <w:rPr>
                <w:color w:val="1C3A36"/>
                <w:sz w:val="17"/>
              </w:rPr>
              <w:t>58,432</w:t>
            </w:r>
          </w:p>
        </w:tc>
        <w:tc>
          <w:tcPr>
            <w:tcW w:type="dxa" w:w="1238"/>
          </w:tcPr>
          <w:p>
            <w:pPr>
              <w:spacing w:after="20"/>
              <w:jc w:val="right"/>
            </w:pPr>
            <w:r>
              <w:rPr>
                <w:color w:val="1C3A36"/>
                <w:sz w:val="17"/>
              </w:rPr>
              <w:t>63,773</w:t>
            </w:r>
          </w:p>
        </w:tc>
        <w:tc>
          <w:tcPr>
            <w:tcW w:type="dxa" w:w="1238"/>
          </w:tcPr>
          <w:p>
            <w:pPr>
              <w:spacing w:after="20"/>
              <w:jc w:val="right"/>
            </w:pPr>
            <w:r>
              <w:rPr>
                <w:color w:val="1C3A36"/>
                <w:sz w:val="17"/>
              </w:rPr>
              <w:t>68,952</w:t>
            </w:r>
          </w:p>
        </w:tc>
        <w:tc>
          <w:tcPr>
            <w:tcW w:type="dxa" w:w="1238"/>
          </w:tcPr>
          <w:p>
            <w:pPr>
              <w:spacing w:after="20"/>
              <w:jc w:val="right"/>
            </w:pPr>
            <w:r>
              <w:rPr>
                <w:color w:val="1C3A36"/>
                <w:sz w:val="17"/>
              </w:rPr>
              <w:t>73,978</w:t>
            </w:r>
          </w:p>
        </w:tc>
      </w:tr>
      <w:tr>
        <w:tc>
          <w:tcPr>
            <w:tcW w:type="dxa" w:w="3600"/>
          </w:tcPr>
          <w:p>
            <w:pPr>
              <w:spacing w:after="20"/>
            </w:pPr>
            <w:r>
              <w:rPr>
                <w:color w:val="1C3A36"/>
                <w:sz w:val="17"/>
              </w:rPr>
              <w:t>Cost of sales</w:t>
            </w:r>
          </w:p>
        </w:tc>
        <w:tc>
          <w:tcPr>
            <w:tcW w:type="dxa" w:w="1238"/>
          </w:tcPr>
          <w:p>
            <w:pPr>
              <w:spacing w:after="20"/>
              <w:jc w:val="right"/>
            </w:pPr>
            <w:r>
              <w:rPr>
                <w:color w:val="1C3A36"/>
                <w:sz w:val="17"/>
              </w:rPr>
              <w:t>48,291</w:t>
            </w:r>
          </w:p>
        </w:tc>
        <w:tc>
          <w:tcPr>
            <w:tcW w:type="dxa" w:w="1238"/>
          </w:tcPr>
          <w:p>
            <w:pPr>
              <w:spacing w:after="20"/>
              <w:jc w:val="right"/>
            </w:pPr>
            <w:r>
              <w:rPr>
                <w:color w:val="1C3A36"/>
                <w:sz w:val="17"/>
              </w:rPr>
              <w:t>53,648</w:t>
            </w:r>
          </w:p>
        </w:tc>
        <w:tc>
          <w:tcPr>
            <w:tcW w:type="dxa" w:w="1238"/>
          </w:tcPr>
          <w:p>
            <w:pPr>
              <w:spacing w:after="20"/>
              <w:jc w:val="right"/>
            </w:pPr>
            <w:r>
              <w:rPr>
                <w:color w:val="1C3A36"/>
                <w:sz w:val="17"/>
              </w:rPr>
              <w:t>58,815</w:t>
            </w:r>
          </w:p>
        </w:tc>
        <w:tc>
          <w:tcPr>
            <w:tcW w:type="dxa" w:w="1238"/>
          </w:tcPr>
          <w:p>
            <w:pPr>
              <w:spacing w:after="20"/>
              <w:jc w:val="right"/>
            </w:pPr>
            <w:r>
              <w:rPr>
                <w:color w:val="1C3A36"/>
                <w:sz w:val="17"/>
              </w:rPr>
              <w:t>63,848</w:t>
            </w:r>
          </w:p>
        </w:tc>
        <w:tc>
          <w:tcPr>
            <w:tcW w:type="dxa" w:w="1238"/>
          </w:tcPr>
          <w:p>
            <w:pPr>
              <w:spacing w:after="20"/>
              <w:jc w:val="right"/>
            </w:pPr>
            <w:r>
              <w:rPr>
                <w:color w:val="1C3A36"/>
                <w:sz w:val="17"/>
              </w:rPr>
              <w:t>68,797</w:t>
            </w:r>
          </w:p>
        </w:tc>
      </w:tr>
      <w:tr>
        <w:tc>
          <w:tcPr>
            <w:tcW w:type="dxa" w:w="3600"/>
            <w:shd w:val="clear" w:color="auto" w:fill="F6F1E6"/>
          </w:tcPr>
          <w:p>
            <w:pPr>
              <w:spacing w:after="20"/>
            </w:pPr>
            <w:r>
              <w:rPr>
                <w:b/>
                <w:color w:val="1C3A36"/>
                <w:sz w:val="17"/>
              </w:rPr>
              <w:t>GROSS PROFIT</w:t>
            </w:r>
          </w:p>
        </w:tc>
        <w:tc>
          <w:tcPr>
            <w:tcW w:type="dxa" w:w="1238"/>
            <w:shd w:val="clear" w:color="auto" w:fill="F6F1E6"/>
          </w:tcPr>
          <w:p>
            <w:pPr>
              <w:spacing w:after="20"/>
              <w:jc w:val="right"/>
            </w:pPr>
            <w:r>
              <w:rPr>
                <w:b/>
                <w:color w:val="1C3A36"/>
                <w:sz w:val="17"/>
              </w:rPr>
              <w:t>4,550</w:t>
            </w:r>
          </w:p>
        </w:tc>
        <w:tc>
          <w:tcPr>
            <w:tcW w:type="dxa" w:w="1238"/>
            <w:shd w:val="clear" w:color="auto" w:fill="F6F1E6"/>
          </w:tcPr>
          <w:p>
            <w:pPr>
              <w:spacing w:after="20"/>
              <w:jc w:val="right"/>
            </w:pPr>
            <w:r>
              <w:rPr>
                <w:b/>
                <w:color w:val="1C3A36"/>
                <w:sz w:val="17"/>
              </w:rPr>
              <w:t>4,784</w:t>
            </w:r>
          </w:p>
        </w:tc>
        <w:tc>
          <w:tcPr>
            <w:tcW w:type="dxa" w:w="1238"/>
            <w:shd w:val="clear" w:color="auto" w:fill="F6F1E6"/>
          </w:tcPr>
          <w:p>
            <w:pPr>
              <w:spacing w:after="20"/>
              <w:jc w:val="right"/>
            </w:pPr>
            <w:r>
              <w:rPr>
                <w:b/>
                <w:color w:val="1C3A36"/>
                <w:sz w:val="17"/>
              </w:rPr>
              <w:t>4,957</w:t>
            </w:r>
          </w:p>
        </w:tc>
        <w:tc>
          <w:tcPr>
            <w:tcW w:type="dxa" w:w="1238"/>
            <w:shd w:val="clear" w:color="auto" w:fill="F6F1E6"/>
          </w:tcPr>
          <w:p>
            <w:pPr>
              <w:spacing w:after="20"/>
              <w:jc w:val="right"/>
            </w:pPr>
            <w:r>
              <w:rPr>
                <w:b/>
                <w:color w:val="1C3A36"/>
                <w:sz w:val="17"/>
              </w:rPr>
              <w:t>5,105</w:t>
            </w:r>
          </w:p>
        </w:tc>
        <w:tc>
          <w:tcPr>
            <w:tcW w:type="dxa" w:w="1238"/>
            <w:shd w:val="clear" w:color="auto" w:fill="F6F1E6"/>
          </w:tcPr>
          <w:p>
            <w:pPr>
              <w:spacing w:after="20"/>
              <w:jc w:val="right"/>
            </w:pPr>
            <w:r>
              <w:rPr>
                <w:b/>
                <w:color w:val="1C3A36"/>
                <w:sz w:val="17"/>
              </w:rPr>
              <w:t>5,181</w:t>
            </w:r>
          </w:p>
        </w:tc>
      </w:tr>
      <w:tr>
        <w:tc>
          <w:tcPr>
            <w:tcW w:type="dxa" w:w="3600"/>
          </w:tcPr>
          <w:p>
            <w:pPr>
              <w:spacing w:after="20"/>
            </w:pPr>
            <w:r>
              <w:rPr>
                <w:color w:val="1C3A36"/>
                <w:sz w:val="17"/>
              </w:rPr>
              <w:t>Gross margin</w:t>
            </w:r>
          </w:p>
        </w:tc>
        <w:tc>
          <w:tcPr>
            <w:tcW w:type="dxa" w:w="1238"/>
          </w:tcPr>
          <w:p>
            <w:pPr>
              <w:spacing w:after="20"/>
              <w:jc w:val="right"/>
            </w:pPr>
            <w:r>
              <w:rPr>
                <w:color w:val="1C3A36"/>
                <w:sz w:val="17"/>
              </w:rPr>
              <w:t>8.61%</w:t>
            </w:r>
          </w:p>
        </w:tc>
        <w:tc>
          <w:tcPr>
            <w:tcW w:type="dxa" w:w="1238"/>
          </w:tcPr>
          <w:p>
            <w:pPr>
              <w:spacing w:after="20"/>
              <w:jc w:val="right"/>
            </w:pPr>
            <w:r>
              <w:rPr>
                <w:color w:val="1C3A36"/>
                <w:sz w:val="17"/>
              </w:rPr>
              <w:t>8.19%</w:t>
            </w:r>
          </w:p>
        </w:tc>
        <w:tc>
          <w:tcPr>
            <w:tcW w:type="dxa" w:w="1238"/>
          </w:tcPr>
          <w:p>
            <w:pPr>
              <w:spacing w:after="20"/>
              <w:jc w:val="right"/>
            </w:pPr>
            <w:r>
              <w:rPr>
                <w:color w:val="1C3A36"/>
                <w:sz w:val="17"/>
              </w:rPr>
              <w:t>7.77%</w:t>
            </w:r>
          </w:p>
        </w:tc>
        <w:tc>
          <w:tcPr>
            <w:tcW w:type="dxa" w:w="1238"/>
          </w:tcPr>
          <w:p>
            <w:pPr>
              <w:spacing w:after="20"/>
              <w:jc w:val="right"/>
            </w:pPr>
            <w:r>
              <w:rPr>
                <w:color w:val="1C3A36"/>
                <w:sz w:val="17"/>
              </w:rPr>
              <w:t>7.40%</w:t>
            </w:r>
          </w:p>
        </w:tc>
        <w:tc>
          <w:tcPr>
            <w:tcW w:type="dxa" w:w="1238"/>
          </w:tcPr>
          <w:p>
            <w:pPr>
              <w:spacing w:after="20"/>
              <w:jc w:val="right"/>
            </w:pPr>
            <w:r>
              <w:rPr>
                <w:color w:val="1C3A36"/>
                <w:sz w:val="17"/>
              </w:rPr>
              <w:t>7.00%</w:t>
            </w:r>
          </w:p>
        </w:tc>
      </w:tr>
      <w:tr>
        <w:tc>
          <w:tcPr>
            <w:tcW w:type="dxa" w:w="3600"/>
          </w:tcPr>
          <w:p>
            <w:pPr>
              <w:spacing w:after="20"/>
            </w:pPr>
            <w:r>
              <w:rPr>
                <w:color w:val="1C3A36"/>
                <w:sz w:val="17"/>
              </w:rPr>
              <w:t>Operating expense</w:t>
            </w:r>
          </w:p>
        </w:tc>
        <w:tc>
          <w:tcPr>
            <w:tcW w:type="dxa" w:w="1238"/>
          </w:tcPr>
          <w:p>
            <w:pPr>
              <w:spacing w:after="20"/>
              <w:jc w:val="right"/>
            </w:pPr>
            <w:r>
              <w:rPr>
                <w:color w:val="1C3A36"/>
                <w:sz w:val="17"/>
              </w:rPr>
              <w:t>2,008</w:t>
            </w:r>
          </w:p>
        </w:tc>
        <w:tc>
          <w:tcPr>
            <w:tcW w:type="dxa" w:w="1238"/>
          </w:tcPr>
          <w:p>
            <w:pPr>
              <w:spacing w:after="20"/>
              <w:jc w:val="right"/>
            </w:pPr>
            <w:r>
              <w:rPr>
                <w:color w:val="1C3A36"/>
                <w:sz w:val="17"/>
              </w:rPr>
              <w:t>2,276</w:t>
            </w:r>
          </w:p>
        </w:tc>
        <w:tc>
          <w:tcPr>
            <w:tcW w:type="dxa" w:w="1238"/>
          </w:tcPr>
          <w:p>
            <w:pPr>
              <w:spacing w:after="20"/>
              <w:jc w:val="right"/>
            </w:pPr>
            <w:r>
              <w:rPr>
                <w:color w:val="1C3A36"/>
                <w:sz w:val="17"/>
              </w:rPr>
              <w:t>2,546</w:t>
            </w:r>
          </w:p>
        </w:tc>
        <w:tc>
          <w:tcPr>
            <w:tcW w:type="dxa" w:w="1238"/>
          </w:tcPr>
          <w:p>
            <w:pPr>
              <w:spacing w:after="20"/>
              <w:jc w:val="right"/>
            </w:pPr>
            <w:r>
              <w:rPr>
                <w:color w:val="1C3A36"/>
                <w:sz w:val="17"/>
              </w:rPr>
              <w:t>2,808</w:t>
            </w:r>
          </w:p>
        </w:tc>
        <w:tc>
          <w:tcPr>
            <w:tcW w:type="dxa" w:w="1238"/>
          </w:tcPr>
          <w:p>
            <w:pPr>
              <w:spacing w:after="20"/>
              <w:jc w:val="right"/>
            </w:pPr>
            <w:r>
              <w:rPr>
                <w:color w:val="1C3A36"/>
                <w:sz w:val="17"/>
              </w:rPr>
              <w:t>3,082</w:t>
            </w:r>
          </w:p>
        </w:tc>
      </w:tr>
      <w:tr>
        <w:tc>
          <w:tcPr>
            <w:tcW w:type="dxa" w:w="3600"/>
          </w:tcPr>
          <w:p>
            <w:pPr>
              <w:spacing w:after="20"/>
            </w:pPr>
            <w:r>
              <w:rPr>
                <w:color w:val="1C3A36"/>
                <w:sz w:val="17"/>
              </w:rPr>
              <w:t>EBITDA</w:t>
            </w:r>
          </w:p>
        </w:tc>
        <w:tc>
          <w:tcPr>
            <w:tcW w:type="dxa" w:w="1238"/>
          </w:tcPr>
          <w:p>
            <w:pPr>
              <w:spacing w:after="20"/>
              <w:jc w:val="right"/>
            </w:pPr>
            <w:r>
              <w:rPr>
                <w:color w:val="1C3A36"/>
                <w:sz w:val="17"/>
              </w:rPr>
              <w:t>2,542</w:t>
            </w:r>
          </w:p>
        </w:tc>
        <w:tc>
          <w:tcPr>
            <w:tcW w:type="dxa" w:w="1238"/>
          </w:tcPr>
          <w:p>
            <w:pPr>
              <w:spacing w:after="20"/>
              <w:jc w:val="right"/>
            </w:pPr>
            <w:r>
              <w:rPr>
                <w:color w:val="1C3A36"/>
                <w:sz w:val="17"/>
              </w:rPr>
              <w:t>2,508</w:t>
            </w:r>
          </w:p>
        </w:tc>
        <w:tc>
          <w:tcPr>
            <w:tcW w:type="dxa" w:w="1238"/>
          </w:tcPr>
          <w:p>
            <w:pPr>
              <w:spacing w:after="20"/>
              <w:jc w:val="right"/>
            </w:pPr>
            <w:r>
              <w:rPr>
                <w:color w:val="1C3A36"/>
                <w:sz w:val="17"/>
              </w:rPr>
              <w:t>2,412</w:t>
            </w:r>
          </w:p>
        </w:tc>
        <w:tc>
          <w:tcPr>
            <w:tcW w:type="dxa" w:w="1238"/>
          </w:tcPr>
          <w:p>
            <w:pPr>
              <w:spacing w:after="20"/>
              <w:jc w:val="right"/>
            </w:pPr>
            <w:r>
              <w:rPr>
                <w:color w:val="1C3A36"/>
                <w:sz w:val="17"/>
              </w:rPr>
              <w:t>2,297</w:t>
            </w:r>
          </w:p>
        </w:tc>
        <w:tc>
          <w:tcPr>
            <w:tcW w:type="dxa" w:w="1238"/>
          </w:tcPr>
          <w:p>
            <w:pPr>
              <w:spacing w:after="20"/>
              <w:jc w:val="right"/>
            </w:pPr>
            <w:r>
              <w:rPr>
                <w:color w:val="1C3A36"/>
                <w:sz w:val="17"/>
              </w:rPr>
              <w:t>2,098</w:t>
            </w:r>
          </w:p>
        </w:tc>
      </w:tr>
      <w:tr>
        <w:tc>
          <w:tcPr>
            <w:tcW w:type="dxa" w:w="3600"/>
          </w:tcPr>
          <w:p>
            <w:pPr>
              <w:spacing w:after="20"/>
            </w:pPr>
            <w:r>
              <w:rPr>
                <w:color w:val="1C3A36"/>
                <w:sz w:val="17"/>
              </w:rPr>
              <w:t>Depreciation</w:t>
            </w:r>
          </w:p>
        </w:tc>
        <w:tc>
          <w:tcPr>
            <w:tcW w:type="dxa" w:w="1238"/>
          </w:tcPr>
          <w:p>
            <w:pPr>
              <w:spacing w:after="20"/>
              <w:jc w:val="right"/>
            </w:pPr>
            <w:r>
              <w:rPr>
                <w:color w:val="1C3A36"/>
                <w:sz w:val="17"/>
              </w:rPr>
              <w:t>174</w:t>
            </w:r>
          </w:p>
        </w:tc>
        <w:tc>
          <w:tcPr>
            <w:tcW w:type="dxa" w:w="1238"/>
          </w:tcPr>
          <w:p>
            <w:pPr>
              <w:spacing w:after="20"/>
              <w:jc w:val="right"/>
            </w:pPr>
            <w:r>
              <w:rPr>
                <w:color w:val="1C3A36"/>
                <w:sz w:val="17"/>
              </w:rPr>
              <w:t>189</w:t>
            </w:r>
          </w:p>
        </w:tc>
        <w:tc>
          <w:tcPr>
            <w:tcW w:type="dxa" w:w="1238"/>
          </w:tcPr>
          <w:p>
            <w:pPr>
              <w:spacing w:after="20"/>
              <w:jc w:val="right"/>
            </w:pPr>
            <w:r>
              <w:rPr>
                <w:color w:val="1C3A36"/>
                <w:sz w:val="17"/>
              </w:rPr>
              <w:t>206</w:t>
            </w:r>
          </w:p>
        </w:tc>
        <w:tc>
          <w:tcPr>
            <w:tcW w:type="dxa" w:w="1238"/>
          </w:tcPr>
          <w:p>
            <w:pPr>
              <w:spacing w:after="20"/>
              <w:jc w:val="right"/>
            </w:pPr>
            <w:r>
              <w:rPr>
                <w:color w:val="1C3A36"/>
                <w:sz w:val="17"/>
              </w:rPr>
              <w:t>224</w:t>
            </w:r>
          </w:p>
        </w:tc>
        <w:tc>
          <w:tcPr>
            <w:tcW w:type="dxa" w:w="1238"/>
          </w:tcPr>
          <w:p>
            <w:pPr>
              <w:spacing w:after="20"/>
              <w:jc w:val="right"/>
            </w:pPr>
            <w:r>
              <w:rPr>
                <w:color w:val="1C3A36"/>
                <w:sz w:val="17"/>
              </w:rPr>
              <w:t>244</w:t>
            </w:r>
          </w:p>
        </w:tc>
      </w:tr>
      <w:tr>
        <w:tc>
          <w:tcPr>
            <w:tcW w:type="dxa" w:w="3600"/>
          </w:tcPr>
          <w:p>
            <w:pPr>
              <w:spacing w:after="20"/>
            </w:pPr>
            <w:r>
              <w:rPr>
                <w:color w:val="1C3A36"/>
                <w:sz w:val="17"/>
              </w:rPr>
              <w:t>EBIT</w:t>
            </w:r>
          </w:p>
        </w:tc>
        <w:tc>
          <w:tcPr>
            <w:tcW w:type="dxa" w:w="1238"/>
          </w:tcPr>
          <w:p>
            <w:pPr>
              <w:spacing w:after="20"/>
              <w:jc w:val="right"/>
            </w:pPr>
            <w:r>
              <w:rPr>
                <w:color w:val="1C3A36"/>
                <w:sz w:val="17"/>
              </w:rPr>
              <w:t>2,368</w:t>
            </w:r>
          </w:p>
        </w:tc>
        <w:tc>
          <w:tcPr>
            <w:tcW w:type="dxa" w:w="1238"/>
          </w:tcPr>
          <w:p>
            <w:pPr>
              <w:spacing w:after="20"/>
              <w:jc w:val="right"/>
            </w:pPr>
            <w:r>
              <w:rPr>
                <w:color w:val="1C3A36"/>
                <w:sz w:val="17"/>
              </w:rPr>
              <w:t>2,319</w:t>
            </w:r>
          </w:p>
        </w:tc>
        <w:tc>
          <w:tcPr>
            <w:tcW w:type="dxa" w:w="1238"/>
          </w:tcPr>
          <w:p>
            <w:pPr>
              <w:spacing w:after="20"/>
              <w:jc w:val="right"/>
            </w:pPr>
            <w:r>
              <w:rPr>
                <w:color w:val="1C3A36"/>
                <w:sz w:val="17"/>
              </w:rPr>
              <w:t>2,205</w:t>
            </w:r>
          </w:p>
        </w:tc>
        <w:tc>
          <w:tcPr>
            <w:tcW w:type="dxa" w:w="1238"/>
          </w:tcPr>
          <w:p>
            <w:pPr>
              <w:spacing w:after="20"/>
              <w:jc w:val="right"/>
            </w:pPr>
            <w:r>
              <w:rPr>
                <w:color w:val="1C3A36"/>
                <w:sz w:val="17"/>
              </w:rPr>
              <w:t>2,072</w:t>
            </w:r>
          </w:p>
        </w:tc>
        <w:tc>
          <w:tcPr>
            <w:tcW w:type="dxa" w:w="1238"/>
          </w:tcPr>
          <w:p>
            <w:pPr>
              <w:spacing w:after="20"/>
              <w:jc w:val="right"/>
            </w:pPr>
            <w:r>
              <w:rPr>
                <w:color w:val="1C3A36"/>
                <w:sz w:val="17"/>
              </w:rPr>
              <w:t>1,855</w:t>
            </w:r>
          </w:p>
        </w:tc>
      </w:tr>
      <w:tr>
        <w:tc>
          <w:tcPr>
            <w:tcW w:type="dxa" w:w="3600"/>
          </w:tcPr>
          <w:p>
            <w:pPr>
              <w:spacing w:after="20"/>
            </w:pPr>
            <w:r>
              <w:rPr>
                <w:color w:val="1C3A36"/>
                <w:sz w:val="17"/>
              </w:rPr>
              <w:t>NOPAT after profit share</w:t>
            </w:r>
          </w:p>
        </w:tc>
        <w:tc>
          <w:tcPr>
            <w:tcW w:type="dxa" w:w="1238"/>
          </w:tcPr>
          <w:p>
            <w:pPr>
              <w:spacing w:after="20"/>
              <w:jc w:val="right"/>
            </w:pPr>
            <w:r>
              <w:rPr>
                <w:color w:val="1C3A36"/>
                <w:sz w:val="17"/>
              </w:rPr>
              <w:t>1,739</w:t>
            </w:r>
          </w:p>
        </w:tc>
        <w:tc>
          <w:tcPr>
            <w:tcW w:type="dxa" w:w="1238"/>
          </w:tcPr>
          <w:p>
            <w:pPr>
              <w:spacing w:after="20"/>
              <w:jc w:val="right"/>
            </w:pPr>
            <w:r>
              <w:rPr>
                <w:color w:val="1C3A36"/>
                <w:sz w:val="17"/>
              </w:rPr>
              <w:t>1,702</w:t>
            </w:r>
          </w:p>
        </w:tc>
        <w:tc>
          <w:tcPr>
            <w:tcW w:type="dxa" w:w="1238"/>
          </w:tcPr>
          <w:p>
            <w:pPr>
              <w:spacing w:after="20"/>
              <w:jc w:val="right"/>
            </w:pPr>
            <w:r>
              <w:rPr>
                <w:color w:val="1C3A36"/>
                <w:sz w:val="17"/>
              </w:rPr>
              <w:t>1,619</w:t>
            </w:r>
          </w:p>
        </w:tc>
        <w:tc>
          <w:tcPr>
            <w:tcW w:type="dxa" w:w="1238"/>
          </w:tcPr>
          <w:p>
            <w:pPr>
              <w:spacing w:after="20"/>
              <w:jc w:val="right"/>
            </w:pPr>
            <w:r>
              <w:rPr>
                <w:color w:val="1C3A36"/>
                <w:sz w:val="17"/>
              </w:rPr>
              <w:t>1,521</w:t>
            </w:r>
          </w:p>
        </w:tc>
        <w:tc>
          <w:tcPr>
            <w:tcW w:type="dxa" w:w="1238"/>
          </w:tcPr>
          <w:p>
            <w:pPr>
              <w:spacing w:after="20"/>
              <w:jc w:val="right"/>
            </w:pPr>
            <w:r>
              <w:rPr>
                <w:color w:val="1C3A36"/>
                <w:sz w:val="17"/>
              </w:rPr>
              <w:t>1,362</w:t>
            </w:r>
          </w:p>
        </w:tc>
      </w:tr>
      <w:tr>
        <w:tc>
          <w:tcPr>
            <w:tcW w:type="dxa" w:w="3600"/>
          </w:tcPr>
          <w:p>
            <w:pPr>
              <w:spacing w:after="20"/>
            </w:pPr>
            <w:r>
              <w:rPr>
                <w:color w:val="1C3A36"/>
                <w:sz w:val="17"/>
              </w:rPr>
              <w:t>plus depreciation</w:t>
            </w:r>
          </w:p>
        </w:tc>
        <w:tc>
          <w:tcPr>
            <w:tcW w:type="dxa" w:w="1238"/>
          </w:tcPr>
          <w:p>
            <w:pPr>
              <w:spacing w:after="20"/>
              <w:jc w:val="right"/>
            </w:pPr>
            <w:r>
              <w:rPr>
                <w:color w:val="1C3A36"/>
                <w:sz w:val="17"/>
              </w:rPr>
              <w:t>174</w:t>
            </w:r>
          </w:p>
        </w:tc>
        <w:tc>
          <w:tcPr>
            <w:tcW w:type="dxa" w:w="1238"/>
          </w:tcPr>
          <w:p>
            <w:pPr>
              <w:spacing w:after="20"/>
              <w:jc w:val="right"/>
            </w:pPr>
            <w:r>
              <w:rPr>
                <w:color w:val="1C3A36"/>
                <w:sz w:val="17"/>
              </w:rPr>
              <w:t>189</w:t>
            </w:r>
          </w:p>
        </w:tc>
        <w:tc>
          <w:tcPr>
            <w:tcW w:type="dxa" w:w="1238"/>
          </w:tcPr>
          <w:p>
            <w:pPr>
              <w:spacing w:after="20"/>
              <w:jc w:val="right"/>
            </w:pPr>
            <w:r>
              <w:rPr>
                <w:color w:val="1C3A36"/>
                <w:sz w:val="17"/>
              </w:rPr>
              <w:t>206</w:t>
            </w:r>
          </w:p>
        </w:tc>
        <w:tc>
          <w:tcPr>
            <w:tcW w:type="dxa" w:w="1238"/>
          </w:tcPr>
          <w:p>
            <w:pPr>
              <w:spacing w:after="20"/>
              <w:jc w:val="right"/>
            </w:pPr>
            <w:r>
              <w:rPr>
                <w:color w:val="1C3A36"/>
                <w:sz w:val="17"/>
              </w:rPr>
              <w:t>224</w:t>
            </w:r>
          </w:p>
        </w:tc>
        <w:tc>
          <w:tcPr>
            <w:tcW w:type="dxa" w:w="1238"/>
          </w:tcPr>
          <w:p>
            <w:pPr>
              <w:spacing w:after="20"/>
              <w:jc w:val="right"/>
            </w:pPr>
            <w:r>
              <w:rPr>
                <w:color w:val="1C3A36"/>
                <w:sz w:val="17"/>
              </w:rPr>
              <w:t>244</w:t>
            </w:r>
          </w:p>
        </w:tc>
      </w:tr>
      <w:tr>
        <w:tc>
          <w:tcPr>
            <w:tcW w:type="dxa" w:w="3600"/>
          </w:tcPr>
          <w:p>
            <w:pPr>
              <w:spacing w:after="20"/>
            </w:pPr>
            <w:r>
              <w:rPr>
                <w:color w:val="1C3A36"/>
                <w:sz w:val="17"/>
              </w:rPr>
              <w:t>less capital expenditure</w:t>
            </w:r>
          </w:p>
        </w:tc>
        <w:tc>
          <w:tcPr>
            <w:tcW w:type="dxa" w:w="1238"/>
          </w:tcPr>
          <w:p>
            <w:pPr>
              <w:spacing w:after="20"/>
              <w:jc w:val="right"/>
            </w:pPr>
            <w:r>
              <w:rPr>
                <w:color w:val="1C3A36"/>
                <w:sz w:val="17"/>
              </w:rPr>
              <w:t>281</w:t>
            </w:r>
          </w:p>
        </w:tc>
        <w:tc>
          <w:tcPr>
            <w:tcW w:type="dxa" w:w="1238"/>
          </w:tcPr>
          <w:p>
            <w:pPr>
              <w:spacing w:after="20"/>
              <w:jc w:val="right"/>
            </w:pPr>
            <w:r>
              <w:rPr>
                <w:color w:val="1C3A36"/>
                <w:sz w:val="17"/>
              </w:rPr>
              <w:t>307</w:t>
            </w:r>
          </w:p>
        </w:tc>
        <w:tc>
          <w:tcPr>
            <w:tcW w:type="dxa" w:w="1238"/>
          </w:tcPr>
          <w:p>
            <w:pPr>
              <w:spacing w:after="20"/>
              <w:jc w:val="right"/>
            </w:pPr>
            <w:r>
              <w:rPr>
                <w:color w:val="1C3A36"/>
                <w:sz w:val="17"/>
              </w:rPr>
              <w:t>329</w:t>
            </w:r>
          </w:p>
        </w:tc>
        <w:tc>
          <w:tcPr>
            <w:tcW w:type="dxa" w:w="1238"/>
          </w:tcPr>
          <w:p>
            <w:pPr>
              <w:spacing w:after="20"/>
              <w:jc w:val="right"/>
            </w:pPr>
            <w:r>
              <w:rPr>
                <w:color w:val="1C3A36"/>
                <w:sz w:val="17"/>
              </w:rPr>
              <w:t>351</w:t>
            </w:r>
          </w:p>
        </w:tc>
        <w:tc>
          <w:tcPr>
            <w:tcW w:type="dxa" w:w="1238"/>
          </w:tcPr>
          <w:p>
            <w:pPr>
              <w:spacing w:after="20"/>
              <w:jc w:val="right"/>
            </w:pPr>
            <w:r>
              <w:rPr>
                <w:color w:val="1C3A36"/>
                <w:sz w:val="17"/>
              </w:rPr>
              <w:t>375</w:t>
            </w:r>
          </w:p>
        </w:tc>
      </w:tr>
      <w:tr>
        <w:tc>
          <w:tcPr>
            <w:tcW w:type="dxa" w:w="3600"/>
          </w:tcPr>
          <w:p>
            <w:pPr>
              <w:spacing w:after="20"/>
            </w:pPr>
            <w:r>
              <w:rPr>
                <w:color w:val="1C3A36"/>
                <w:sz w:val="17"/>
              </w:rPr>
              <w:t>less change in working capital</w:t>
            </w:r>
          </w:p>
        </w:tc>
        <w:tc>
          <w:tcPr>
            <w:tcW w:type="dxa" w:w="1238"/>
          </w:tcPr>
          <w:p>
            <w:pPr>
              <w:spacing w:after="20"/>
              <w:jc w:val="right"/>
            </w:pPr>
            <w:r>
              <w:rPr>
                <w:color w:val="1C3A36"/>
                <w:sz w:val="17"/>
              </w:rPr>
              <w:t>288</w:t>
            </w:r>
          </w:p>
        </w:tc>
        <w:tc>
          <w:tcPr>
            <w:tcW w:type="dxa" w:w="1238"/>
          </w:tcPr>
          <w:p>
            <w:pPr>
              <w:spacing w:after="20"/>
              <w:jc w:val="right"/>
            </w:pPr>
            <w:r>
              <w:rPr>
                <w:color w:val="1C3A36"/>
                <w:sz w:val="17"/>
              </w:rPr>
              <w:t>276</w:t>
            </w:r>
          </w:p>
        </w:tc>
        <w:tc>
          <w:tcPr>
            <w:tcW w:type="dxa" w:w="1238"/>
          </w:tcPr>
          <w:p>
            <w:pPr>
              <w:spacing w:after="20"/>
              <w:jc w:val="right"/>
            </w:pPr>
            <w:r>
              <w:rPr>
                <w:color w:val="1C3A36"/>
                <w:sz w:val="17"/>
              </w:rPr>
              <w:t>265</w:t>
            </w:r>
          </w:p>
        </w:tc>
        <w:tc>
          <w:tcPr>
            <w:tcW w:type="dxa" w:w="1238"/>
          </w:tcPr>
          <w:p>
            <w:pPr>
              <w:spacing w:after="20"/>
              <w:jc w:val="right"/>
            </w:pPr>
            <w:r>
              <w:rPr>
                <w:color w:val="1C3A36"/>
                <w:sz w:val="17"/>
              </w:rPr>
              <w:t>258</w:t>
            </w:r>
          </w:p>
        </w:tc>
        <w:tc>
          <w:tcPr>
            <w:tcW w:type="dxa" w:w="1238"/>
          </w:tcPr>
          <w:p>
            <w:pPr>
              <w:spacing w:after="20"/>
              <w:jc w:val="right"/>
            </w:pPr>
            <w:r>
              <w:rPr>
                <w:color w:val="1C3A36"/>
                <w:sz w:val="17"/>
              </w:rPr>
              <w:t>253</w:t>
            </w:r>
          </w:p>
        </w:tc>
      </w:tr>
      <w:tr>
        <w:tc>
          <w:tcPr>
            <w:tcW w:type="dxa" w:w="3600"/>
            <w:shd w:val="clear" w:color="auto" w:fill="F6F1E6"/>
          </w:tcPr>
          <w:p>
            <w:pPr>
              <w:spacing w:after="20"/>
            </w:pPr>
            <w:r>
              <w:rPr>
                <w:b/>
                <w:color w:val="1C3A36"/>
                <w:sz w:val="17"/>
              </w:rPr>
              <w:t>FREE CASH FLOW TO THE FIRM</w:t>
            </w:r>
          </w:p>
        </w:tc>
        <w:tc>
          <w:tcPr>
            <w:tcW w:type="dxa" w:w="1238"/>
            <w:shd w:val="clear" w:color="auto" w:fill="F6F1E6"/>
          </w:tcPr>
          <w:p>
            <w:pPr>
              <w:spacing w:after="20"/>
              <w:jc w:val="right"/>
            </w:pPr>
            <w:r>
              <w:rPr>
                <w:b/>
                <w:color w:val="1C3A36"/>
                <w:sz w:val="17"/>
              </w:rPr>
              <w:t>1,343</w:t>
            </w:r>
          </w:p>
        </w:tc>
        <w:tc>
          <w:tcPr>
            <w:tcW w:type="dxa" w:w="1238"/>
            <w:shd w:val="clear" w:color="auto" w:fill="F6F1E6"/>
          </w:tcPr>
          <w:p>
            <w:pPr>
              <w:spacing w:after="20"/>
              <w:jc w:val="right"/>
            </w:pPr>
            <w:r>
              <w:rPr>
                <w:b/>
                <w:color w:val="1C3A36"/>
                <w:sz w:val="17"/>
              </w:rPr>
              <w:t>1,308</w:t>
            </w:r>
          </w:p>
        </w:tc>
        <w:tc>
          <w:tcPr>
            <w:tcW w:type="dxa" w:w="1238"/>
            <w:shd w:val="clear" w:color="auto" w:fill="F6F1E6"/>
          </w:tcPr>
          <w:p>
            <w:pPr>
              <w:spacing w:after="20"/>
              <w:jc w:val="right"/>
            </w:pPr>
            <w:r>
              <w:rPr>
                <w:b/>
                <w:color w:val="1C3A36"/>
                <w:sz w:val="17"/>
              </w:rPr>
              <w:t>1,231</w:t>
            </w:r>
          </w:p>
        </w:tc>
        <w:tc>
          <w:tcPr>
            <w:tcW w:type="dxa" w:w="1238"/>
            <w:shd w:val="clear" w:color="auto" w:fill="F6F1E6"/>
          </w:tcPr>
          <w:p>
            <w:pPr>
              <w:spacing w:after="20"/>
              <w:jc w:val="right"/>
            </w:pPr>
            <w:r>
              <w:rPr>
                <w:b/>
                <w:color w:val="1C3A36"/>
                <w:sz w:val="17"/>
              </w:rPr>
              <w:t>1,137</w:t>
            </w:r>
          </w:p>
        </w:tc>
        <w:tc>
          <w:tcPr>
            <w:tcW w:type="dxa" w:w="1238"/>
            <w:shd w:val="clear" w:color="auto" w:fill="F6F1E6"/>
          </w:tcPr>
          <w:p>
            <w:pPr>
              <w:spacing w:after="20"/>
              <w:jc w:val="right"/>
            </w:pPr>
            <w:r>
              <w:rPr>
                <w:b/>
                <w:color w:val="1C3A36"/>
                <w:sz w:val="17"/>
              </w:rPr>
              <w:t>978</w:t>
            </w:r>
          </w:p>
        </w:tc>
      </w:tr>
      <w:tr>
        <w:tc>
          <w:tcPr>
            <w:tcW w:type="dxa" w:w="3600"/>
          </w:tcPr>
          <w:p>
            <w:pPr>
              <w:spacing w:after="20"/>
            </w:pPr>
            <w:r>
              <w:rPr>
                <w:color w:val="1C3A36"/>
                <w:sz w:val="17"/>
              </w:rPr>
              <w:t>times discount factor</w:t>
            </w:r>
          </w:p>
        </w:tc>
        <w:tc>
          <w:tcPr>
            <w:tcW w:type="dxa" w:w="1238"/>
          </w:tcPr>
          <w:p>
            <w:pPr>
              <w:spacing w:after="20"/>
              <w:jc w:val="right"/>
            </w:pPr>
            <w:r>
              <w:rPr>
                <w:color w:val="1C3A36"/>
                <w:sz w:val="17"/>
              </w:rPr>
              <w:t>0.76000</w:t>
            </w:r>
          </w:p>
        </w:tc>
        <w:tc>
          <w:tcPr>
            <w:tcW w:type="dxa" w:w="1238"/>
          </w:tcPr>
          <w:p>
            <w:pPr>
              <w:spacing w:after="20"/>
              <w:jc w:val="right"/>
            </w:pPr>
            <w:r>
              <w:rPr>
                <w:color w:val="1C3A36"/>
                <w:sz w:val="17"/>
              </w:rPr>
              <w:t>0.59913</w:t>
            </w:r>
          </w:p>
        </w:tc>
        <w:tc>
          <w:tcPr>
            <w:tcW w:type="dxa" w:w="1238"/>
          </w:tcPr>
          <w:p>
            <w:pPr>
              <w:spacing w:after="20"/>
              <w:jc w:val="right"/>
            </w:pPr>
            <w:r>
              <w:rPr>
                <w:color w:val="1C3A36"/>
                <w:sz w:val="17"/>
              </w:rPr>
              <w:t>0.48682</w:t>
            </w:r>
          </w:p>
        </w:tc>
        <w:tc>
          <w:tcPr>
            <w:tcW w:type="dxa" w:w="1238"/>
          </w:tcPr>
          <w:p>
            <w:pPr>
              <w:spacing w:after="20"/>
              <w:jc w:val="right"/>
            </w:pPr>
            <w:r>
              <w:rPr>
                <w:color w:val="1C3A36"/>
                <w:sz w:val="17"/>
              </w:rPr>
              <w:t>0.40489</w:t>
            </w:r>
          </w:p>
        </w:tc>
        <w:tc>
          <w:tcPr>
            <w:tcW w:type="dxa" w:w="1238"/>
          </w:tcPr>
          <w:p>
            <w:pPr>
              <w:spacing w:after="20"/>
              <w:jc w:val="right"/>
            </w:pPr>
            <w:r>
              <w:rPr>
                <w:color w:val="1C3A36"/>
                <w:sz w:val="17"/>
              </w:rPr>
              <w:t>0.34213</w:t>
            </w:r>
          </w:p>
        </w:tc>
      </w:tr>
      <w:tr>
        <w:tc>
          <w:tcPr>
            <w:tcW w:type="dxa" w:w="3600"/>
            <w:shd w:val="clear" w:color="auto" w:fill="F6F1E6"/>
          </w:tcPr>
          <w:p>
            <w:pPr>
              <w:spacing w:after="20"/>
            </w:pPr>
            <w:r>
              <w:rPr>
                <w:b/>
                <w:color w:val="1C3A36"/>
                <w:sz w:val="17"/>
              </w:rPr>
              <w:t>PRESENT VALUE</w:t>
            </w:r>
          </w:p>
        </w:tc>
        <w:tc>
          <w:tcPr>
            <w:tcW w:type="dxa" w:w="1238"/>
            <w:shd w:val="clear" w:color="auto" w:fill="F6F1E6"/>
          </w:tcPr>
          <w:p>
            <w:pPr>
              <w:spacing w:after="20"/>
              <w:jc w:val="right"/>
            </w:pPr>
            <w:r>
              <w:rPr>
                <w:b/>
                <w:color w:val="1C3A36"/>
                <w:sz w:val="17"/>
              </w:rPr>
              <w:t>1,021</w:t>
            </w:r>
          </w:p>
        </w:tc>
        <w:tc>
          <w:tcPr>
            <w:tcW w:type="dxa" w:w="1238"/>
            <w:shd w:val="clear" w:color="auto" w:fill="F6F1E6"/>
          </w:tcPr>
          <w:p>
            <w:pPr>
              <w:spacing w:after="20"/>
              <w:jc w:val="right"/>
            </w:pPr>
            <w:r>
              <w:rPr>
                <w:b/>
                <w:color w:val="1C3A36"/>
                <w:sz w:val="17"/>
              </w:rPr>
              <w:t>784</w:t>
            </w:r>
          </w:p>
        </w:tc>
        <w:tc>
          <w:tcPr>
            <w:tcW w:type="dxa" w:w="1238"/>
            <w:shd w:val="clear" w:color="auto" w:fill="F6F1E6"/>
          </w:tcPr>
          <w:p>
            <w:pPr>
              <w:spacing w:after="20"/>
              <w:jc w:val="right"/>
            </w:pPr>
            <w:r>
              <w:rPr>
                <w:b/>
                <w:color w:val="1C3A36"/>
                <w:sz w:val="17"/>
              </w:rPr>
              <w:t>599</w:t>
            </w:r>
          </w:p>
        </w:tc>
        <w:tc>
          <w:tcPr>
            <w:tcW w:type="dxa" w:w="1238"/>
            <w:shd w:val="clear" w:color="auto" w:fill="F6F1E6"/>
          </w:tcPr>
          <w:p>
            <w:pPr>
              <w:spacing w:after="20"/>
              <w:jc w:val="right"/>
            </w:pPr>
            <w:r>
              <w:rPr>
                <w:b/>
                <w:color w:val="1C3A36"/>
                <w:sz w:val="17"/>
              </w:rPr>
              <w:t>460</w:t>
            </w:r>
          </w:p>
        </w:tc>
        <w:tc>
          <w:tcPr>
            <w:tcW w:type="dxa" w:w="1238"/>
            <w:shd w:val="clear" w:color="auto" w:fill="F6F1E6"/>
          </w:tcPr>
          <w:p>
            <w:pPr>
              <w:spacing w:after="20"/>
              <w:jc w:val="right"/>
            </w:pPr>
            <w:r>
              <w:rPr>
                <w:b/>
                <w:color w:val="1C3A36"/>
                <w:sz w:val="17"/>
              </w:rPr>
              <w:t>334</w:t>
            </w:r>
          </w:p>
        </w:tc>
      </w:tr>
    </w:tbl>
    <w:p>
      <w:pPr>
        <w:spacing w:after="40"/>
      </w:pPr>
    </w:p>
    <w:p>
      <w:pPr>
        <w:spacing w:after="200" w:before="0"/>
      </w:pPr>
      <w:r>
        <w:rPr>
          <w:b w:val="0"/>
          <w:i/>
          <w:color w:val="6E7B77"/>
          <w:sz w:val="17"/>
        </w:rPr>
        <w:t>Table 12 — the waterfall, EGP mn. Operating expense charges the three disclosed lines on three different drivers — administrative on inflation, selling on inflation AND tonnage, other on inflation — plus the recurring provisions and expected credit losses the previous edition registered and never took. Capital expenditure is BUILT: maintenance at gross asset cost over the implied 18.1-year life, plus growth at the plant’s own EGP 1,948 per annual tonne of capital intensity, so incremental volume costs capital instead of arriving free. Depreciation ROLLS off the growing asset register rather than being held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440"/>
        <w:gridCol w:w="1296"/>
        <w:gridCol w:w="3600"/>
      </w:tblGrid>
      <w:tr>
        <w:tc>
          <w:tcPr>
            <w:tcW w:type="dxa" w:w="3744"/>
            <w:shd w:val="clear" w:color="auto" w:fill="EAF0EE"/>
          </w:tcPr>
          <w:p>
            <w:pPr>
              <w:spacing w:after="20"/>
            </w:pPr>
            <w:r>
              <w:rPr>
                <w:b/>
                <w:color w:val="1C3A36"/>
                <w:sz w:val="17"/>
              </w:rPr>
              <w:t>Bridge step</w:t>
            </w:r>
          </w:p>
        </w:tc>
        <w:tc>
          <w:tcPr>
            <w:tcW w:type="dxa" w:w="1440"/>
            <w:shd w:val="clear" w:color="auto" w:fill="EAF0EE"/>
          </w:tcPr>
          <w:p>
            <w:pPr>
              <w:spacing w:after="20"/>
            </w:pPr>
            <w:r>
              <w:rPr>
                <w:b/>
                <w:color w:val="1C3A36"/>
                <w:sz w:val="17"/>
              </w:rPr>
              <w:t>EGP mn</w:t>
            </w:r>
          </w:p>
        </w:tc>
        <w:tc>
          <w:tcPr>
            <w:tcW w:type="dxa" w:w="1296"/>
            <w:shd w:val="clear" w:color="auto" w:fill="EAF0EE"/>
          </w:tcPr>
          <w:p>
            <w:pPr>
              <w:spacing w:after="20"/>
            </w:pPr>
            <w:r>
              <w:rPr>
                <w:b/>
                <w:color w:val="1C3A36"/>
                <w:sz w:val="17"/>
              </w:rPr>
              <w:t>Per share</w:t>
            </w:r>
          </w:p>
        </w:tc>
        <w:tc>
          <w:tcPr>
            <w:tcW w:type="dxa" w:w="3600"/>
            <w:shd w:val="clear" w:color="auto" w:fill="EAF0EE"/>
          </w:tcPr>
          <w:p>
            <w:pPr>
              <w:spacing w:after="20"/>
            </w:pPr>
            <w:r>
              <w:rPr>
                <w:b/>
                <w:color w:val="1C3A36"/>
                <w:sz w:val="17"/>
              </w:rPr>
              <w:t>Source</w:t>
            </w:r>
          </w:p>
        </w:tc>
      </w:tr>
      <w:tr>
        <w:tc>
          <w:tcPr>
            <w:tcW w:type="dxa" w:w="3744"/>
          </w:tcPr>
          <w:p>
            <w:pPr>
              <w:spacing w:after="20"/>
            </w:pPr>
            <w:r>
              <w:rPr>
                <w:color w:val="1C3A36"/>
                <w:sz w:val="17"/>
              </w:rPr>
              <w:t>Present value of the explicit window</w:t>
            </w:r>
          </w:p>
        </w:tc>
        <w:tc>
          <w:tcPr>
            <w:tcW w:type="dxa" w:w="1440"/>
          </w:tcPr>
          <w:p>
            <w:pPr>
              <w:spacing w:after="20"/>
              <w:jc w:val="right"/>
            </w:pPr>
            <w:r>
              <w:rPr>
                <w:color w:val="1C3A36"/>
                <w:sz w:val="17"/>
              </w:rPr>
              <w:t>3,198</w:t>
            </w:r>
          </w:p>
        </w:tc>
        <w:tc>
          <w:tcPr>
            <w:tcW w:type="dxa" w:w="1296"/>
          </w:tcPr>
          <w:p>
            <w:pPr>
              <w:spacing w:after="20"/>
              <w:jc w:val="right"/>
            </w:pPr>
            <w:r>
              <w:rPr>
                <w:color w:val="1C3A36"/>
                <w:sz w:val="17"/>
              </w:rPr>
              <w:t>2.48</w:t>
            </w:r>
          </w:p>
        </w:tc>
        <w:tc>
          <w:tcPr>
            <w:tcW w:type="dxa" w:w="3600"/>
          </w:tcPr>
          <w:p>
            <w:pPr>
              <w:spacing w:after="20"/>
            </w:pPr>
            <w:r>
              <w:rPr>
                <w:color w:val="1C3A36"/>
                <w:sz w:val="17"/>
              </w:rPr>
              <w:t>Table 12</w:t>
            </w:r>
          </w:p>
        </w:tc>
      </w:tr>
      <w:tr>
        <w:tc>
          <w:tcPr>
            <w:tcW w:type="dxa" w:w="3744"/>
          </w:tcPr>
          <w:p>
            <w:pPr>
              <w:spacing w:after="20"/>
            </w:pPr>
            <w:r>
              <w:rPr>
                <w:color w:val="1C3A36"/>
                <w:sz w:val="17"/>
              </w:rPr>
              <w:t>Present value of the terminal block</w:t>
            </w:r>
          </w:p>
        </w:tc>
        <w:tc>
          <w:tcPr>
            <w:tcW w:type="dxa" w:w="1440"/>
          </w:tcPr>
          <w:p>
            <w:pPr>
              <w:spacing w:after="20"/>
              <w:jc w:val="right"/>
            </w:pPr>
            <w:r>
              <w:rPr>
                <w:color w:val="1C3A36"/>
                <w:sz w:val="17"/>
              </w:rPr>
              <w:t>2,591</w:t>
            </w:r>
          </w:p>
        </w:tc>
        <w:tc>
          <w:tcPr>
            <w:tcW w:type="dxa" w:w="1296"/>
          </w:tcPr>
          <w:p>
            <w:pPr>
              <w:spacing w:after="20"/>
              <w:jc w:val="right"/>
            </w:pPr>
            <w:r>
              <w:rPr>
                <w:color w:val="1C3A36"/>
                <w:sz w:val="17"/>
              </w:rPr>
              <w:t>2.01</w:t>
            </w:r>
          </w:p>
        </w:tc>
        <w:tc>
          <w:tcPr>
            <w:tcW w:type="dxa" w:w="3600"/>
          </w:tcPr>
          <w:p>
            <w:pPr>
              <w:spacing w:after="20"/>
            </w:pPr>
            <w:r>
              <w:rPr>
                <w:color w:val="1C3A36"/>
                <w:sz w:val="17"/>
              </w:rPr>
              <w:t>44.8% of enterprise value</w:t>
            </w:r>
          </w:p>
        </w:tc>
      </w:tr>
      <w:tr>
        <w:tc>
          <w:tcPr>
            <w:tcW w:type="dxa" w:w="3744"/>
            <w:shd w:val="clear" w:color="auto" w:fill="F6F1E6"/>
          </w:tcPr>
          <w:p>
            <w:pPr>
              <w:spacing w:after="20"/>
            </w:pPr>
            <w:r>
              <w:rPr>
                <w:b/>
                <w:color w:val="1C3A36"/>
                <w:sz w:val="17"/>
              </w:rPr>
              <w:t>ENTERPRISE VALUE</w:t>
            </w:r>
          </w:p>
        </w:tc>
        <w:tc>
          <w:tcPr>
            <w:tcW w:type="dxa" w:w="1440"/>
            <w:shd w:val="clear" w:color="auto" w:fill="F6F1E6"/>
          </w:tcPr>
          <w:p>
            <w:pPr>
              <w:spacing w:after="20"/>
              <w:jc w:val="right"/>
            </w:pPr>
            <w:r>
              <w:rPr>
                <w:b/>
                <w:color w:val="1C3A36"/>
                <w:sz w:val="17"/>
              </w:rPr>
              <w:t>5,789</w:t>
            </w:r>
          </w:p>
        </w:tc>
        <w:tc>
          <w:tcPr>
            <w:tcW w:type="dxa" w:w="1296"/>
            <w:shd w:val="clear" w:color="auto" w:fill="F6F1E6"/>
          </w:tcPr>
          <w:p>
            <w:pPr>
              <w:spacing w:after="20"/>
              <w:jc w:val="right"/>
            </w:pPr>
            <w:r>
              <w:rPr>
                <w:b/>
                <w:color w:val="1C3A36"/>
                <w:sz w:val="17"/>
              </w:rPr>
              <w:t>4.48</w:t>
            </w:r>
          </w:p>
        </w:tc>
        <w:tc>
          <w:tcPr>
            <w:tcW w:type="dxa" w:w="3600"/>
            <w:shd w:val="clear" w:color="auto" w:fill="F6F1E6"/>
          </w:tcPr>
          <w:p>
            <w:pPr>
              <w:spacing w:after="20"/>
            </w:pPr>
            <w:r>
              <w:rPr>
                <w:b/>
                <w:color w:val="1C3A36"/>
                <w:sz w:val="17"/>
              </w:rPr>
            </w:r>
          </w:p>
        </w:tc>
      </w:tr>
      <w:tr>
        <w:tc>
          <w:tcPr>
            <w:tcW w:type="dxa" w:w="3744"/>
          </w:tcPr>
          <w:p>
            <w:pPr>
              <w:spacing w:after="20"/>
            </w:pPr>
            <w:r>
              <w:rPr>
                <w:color w:val="1C3A36"/>
                <w:sz w:val="17"/>
              </w:rPr>
              <w:t>plus net cash</w:t>
            </w:r>
          </w:p>
        </w:tc>
        <w:tc>
          <w:tcPr>
            <w:tcW w:type="dxa" w:w="1440"/>
          </w:tcPr>
          <w:p>
            <w:pPr>
              <w:spacing w:after="20"/>
              <w:jc w:val="right"/>
            </w:pPr>
            <w:r>
              <w:rPr>
                <w:color w:val="1C3A36"/>
                <w:sz w:val="17"/>
              </w:rPr>
              <w:t>2,443</w:t>
            </w:r>
          </w:p>
        </w:tc>
        <w:tc>
          <w:tcPr>
            <w:tcW w:type="dxa" w:w="1296"/>
          </w:tcPr>
          <w:p>
            <w:pPr>
              <w:spacing w:after="20"/>
              <w:jc w:val="right"/>
            </w:pPr>
            <w:r>
              <w:rPr>
                <w:color w:val="1C3A36"/>
                <w:sz w:val="17"/>
              </w:rPr>
              <w:t>1.89</w:t>
            </w:r>
          </w:p>
        </w:tc>
        <w:tc>
          <w:tcPr>
            <w:tcW w:type="dxa" w:w="3600"/>
          </w:tcPr>
          <w:p>
            <w:pPr>
              <w:spacing w:after="20"/>
            </w:pPr>
            <w:r>
              <w:rPr>
                <w:color w:val="1C3A36"/>
                <w:sz w:val="17"/>
              </w:rPr>
              <w:t>note 9-E and note 20</w:t>
            </w:r>
          </w:p>
        </w:tc>
      </w:tr>
      <w:tr>
        <w:tc>
          <w:tcPr>
            <w:tcW w:type="dxa" w:w="3744"/>
          </w:tcPr>
          <w:p>
            <w:pPr>
              <w:spacing w:after="20"/>
            </w:pPr>
            <w:r>
              <w:rPr>
                <w:color w:val="1C3A36"/>
                <w:sz w:val="17"/>
              </w:rPr>
              <w:t>Enterprise value including cash</w:t>
            </w:r>
          </w:p>
        </w:tc>
        <w:tc>
          <w:tcPr>
            <w:tcW w:type="dxa" w:w="1440"/>
          </w:tcPr>
          <w:p>
            <w:pPr>
              <w:spacing w:after="20"/>
              <w:jc w:val="right"/>
            </w:pPr>
            <w:r>
              <w:rPr>
                <w:color w:val="1C3A36"/>
                <w:sz w:val="17"/>
              </w:rPr>
              <w:t>8,232</w:t>
            </w:r>
          </w:p>
        </w:tc>
        <w:tc>
          <w:tcPr>
            <w:tcW w:type="dxa" w:w="1296"/>
          </w:tcPr>
          <w:p>
            <w:pPr>
              <w:spacing w:after="20"/>
              <w:jc w:val="right"/>
            </w:pPr>
            <w:r>
              <w:rPr>
                <w:color w:val="1C3A36"/>
                <w:sz w:val="17"/>
              </w:rPr>
              <w:t>6.37</w:t>
            </w:r>
          </w:p>
        </w:tc>
        <w:tc>
          <w:tcPr>
            <w:tcW w:type="dxa" w:w="3600"/>
          </w:tcPr>
          <w:p>
            <w:pPr>
              <w:spacing w:after="20"/>
            </w:pPr>
            <w:r>
              <w:rPr>
                <w:color w:val="1C3A36"/>
                <w:sz w:val="17"/>
              </w:rPr>
            </w:r>
          </w:p>
        </w:tc>
      </w:tr>
      <w:tr>
        <w:tc>
          <w:tcPr>
            <w:tcW w:type="dxa" w:w="3744"/>
          </w:tcPr>
          <w:p>
            <w:pPr>
              <w:spacing w:after="20"/>
            </w:pPr>
            <w:r>
              <w:rPr>
                <w:color w:val="1C3A36"/>
                <w:sz w:val="17"/>
              </w:rPr>
              <w:t>less minority interest</w:t>
            </w:r>
          </w:p>
        </w:tc>
        <w:tc>
          <w:tcPr>
            <w:tcW w:type="dxa" w:w="1440"/>
          </w:tcPr>
          <w:p>
            <w:pPr>
              <w:spacing w:after="20"/>
              <w:jc w:val="right"/>
            </w:pPr>
            <w:r>
              <w:rPr>
                <w:color w:val="1C3A36"/>
                <w:sz w:val="17"/>
              </w:rPr>
              <w:t>(268)</w:t>
            </w:r>
          </w:p>
        </w:tc>
        <w:tc>
          <w:tcPr>
            <w:tcW w:type="dxa" w:w="1296"/>
          </w:tcPr>
          <w:p>
            <w:pPr>
              <w:spacing w:after="20"/>
              <w:jc w:val="right"/>
            </w:pPr>
            <w:r>
              <w:rPr>
                <w:color w:val="1C3A36"/>
                <w:sz w:val="17"/>
              </w:rPr>
              <w:t>(0.21)</w:t>
            </w:r>
          </w:p>
        </w:tc>
        <w:tc>
          <w:tcPr>
            <w:tcW w:type="dxa" w:w="3600"/>
          </w:tcPr>
          <w:p>
            <w:pPr>
              <w:spacing w:after="20"/>
            </w:pPr>
            <w:r>
              <w:rPr>
                <w:color w:val="1C3A36"/>
                <w:sz w:val="17"/>
              </w:rPr>
              <w:t>3.258% of the WHOLE enterprise, cash included</w:t>
            </w:r>
          </w:p>
        </w:tc>
      </w:tr>
      <w:tr>
        <w:tc>
          <w:tcPr>
            <w:tcW w:type="dxa" w:w="3744"/>
          </w:tcPr>
          <w:p>
            <w:pPr>
              <w:spacing w:after="20"/>
            </w:pPr>
            <w:r>
              <w:rPr>
                <w:color w:val="1C3A36"/>
                <w:sz w:val="17"/>
              </w:rPr>
              <w:t>less provision for tax disputes</w:t>
            </w:r>
          </w:p>
        </w:tc>
        <w:tc>
          <w:tcPr>
            <w:tcW w:type="dxa" w:w="1440"/>
          </w:tcPr>
          <w:p>
            <w:pPr>
              <w:spacing w:after="20"/>
              <w:jc w:val="right"/>
            </w:pPr>
            <w:r>
              <w:rPr>
                <w:color w:val="1C3A36"/>
                <w:sz w:val="17"/>
              </w:rPr>
              <w:t>(921)</w:t>
            </w:r>
          </w:p>
        </w:tc>
        <w:tc>
          <w:tcPr>
            <w:tcW w:type="dxa" w:w="1296"/>
          </w:tcPr>
          <w:p>
            <w:pPr>
              <w:spacing w:after="20"/>
              <w:jc w:val="right"/>
            </w:pPr>
            <w:r>
              <w:rPr>
                <w:color w:val="1C3A36"/>
                <w:sz w:val="17"/>
              </w:rPr>
              <w:t>(0.71)</w:t>
            </w:r>
          </w:p>
        </w:tc>
        <w:tc>
          <w:tcPr>
            <w:tcW w:type="dxa" w:w="3600"/>
          </w:tcPr>
          <w:p>
            <w:pPr>
              <w:spacing w:after="20"/>
            </w:pPr>
            <w:r>
              <w:rPr>
                <w:color w:val="1C3A36"/>
                <w:sz w:val="17"/>
              </w:rPr>
              <w:t>note 10-1</w:t>
            </w:r>
          </w:p>
        </w:tc>
      </w:tr>
      <w:tr>
        <w:tc>
          <w:tcPr>
            <w:tcW w:type="dxa" w:w="3744"/>
          </w:tcPr>
          <w:p>
            <w:pPr>
              <w:spacing w:after="20"/>
            </w:pPr>
            <w:r>
              <w:rPr>
                <w:color w:val="1C3A36"/>
                <w:sz w:val="17"/>
              </w:rPr>
              <w:t>less dividends payable</w:t>
            </w:r>
          </w:p>
        </w:tc>
        <w:tc>
          <w:tcPr>
            <w:tcW w:type="dxa" w:w="1440"/>
          </w:tcPr>
          <w:p>
            <w:pPr>
              <w:spacing w:after="20"/>
              <w:jc w:val="right"/>
            </w:pPr>
            <w:r>
              <w:rPr>
                <w:color w:val="1C3A36"/>
                <w:sz w:val="17"/>
              </w:rPr>
              <w:t>(517)</w:t>
            </w:r>
          </w:p>
        </w:tc>
        <w:tc>
          <w:tcPr>
            <w:tcW w:type="dxa" w:w="1296"/>
          </w:tcPr>
          <w:p>
            <w:pPr>
              <w:spacing w:after="20"/>
              <w:jc w:val="right"/>
            </w:pPr>
            <w:r>
              <w:rPr>
                <w:color w:val="1C3A36"/>
                <w:sz w:val="17"/>
              </w:rPr>
              <w:t>(0.40)</w:t>
            </w:r>
          </w:p>
        </w:tc>
        <w:tc>
          <w:tcPr>
            <w:tcW w:type="dxa" w:w="3600"/>
          </w:tcPr>
          <w:p>
            <w:pPr>
              <w:spacing w:after="20"/>
            </w:pPr>
            <w:r>
              <w:rPr>
                <w:color w:val="1C3A36"/>
                <w:sz w:val="17"/>
              </w:rPr>
              <w:t>note 11</w:t>
            </w:r>
          </w:p>
        </w:tc>
      </w:tr>
      <w:tr>
        <w:tc>
          <w:tcPr>
            <w:tcW w:type="dxa" w:w="3744"/>
          </w:tcPr>
          <w:p>
            <w:pPr>
              <w:spacing w:after="20"/>
            </w:pPr>
            <w:r>
              <w:rPr>
                <w:color w:val="1C3A36"/>
                <w:sz w:val="17"/>
              </w:rPr>
              <w:t>plus non-operating investments</w:t>
            </w:r>
          </w:p>
        </w:tc>
        <w:tc>
          <w:tcPr>
            <w:tcW w:type="dxa" w:w="1440"/>
          </w:tcPr>
          <w:p>
            <w:pPr>
              <w:spacing w:after="20"/>
              <w:jc w:val="right"/>
            </w:pPr>
            <w:r>
              <w:rPr>
                <w:color w:val="1C3A36"/>
                <w:sz w:val="17"/>
              </w:rPr>
              <w:t>578</w:t>
            </w:r>
          </w:p>
        </w:tc>
        <w:tc>
          <w:tcPr>
            <w:tcW w:type="dxa" w:w="1296"/>
          </w:tcPr>
          <w:p>
            <w:pPr>
              <w:spacing w:after="20"/>
              <w:jc w:val="right"/>
            </w:pPr>
            <w:r>
              <w:rPr>
                <w:color w:val="1C3A36"/>
                <w:sz w:val="17"/>
              </w:rPr>
              <w:t>0.45</w:t>
            </w:r>
          </w:p>
        </w:tc>
        <w:tc>
          <w:tcPr>
            <w:tcW w:type="dxa" w:w="3600"/>
          </w:tcPr>
          <w:p>
            <w:pPr>
              <w:spacing w:after="20"/>
            </w:pPr>
            <w:r>
              <w:rPr>
                <w:color w:val="1C3A36"/>
                <w:sz w:val="17"/>
              </w:rPr>
              <w:t>pledged deposits and the ASPPC stake</w:t>
            </w:r>
          </w:p>
        </w:tc>
      </w:tr>
      <w:tr>
        <w:tc>
          <w:tcPr>
            <w:tcW w:type="dxa" w:w="3744"/>
            <w:shd w:val="clear" w:color="auto" w:fill="F6F1E6"/>
          </w:tcPr>
          <w:p>
            <w:pPr>
              <w:spacing w:after="20"/>
            </w:pPr>
            <w:r>
              <w:rPr>
                <w:b/>
                <w:color w:val="1C3A36"/>
                <w:sz w:val="17"/>
              </w:rPr>
              <w:t>EQUITY ATTRIBUTABLE</w:t>
            </w:r>
          </w:p>
        </w:tc>
        <w:tc>
          <w:tcPr>
            <w:tcW w:type="dxa" w:w="1440"/>
            <w:shd w:val="clear" w:color="auto" w:fill="F6F1E6"/>
          </w:tcPr>
          <w:p>
            <w:pPr>
              <w:spacing w:after="20"/>
              <w:jc w:val="right"/>
            </w:pPr>
            <w:r>
              <w:rPr>
                <w:b/>
                <w:color w:val="1C3A36"/>
                <w:sz w:val="17"/>
              </w:rPr>
              <w:t>7,103</w:t>
            </w:r>
          </w:p>
        </w:tc>
        <w:tc>
          <w:tcPr>
            <w:tcW w:type="dxa" w:w="1296"/>
            <w:shd w:val="clear" w:color="auto" w:fill="F6F1E6"/>
          </w:tcPr>
          <w:p>
            <w:pPr>
              <w:spacing w:after="20"/>
              <w:jc w:val="right"/>
            </w:pPr>
            <w:r>
              <w:rPr>
                <w:b/>
                <w:color w:val="1C3A36"/>
                <w:sz w:val="17"/>
              </w:rPr>
              <w:t>5.50</w:t>
            </w:r>
          </w:p>
        </w:tc>
        <w:tc>
          <w:tcPr>
            <w:tcW w:type="dxa" w:w="3600"/>
            <w:shd w:val="clear" w:color="auto" w:fill="F6F1E6"/>
          </w:tcPr>
          <w:p>
            <w:pPr>
              <w:spacing w:after="20"/>
            </w:pPr>
            <w:r>
              <w:rPr>
                <w:b/>
                <w:color w:val="1C3A36"/>
                <w:sz w:val="17"/>
              </w:rPr>
              <w:t>against a price of 9.10</w:t>
            </w:r>
          </w:p>
        </w:tc>
      </w:tr>
    </w:tbl>
    <w:p>
      <w:pPr>
        <w:spacing w:after="40"/>
      </w:pPr>
    </w:p>
    <w:p>
      <w:pPr>
        <w:spacing w:after="200" w:before="0"/>
      </w:pPr>
      <w:r>
        <w:rPr>
          <w:b w:val="0"/>
          <w:i/>
          <w:color w:val="6E7B77"/>
          <w:sz w:val="17"/>
        </w:rPr>
        <w:t>Table 13 — the bridge, with every disclosed claim carried. The minority takes its share of the WHOLE enterprise including the cash: the previous construction charged the minority its share of the operating enterprise and then credited the parent with 100% of the consolidated cash, an inconsistency a reader can find in one line of arithmetic. The provision and the declared dividend are senior claims on that same cash and are deducted at face. The pledged deposits are excluded from free cash but are real assets, so they return here rather than vanishing from both sides.</w:t>
      </w:r>
    </w:p>
    <w:p>
      <w:pPr>
        <w:spacing w:after="40"/>
        <w:jc w:val="center"/>
      </w:pPr>
      <w:r>
        <w:drawing>
          <wp:inline xmlns:a="http://schemas.openxmlformats.org/drawingml/2006/main" xmlns:pic="http://schemas.openxmlformats.org/drawingml/2006/picture">
            <wp:extent cx="6309360" cy="2557849"/>
            <wp:docPr id="3" name="Picture 3"/>
            <wp:cNvGraphicFramePr>
              <a:graphicFrameLocks noChangeAspect="1"/>
            </wp:cNvGraphicFramePr>
            <a:graphic>
              <a:graphicData uri="http://schemas.openxmlformats.org/drawingml/2006/picture">
                <pic:pic>
                  <pic:nvPicPr>
                    <pic:cNvPr id="0" name="fig3_bridge.png"/>
                    <pic:cNvPicPr/>
                  </pic:nvPicPr>
                  <pic:blipFill>
                    <a:blip r:embed="rId11"/>
                    <a:stretch>
                      <a:fillRect/>
                    </a:stretch>
                  </pic:blipFill>
                  <pic:spPr>
                    <a:xfrm>
                      <a:off x="0" y="0"/>
                      <a:ext cx="6309360" cy="2557849"/>
                    </a:xfrm>
                    <a:prstGeom prst="rect"/>
                  </pic:spPr>
                </pic:pic>
              </a:graphicData>
            </a:graphic>
          </wp:inline>
        </w:drawing>
      </w:r>
    </w:p>
    <w:p>
      <w:pPr>
        <w:spacing w:after="200" w:before="0"/>
      </w:pPr>
      <w:r>
        <w:rPr>
          <w:b w:val="0"/>
          <w:i/>
          <w:color w:val="6E7B77"/>
          <w:sz w:val="17"/>
        </w:rPr>
        <w:t>Figure 3 — the bridge drawn per share. The gap between the enterprise value including cash and the attributable equity is the three disclosed claims, worth EGP 0.87 a share between them.</w:t>
      </w:r>
    </w:p>
    <w:p>
      <w:pPr>
        <w:spacing w:after="80" w:before="200"/>
      </w:pPr>
      <w:r>
        <w:rPr>
          <w:b/>
          <w:i w:val="0"/>
          <w:color w:val="1C3A36"/>
          <w:sz w:val="24"/>
        </w:rPr>
        <w:t>1.9  The terminal block</w:t>
      </w:r>
    </w:p>
    <w:p>
      <w:pPr>
        <w:spacing w:after="120" w:before="0"/>
      </w:pPr>
      <w:r>
        <w:rPr>
          <w:b w:val="0"/>
          <w:i w:val="0"/>
          <w:color w:val="1C3A36"/>
          <w:sz w:val="21"/>
        </w:rPr>
        <w:t>The terminal return is struck on invested capital at REPLACEMENT cost — working capital plus the asset base at GROSS cost — giving 17.1%. On net book it would be about 26%. The plant is 67.4% written down, and the book lens in section 1.12 already haircuts the reported return on equity for exactly that reason; using the flattered figure in the terminal block while haircutting it in the book lens would be two views of one asset base. One view is now applied across the model.</w:t>
      </w:r>
    </w:p>
    <w:p>
      <w:pPr>
        <w:spacing w:after="120" w:before="0"/>
      </w:pPr>
      <w:r>
        <w:rPr>
          <w:b w:val="0"/>
          <w:i w:val="0"/>
          <w:color w:val="1C3A36"/>
          <w:sz w:val="21"/>
        </w:rPr>
        <w:t>Growth equals return times reinvestment is ENFORCED by assertion, not asserted in prose: at 5% terminal growth and a 17.1% return, the terminal block reinvests 29.3% of profit. That is ABOVE the final explicit year’s 28.2%, so the terminal block is funded rather than flattered — a step of +1.11%, disclosed here because it RAISES nothing and a reader is entitled to see it either way. Terminal value carries 44.8% of enterprise value, down from 58.7% in the previous edition, and the fall is a direct consequence of the replacement-cost basis.</w:t>
      </w:r>
    </w:p>
    <w:p>
      <w:pPr>
        <w:spacing w:after="80" w:before="200"/>
      </w:pPr>
      <w:r>
        <w:rPr>
          <w:b/>
          <w:i w:val="0"/>
          <w:color w:val="1C3A36"/>
          <w:sz w:val="24"/>
        </w:rPr>
        <w:t>1.10  Terminal growth, reconciled against the company’s own record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520"/>
        <w:gridCol w:w="2016"/>
        <w:gridCol w:w="2664"/>
      </w:tblGrid>
      <w:tr>
        <w:tc>
          <w:tcPr>
            <w:tcW w:type="dxa" w:w="2736"/>
            <w:shd w:val="clear" w:color="auto" w:fill="EAF0EE"/>
          </w:tcPr>
          <w:p>
            <w:pPr>
              <w:spacing w:after="20"/>
            </w:pPr>
            <w:r>
              <w:rPr>
                <w:b/>
                <w:color w:val="1C3A36"/>
                <w:sz w:val="17"/>
              </w:rPr>
              <w:t>Period</w:t>
            </w:r>
          </w:p>
        </w:tc>
        <w:tc>
          <w:tcPr>
            <w:tcW w:type="dxa" w:w="2520"/>
            <w:shd w:val="clear" w:color="auto" w:fill="EAF0EE"/>
          </w:tcPr>
          <w:p>
            <w:pPr>
              <w:spacing w:after="20"/>
            </w:pPr>
            <w:r>
              <w:rPr>
                <w:b/>
                <w:color w:val="1C3A36"/>
                <w:sz w:val="17"/>
              </w:rPr>
              <w:t>Return on invested capital</w:t>
            </w:r>
          </w:p>
        </w:tc>
        <w:tc>
          <w:tcPr>
            <w:tcW w:type="dxa" w:w="2016"/>
            <w:shd w:val="clear" w:color="auto" w:fill="EAF0EE"/>
          </w:tcPr>
          <w:p>
            <w:pPr>
              <w:spacing w:after="20"/>
            </w:pPr>
            <w:r>
              <w:rPr>
                <w:b/>
                <w:color w:val="1C3A36"/>
                <w:sz w:val="17"/>
              </w:rPr>
              <w:t>Reinvestment rate</w:t>
            </w:r>
          </w:p>
        </w:tc>
        <w:tc>
          <w:tcPr>
            <w:tcW w:type="dxa" w:w="2664"/>
            <w:shd w:val="clear" w:color="auto" w:fill="EAF0EE"/>
          </w:tcPr>
          <w:p>
            <w:pPr>
              <w:spacing w:after="20"/>
            </w:pPr>
            <w:r>
              <w:rPr>
                <w:b/>
                <w:color w:val="1C3A36"/>
                <w:sz w:val="17"/>
              </w:rPr>
              <w:t>Implied steady-state growth</w:t>
            </w:r>
          </w:p>
        </w:tc>
      </w:tr>
      <w:tr>
        <w:tc>
          <w:tcPr>
            <w:tcW w:type="dxa" w:w="2736"/>
          </w:tcPr>
          <w:p>
            <w:pPr>
              <w:spacing w:after="20"/>
            </w:pPr>
            <w:r>
              <w:rPr>
                <w:color w:val="1C3A36"/>
                <w:sz w:val="17"/>
              </w:rPr>
              <w:t>6M Dec-2024</w:t>
            </w:r>
          </w:p>
        </w:tc>
        <w:tc>
          <w:tcPr>
            <w:tcW w:type="dxa" w:w="2520"/>
          </w:tcPr>
          <w:p>
            <w:pPr>
              <w:spacing w:after="20"/>
              <w:jc w:val="right"/>
            </w:pPr>
            <w:r>
              <w:rPr>
                <w:color w:val="1C3A36"/>
                <w:sz w:val="17"/>
              </w:rPr>
              <w:t>28.1%</w:t>
            </w:r>
          </w:p>
        </w:tc>
        <w:tc>
          <w:tcPr>
            <w:tcW w:type="dxa" w:w="2016"/>
          </w:tcPr>
          <w:p>
            <w:pPr>
              <w:spacing w:after="20"/>
              <w:jc w:val="right"/>
            </w:pPr>
            <w:r>
              <w:rPr>
                <w:color w:val="1C3A36"/>
                <w:sz w:val="17"/>
              </w:rPr>
              <w:t>-6.9%</w:t>
            </w:r>
          </w:p>
        </w:tc>
        <w:tc>
          <w:tcPr>
            <w:tcW w:type="dxa" w:w="2664"/>
          </w:tcPr>
          <w:p>
            <w:pPr>
              <w:spacing w:after="20"/>
              <w:jc w:val="right"/>
            </w:pPr>
            <w:r>
              <w:rPr>
                <w:color w:val="1C3A36"/>
                <w:sz w:val="17"/>
              </w:rPr>
              <w:t>-1.93%</w:t>
            </w:r>
          </w:p>
        </w:tc>
      </w:tr>
      <w:tr>
        <w:tc>
          <w:tcPr>
            <w:tcW w:type="dxa" w:w="2736"/>
          </w:tcPr>
          <w:p>
            <w:pPr>
              <w:spacing w:after="20"/>
            </w:pPr>
            <w:r>
              <w:rPr>
                <w:color w:val="1C3A36"/>
                <w:sz w:val="17"/>
              </w:rPr>
              <w:t>3M Mar-2025</w:t>
            </w:r>
          </w:p>
        </w:tc>
        <w:tc>
          <w:tcPr>
            <w:tcW w:type="dxa" w:w="2520"/>
          </w:tcPr>
          <w:p>
            <w:pPr>
              <w:spacing w:after="20"/>
              <w:jc w:val="right"/>
            </w:pPr>
            <w:r>
              <w:rPr>
                <w:color w:val="1C3A36"/>
                <w:sz w:val="17"/>
              </w:rPr>
              <w:t>22.2%</w:t>
            </w:r>
          </w:p>
        </w:tc>
        <w:tc>
          <w:tcPr>
            <w:tcW w:type="dxa" w:w="2016"/>
          </w:tcPr>
          <w:p>
            <w:pPr>
              <w:spacing w:after="20"/>
              <w:jc w:val="right"/>
            </w:pPr>
            <w:r>
              <w:rPr>
                <w:color w:val="1C3A36"/>
                <w:sz w:val="17"/>
              </w:rPr>
              <w:t>12.7%</w:t>
            </w:r>
          </w:p>
        </w:tc>
        <w:tc>
          <w:tcPr>
            <w:tcW w:type="dxa" w:w="2664"/>
          </w:tcPr>
          <w:p>
            <w:pPr>
              <w:spacing w:after="20"/>
              <w:jc w:val="right"/>
            </w:pPr>
            <w:r>
              <w:rPr>
                <w:color w:val="1C3A36"/>
                <w:sz w:val="17"/>
              </w:rPr>
              <w:t>2.82%</w:t>
            </w:r>
          </w:p>
        </w:tc>
      </w:tr>
      <w:tr>
        <w:tc>
          <w:tcPr>
            <w:tcW w:type="dxa" w:w="2736"/>
          </w:tcPr>
          <w:p>
            <w:pPr>
              <w:spacing w:after="20"/>
            </w:pPr>
            <w:r>
              <w:rPr>
                <w:color w:val="1C3A36"/>
                <w:sz w:val="17"/>
              </w:rPr>
              <w:t>6M Dec-2025</w:t>
            </w:r>
          </w:p>
        </w:tc>
        <w:tc>
          <w:tcPr>
            <w:tcW w:type="dxa" w:w="2520"/>
          </w:tcPr>
          <w:p>
            <w:pPr>
              <w:spacing w:after="20"/>
              <w:jc w:val="right"/>
            </w:pPr>
            <w:r>
              <w:rPr>
                <w:color w:val="1C3A36"/>
                <w:sz w:val="17"/>
              </w:rPr>
              <w:t>21.3%</w:t>
            </w:r>
          </w:p>
        </w:tc>
        <w:tc>
          <w:tcPr>
            <w:tcW w:type="dxa" w:w="2016"/>
          </w:tcPr>
          <w:p>
            <w:pPr>
              <w:spacing w:after="20"/>
              <w:jc w:val="right"/>
            </w:pPr>
            <w:r>
              <w:rPr>
                <w:color w:val="1C3A36"/>
                <w:sz w:val="17"/>
              </w:rPr>
              <w:t>-10.5%</w:t>
            </w:r>
          </w:p>
        </w:tc>
        <w:tc>
          <w:tcPr>
            <w:tcW w:type="dxa" w:w="2664"/>
          </w:tcPr>
          <w:p>
            <w:pPr>
              <w:spacing w:after="20"/>
              <w:jc w:val="right"/>
            </w:pPr>
            <w:r>
              <w:rPr>
                <w:color w:val="1C3A36"/>
                <w:sz w:val="17"/>
              </w:rPr>
              <w:t>-2.24%</w:t>
            </w:r>
          </w:p>
        </w:tc>
      </w:tr>
      <w:tr>
        <w:tc>
          <w:tcPr>
            <w:tcW w:type="dxa" w:w="2736"/>
          </w:tcPr>
          <w:p>
            <w:pPr>
              <w:spacing w:after="20"/>
            </w:pPr>
            <w:r>
              <w:rPr>
                <w:color w:val="1C3A36"/>
                <w:sz w:val="17"/>
              </w:rPr>
              <w:t>3M Mar-2026</w:t>
            </w:r>
          </w:p>
        </w:tc>
        <w:tc>
          <w:tcPr>
            <w:tcW w:type="dxa" w:w="2520"/>
          </w:tcPr>
          <w:p>
            <w:pPr>
              <w:spacing w:after="20"/>
              <w:jc w:val="right"/>
            </w:pPr>
            <w:r>
              <w:rPr>
                <w:color w:val="1C3A36"/>
                <w:sz w:val="17"/>
              </w:rPr>
              <w:t>56.4%</w:t>
            </w:r>
          </w:p>
        </w:tc>
        <w:tc>
          <w:tcPr>
            <w:tcW w:type="dxa" w:w="2016"/>
          </w:tcPr>
          <w:p>
            <w:pPr>
              <w:spacing w:after="20"/>
              <w:jc w:val="right"/>
            </w:pPr>
            <w:r>
              <w:rPr>
                <w:color w:val="1C3A36"/>
                <w:sz w:val="17"/>
              </w:rPr>
              <w:t>4.9%</w:t>
            </w:r>
          </w:p>
        </w:tc>
        <w:tc>
          <w:tcPr>
            <w:tcW w:type="dxa" w:w="2664"/>
          </w:tcPr>
          <w:p>
            <w:pPr>
              <w:spacing w:after="20"/>
              <w:jc w:val="right"/>
            </w:pPr>
            <w:r>
              <w:rPr>
                <w:color w:val="1C3A36"/>
                <w:sz w:val="17"/>
              </w:rPr>
              <w:t>2.75%</w:t>
            </w:r>
          </w:p>
        </w:tc>
      </w:tr>
      <w:tr>
        <w:tc>
          <w:tcPr>
            <w:tcW w:type="dxa" w:w="2736"/>
            <w:shd w:val="clear" w:color="auto" w:fill="F6F1E6"/>
          </w:tcPr>
          <w:p>
            <w:pPr>
              <w:spacing w:after="20"/>
            </w:pPr>
            <w:r>
              <w:rPr>
                <w:b/>
                <w:color w:val="1C3A36"/>
                <w:sz w:val="17"/>
              </w:rPr>
              <w:t>Four-period average</w:t>
            </w:r>
          </w:p>
        </w:tc>
        <w:tc>
          <w:tcPr>
            <w:tcW w:type="dxa" w:w="2520"/>
            <w:shd w:val="clear" w:color="auto" w:fill="F6F1E6"/>
          </w:tcPr>
          <w:p>
            <w:pPr>
              <w:spacing w:after="20"/>
              <w:jc w:val="right"/>
            </w:pPr>
            <w:r>
              <w:rPr>
                <w:b/>
                <w:color w:val="1C3A36"/>
                <w:sz w:val="17"/>
              </w:rPr>
            </w:r>
          </w:p>
        </w:tc>
        <w:tc>
          <w:tcPr>
            <w:tcW w:type="dxa" w:w="2016"/>
            <w:shd w:val="clear" w:color="auto" w:fill="F6F1E6"/>
          </w:tcPr>
          <w:p>
            <w:pPr>
              <w:spacing w:after="20"/>
              <w:jc w:val="right"/>
            </w:pPr>
            <w:r>
              <w:rPr>
                <w:b/>
                <w:color w:val="1C3A36"/>
                <w:sz w:val="17"/>
              </w:rPr>
              <w:t>0.0%</w:t>
            </w:r>
          </w:p>
        </w:tc>
        <w:tc>
          <w:tcPr>
            <w:tcW w:type="dxa" w:w="2664"/>
            <w:shd w:val="clear" w:color="auto" w:fill="F6F1E6"/>
          </w:tcPr>
          <w:p>
            <w:pPr>
              <w:spacing w:after="20"/>
              <w:jc w:val="right"/>
            </w:pPr>
            <w:r>
              <w:rPr>
                <w:b/>
                <w:color w:val="1C3A36"/>
                <w:sz w:val="17"/>
              </w:rPr>
              <w:t>0.35%</w:t>
            </w:r>
          </w:p>
        </w:tc>
      </w:tr>
    </w:tbl>
    <w:p>
      <w:pPr>
        <w:spacing w:after="40"/>
      </w:pPr>
    </w:p>
    <w:p>
      <w:pPr>
        <w:spacing w:after="200" w:before="0"/>
      </w:pPr>
      <w:r>
        <w:rPr>
          <w:b w:val="0"/>
          <w:i/>
          <w:color w:val="6E7B77"/>
          <w:sz w:val="17"/>
        </w:rPr>
        <w:t>Table 14 — the reinvestment record. TWO of the four filed periods show POSITIVE reinvestment and the four-period average implied growth is positive. The previous edition of this study stated in three separate places that reinvestment was "negative in every audited period" and that the identity implied a negative steady-state rate; its own table, printed on the facing page, said otherwise. Two outside reviewers then built a "shrinking asset base" argument on that incorrect sentence rather than on the correct table. The sentence is withdrawn.</w:t>
      </w:r>
    </w:p>
    <w:p>
      <w:pPr>
        <w:spacing w:after="120" w:before="0"/>
      </w:pPr>
      <w:r>
        <w:rPr>
          <w:b w:val="0"/>
          <w:i w:val="0"/>
          <w:color w:val="1C3A36"/>
          <w:sz w:val="21"/>
        </w:rPr>
        <w:t>Against that record the adopted 5% is generous, and the study says so. The reinvestment waterfall itself implies 5.88%; the four-period average implies far less. The terminal growth sensitivity in section 1.11 shows why the choice barely matters here: because the reinvestment identity FUNDS growth before crediting it, the value moves only from EGP 5.48 at 3% to 5.52 at 7%. A model in which that row is steep is a model crediting growth for free.</w:t>
      </w:r>
    </w:p>
    <w:p>
      <w:pPr>
        <w:spacing w:after="80" w:before="200"/>
      </w:pPr>
      <w:r>
        <w:rPr>
          <w:b/>
          <w:i w:val="0"/>
          <w:color w:val="1C3A36"/>
          <w:sz w:val="24"/>
        </w:rPr>
        <w:t>1.11  Sensitivities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1080"/>
        <w:gridCol w:w="1080"/>
        <w:gridCol w:w="1080"/>
        <w:gridCol w:w="1080"/>
        <w:gridCol w:w="1080"/>
      </w:tblGrid>
      <w:tr>
        <w:tc>
          <w:tcPr>
            <w:tcW w:type="dxa" w:w="4104"/>
            <w:shd w:val="clear" w:color="auto" w:fill="EAF0EE"/>
          </w:tcPr>
          <w:p>
            <w:pPr>
              <w:spacing w:after="20"/>
            </w:pPr>
            <w:r>
              <w:rPr>
                <w:b/>
                <w:color w:val="1C3A36"/>
                <w:sz w:val="17"/>
              </w:rPr>
              <w:t>Driver (cash-flow lens, EGP a share)</w:t>
            </w:r>
          </w:p>
        </w:tc>
        <w:tc>
          <w:tcPr>
            <w:tcW w:type="dxa" w:w="1080"/>
            <w:shd w:val="clear" w:color="auto" w:fill="EAF0EE"/>
          </w:tcPr>
          <w:p>
            <w:pPr>
              <w:spacing w:after="20"/>
            </w:pPr>
            <w:r>
              <w:rPr>
                <w:b/>
                <w:color w:val="1C3A36"/>
                <w:sz w:val="17"/>
              </w:rPr>
              <w:t>low</w:t>
            </w:r>
          </w:p>
        </w:tc>
        <w:tc>
          <w:tcPr>
            <w:tcW w:type="dxa" w:w="1080"/>
            <w:shd w:val="clear" w:color="auto" w:fill="EAF0EE"/>
          </w:tcPr>
          <w:p>
            <w:pPr>
              <w:spacing w:after="20"/>
            </w:pPr>
            <w:r>
              <w:rPr>
                <w:b/>
                <w:color w:val="1C3A36"/>
                <w:sz w:val="17"/>
              </w:rPr>
            </w:r>
          </w:p>
        </w:tc>
        <w:tc>
          <w:tcPr>
            <w:tcW w:type="dxa" w:w="1080"/>
            <w:shd w:val="clear" w:color="auto" w:fill="EAF0EE"/>
          </w:tcPr>
          <w:p>
            <w:pPr>
              <w:spacing w:after="20"/>
            </w:pPr>
            <w:r>
              <w:rPr>
                <w:b/>
                <w:color w:val="1C3A36"/>
                <w:sz w:val="17"/>
              </w:rPr>
              <w:t>base</w:t>
            </w:r>
          </w:p>
        </w:tc>
        <w:tc>
          <w:tcPr>
            <w:tcW w:type="dxa" w:w="1080"/>
            <w:shd w:val="clear" w:color="auto" w:fill="EAF0EE"/>
          </w:tcPr>
          <w:p>
            <w:pPr>
              <w:spacing w:after="20"/>
            </w:pPr>
            <w:r>
              <w:rPr>
                <w:b/>
                <w:color w:val="1C3A36"/>
                <w:sz w:val="17"/>
              </w:rPr>
            </w:r>
          </w:p>
        </w:tc>
        <w:tc>
          <w:tcPr>
            <w:tcW w:type="dxa" w:w="1080"/>
            <w:shd w:val="clear" w:color="auto" w:fill="EAF0EE"/>
          </w:tcPr>
          <w:p>
            <w:pPr>
              <w:spacing w:after="20"/>
            </w:pPr>
            <w:r>
              <w:rPr>
                <w:b/>
                <w:color w:val="1C3A36"/>
                <w:sz w:val="17"/>
              </w:rPr>
              <w:t>high</w:t>
            </w:r>
          </w:p>
        </w:tc>
      </w:tr>
      <w:tr>
        <w:tc>
          <w:tcPr>
            <w:tcW w:type="dxa" w:w="4104"/>
          </w:tcPr>
          <w:p>
            <w:pPr>
              <w:spacing w:after="20"/>
            </w:pPr>
            <w:r>
              <w:rPr>
                <w:color w:val="1C3A36"/>
                <w:sz w:val="17"/>
              </w:rPr>
              <w:t>Gross margin, shifted on every forecast year</w:t>
            </w:r>
          </w:p>
        </w:tc>
        <w:tc>
          <w:tcPr>
            <w:tcW w:type="dxa" w:w="1080"/>
          </w:tcPr>
          <w:p>
            <w:pPr>
              <w:spacing w:after="20"/>
              <w:jc w:val="right"/>
            </w:pPr>
            <w:r>
              <w:rPr>
                <w:color w:val="1C3A36"/>
                <w:sz w:val="17"/>
              </w:rPr>
              <w:t>3.53</w:t>
            </w:r>
          </w:p>
        </w:tc>
        <w:tc>
          <w:tcPr>
            <w:tcW w:type="dxa" w:w="1080"/>
          </w:tcPr>
          <w:p>
            <w:pPr>
              <w:spacing w:after="20"/>
              <w:jc w:val="right"/>
            </w:pPr>
            <w:r>
              <w:rPr>
                <w:color w:val="1C3A36"/>
                <w:sz w:val="17"/>
              </w:rPr>
              <w:t>4.51</w:t>
            </w:r>
          </w:p>
        </w:tc>
        <w:tc>
          <w:tcPr>
            <w:tcW w:type="dxa" w:w="1080"/>
          </w:tcPr>
          <w:p>
            <w:pPr>
              <w:spacing w:after="20"/>
              <w:jc w:val="right"/>
            </w:pPr>
            <w:r>
              <w:rPr>
                <w:color w:val="1C3A36"/>
                <w:sz w:val="17"/>
              </w:rPr>
              <w:t>5.50</w:t>
            </w:r>
          </w:p>
        </w:tc>
        <w:tc>
          <w:tcPr>
            <w:tcW w:type="dxa" w:w="1080"/>
          </w:tcPr>
          <w:p>
            <w:pPr>
              <w:spacing w:after="20"/>
              <w:jc w:val="right"/>
            </w:pPr>
            <w:r>
              <w:rPr>
                <w:color w:val="1C3A36"/>
                <w:sz w:val="17"/>
              </w:rPr>
              <w:t>6.49</w:t>
            </w:r>
          </w:p>
        </w:tc>
        <w:tc>
          <w:tcPr>
            <w:tcW w:type="dxa" w:w="1080"/>
          </w:tcPr>
          <w:p>
            <w:pPr>
              <w:spacing w:after="20"/>
              <w:jc w:val="right"/>
            </w:pPr>
            <w:r>
              <w:rPr>
                <w:color w:val="1C3A36"/>
                <w:sz w:val="17"/>
              </w:rPr>
              <w:t>7.47</w:t>
            </w:r>
          </w:p>
        </w:tc>
      </w:tr>
      <w:tr>
        <w:tc>
          <w:tcPr>
            <w:tcW w:type="dxa" w:w="4104"/>
          </w:tcPr>
          <w:p>
            <w:pPr>
              <w:spacing w:after="20"/>
            </w:pPr>
            <w:r>
              <w:rPr>
                <w:color w:val="1C3A36"/>
                <w:sz w:val="17"/>
              </w:rPr>
              <w:t>Volume growth path, as a multiple of the assumed path</w:t>
            </w:r>
          </w:p>
        </w:tc>
        <w:tc>
          <w:tcPr>
            <w:tcW w:type="dxa" w:w="1080"/>
          </w:tcPr>
          <w:p>
            <w:pPr>
              <w:spacing w:after="20"/>
              <w:jc w:val="right"/>
            </w:pPr>
            <w:r>
              <w:rPr>
                <w:color w:val="1C3A36"/>
                <w:sz w:val="17"/>
              </w:rPr>
              <w:t>4.83</w:t>
            </w:r>
          </w:p>
        </w:tc>
        <w:tc>
          <w:tcPr>
            <w:tcW w:type="dxa" w:w="1080"/>
          </w:tcPr>
          <w:p>
            <w:pPr>
              <w:spacing w:after="20"/>
              <w:jc w:val="right"/>
            </w:pPr>
            <w:r>
              <w:rPr>
                <w:color w:val="1C3A36"/>
                <w:sz w:val="17"/>
              </w:rPr>
              <w:t>5.16</w:t>
            </w:r>
          </w:p>
        </w:tc>
        <w:tc>
          <w:tcPr>
            <w:tcW w:type="dxa" w:w="1080"/>
          </w:tcPr>
          <w:p>
            <w:pPr>
              <w:spacing w:after="20"/>
              <w:jc w:val="right"/>
            </w:pPr>
            <w:r>
              <w:rPr>
                <w:color w:val="1C3A36"/>
                <w:sz w:val="17"/>
              </w:rPr>
              <w:t>5.50</w:t>
            </w:r>
          </w:p>
        </w:tc>
        <w:tc>
          <w:tcPr>
            <w:tcW w:type="dxa" w:w="1080"/>
          </w:tcPr>
          <w:p>
            <w:pPr>
              <w:spacing w:after="20"/>
              <w:jc w:val="right"/>
            </w:pPr>
            <w:r>
              <w:rPr>
                <w:color w:val="1C3A36"/>
                <w:sz w:val="17"/>
              </w:rPr>
              <w:t>5.85</w:t>
            </w:r>
          </w:p>
        </w:tc>
        <w:tc>
          <w:tcPr>
            <w:tcW w:type="dxa" w:w="1080"/>
          </w:tcPr>
          <w:p>
            <w:pPr>
              <w:spacing w:after="20"/>
              <w:jc w:val="right"/>
            </w:pPr>
            <w:r>
              <w:rPr>
                <w:color w:val="1C3A36"/>
                <w:sz w:val="17"/>
              </w:rPr>
              <w:t>6.22</w:t>
            </w:r>
          </w:p>
        </w:tc>
      </w:tr>
      <w:tr>
        <w:tc>
          <w:tcPr>
            <w:tcW w:type="dxa" w:w="4104"/>
          </w:tcPr>
          <w:p>
            <w:pPr>
              <w:spacing w:after="20"/>
            </w:pPr>
            <w:r>
              <w:rPr>
                <w:color w:val="1C3A36"/>
                <w:sz w:val="17"/>
              </w:rPr>
              <w:t>Realisation path, as a multiple of the assumed path</w:t>
            </w:r>
          </w:p>
        </w:tc>
        <w:tc>
          <w:tcPr>
            <w:tcW w:type="dxa" w:w="1080"/>
          </w:tcPr>
          <w:p>
            <w:pPr>
              <w:spacing w:after="20"/>
              <w:jc w:val="right"/>
            </w:pPr>
            <w:r>
              <w:rPr>
                <w:color w:val="1C3A36"/>
                <w:sz w:val="17"/>
              </w:rPr>
              <w:t>4.66</w:t>
            </w:r>
          </w:p>
        </w:tc>
        <w:tc>
          <w:tcPr>
            <w:tcW w:type="dxa" w:w="1080"/>
          </w:tcPr>
          <w:p>
            <w:pPr>
              <w:spacing w:after="20"/>
              <w:jc w:val="right"/>
            </w:pPr>
            <w:r>
              <w:rPr>
                <w:color w:val="1C3A36"/>
                <w:sz w:val="17"/>
              </w:rPr>
              <w:t>5.08</w:t>
            </w:r>
          </w:p>
        </w:tc>
        <w:tc>
          <w:tcPr>
            <w:tcW w:type="dxa" w:w="1080"/>
          </w:tcPr>
          <w:p>
            <w:pPr>
              <w:spacing w:after="20"/>
              <w:jc w:val="right"/>
            </w:pPr>
            <w:r>
              <w:rPr>
                <w:color w:val="1C3A36"/>
                <w:sz w:val="17"/>
              </w:rPr>
              <w:t>5.50</w:t>
            </w:r>
          </w:p>
        </w:tc>
        <w:tc>
          <w:tcPr>
            <w:tcW w:type="dxa" w:w="1080"/>
          </w:tcPr>
          <w:p>
            <w:pPr>
              <w:spacing w:after="20"/>
              <w:jc w:val="right"/>
            </w:pPr>
            <w:r>
              <w:rPr>
                <w:color w:val="1C3A36"/>
                <w:sz w:val="17"/>
              </w:rPr>
              <w:t>5.93</w:t>
            </w:r>
          </w:p>
        </w:tc>
        <w:tc>
          <w:tcPr>
            <w:tcW w:type="dxa" w:w="1080"/>
          </w:tcPr>
          <w:p>
            <w:pPr>
              <w:spacing w:after="20"/>
              <w:jc w:val="right"/>
            </w:pPr>
            <w:r>
              <w:rPr>
                <w:color w:val="1C3A36"/>
                <w:sz w:val="17"/>
              </w:rPr>
              <w:t>6.36</w:t>
            </w:r>
          </w:p>
        </w:tc>
      </w:tr>
      <w:tr>
        <w:tc>
          <w:tcPr>
            <w:tcW w:type="dxa" w:w="4104"/>
          </w:tcPr>
          <w:p>
            <w:pPr>
              <w:spacing w:after="20"/>
            </w:pPr>
            <w:r>
              <w:rPr>
                <w:color w:val="1C3A36"/>
                <w:sz w:val="17"/>
              </w:rPr>
              <w:t>Beta</w:t>
            </w:r>
          </w:p>
        </w:tc>
        <w:tc>
          <w:tcPr>
            <w:tcW w:type="dxa" w:w="1080"/>
          </w:tcPr>
          <w:p>
            <w:pPr>
              <w:spacing w:after="20"/>
              <w:jc w:val="right"/>
            </w:pPr>
            <w:r>
              <w:rPr>
                <w:color w:val="1C3A36"/>
                <w:sz w:val="17"/>
              </w:rPr>
              <w:t>6.33</w:t>
            </w:r>
          </w:p>
        </w:tc>
        <w:tc>
          <w:tcPr>
            <w:tcW w:type="dxa" w:w="1080"/>
          </w:tcPr>
          <w:p>
            <w:pPr>
              <w:spacing w:after="20"/>
              <w:jc w:val="right"/>
            </w:pPr>
            <w:r>
              <w:rPr>
                <w:color w:val="1C3A36"/>
                <w:sz w:val="17"/>
              </w:rPr>
              <w:t>5.81</w:t>
            </w:r>
          </w:p>
        </w:tc>
        <w:tc>
          <w:tcPr>
            <w:tcW w:type="dxa" w:w="1080"/>
          </w:tcPr>
          <w:p>
            <w:pPr>
              <w:spacing w:after="20"/>
              <w:jc w:val="right"/>
            </w:pPr>
            <w:r>
              <w:rPr>
                <w:color w:val="1C3A36"/>
                <w:sz w:val="17"/>
              </w:rPr>
              <w:t>5.50</w:t>
            </w:r>
          </w:p>
        </w:tc>
        <w:tc>
          <w:tcPr>
            <w:tcW w:type="dxa" w:w="1080"/>
          </w:tcPr>
          <w:p>
            <w:pPr>
              <w:spacing w:after="20"/>
              <w:jc w:val="right"/>
            </w:pPr>
            <w:r>
              <w:rPr>
                <w:color w:val="1C3A36"/>
                <w:sz w:val="17"/>
              </w:rPr>
              <w:t>5.11</w:t>
            </w:r>
          </w:p>
        </w:tc>
        <w:tc>
          <w:tcPr>
            <w:tcW w:type="dxa" w:w="1080"/>
          </w:tcPr>
          <w:p>
            <w:pPr>
              <w:spacing w:after="20"/>
              <w:jc w:val="right"/>
            </w:pPr>
            <w:r>
              <w:rPr>
                <w:color w:val="1C3A36"/>
                <w:sz w:val="17"/>
              </w:rPr>
              <w:t>4.87</w:t>
            </w:r>
          </w:p>
        </w:tc>
      </w:tr>
      <w:tr>
        <w:tc>
          <w:tcPr>
            <w:tcW w:type="dxa" w:w="4104"/>
          </w:tcPr>
          <w:p>
            <w:pPr>
              <w:spacing w:after="20"/>
            </w:pPr>
            <w:r>
              <w:rPr>
                <w:color w:val="1C3A36"/>
                <w:sz w:val="17"/>
              </w:rPr>
              <w:t>Working-capital cycle, as a multiple of the solved days</w:t>
            </w:r>
          </w:p>
        </w:tc>
        <w:tc>
          <w:tcPr>
            <w:tcW w:type="dxa" w:w="1080"/>
          </w:tcPr>
          <w:p>
            <w:pPr>
              <w:spacing w:after="20"/>
              <w:jc w:val="right"/>
            </w:pPr>
            <w:r>
              <w:rPr>
                <w:color w:val="1C3A36"/>
                <w:sz w:val="17"/>
              </w:rPr>
              <w:t>6.58</w:t>
            </w:r>
          </w:p>
        </w:tc>
        <w:tc>
          <w:tcPr>
            <w:tcW w:type="dxa" w:w="1080"/>
          </w:tcPr>
          <w:p>
            <w:pPr>
              <w:spacing w:after="20"/>
              <w:jc w:val="right"/>
            </w:pPr>
            <w:r>
              <w:rPr>
                <w:color w:val="1C3A36"/>
                <w:sz w:val="17"/>
              </w:rPr>
              <w:t>6.04</w:t>
            </w:r>
          </w:p>
        </w:tc>
        <w:tc>
          <w:tcPr>
            <w:tcW w:type="dxa" w:w="1080"/>
          </w:tcPr>
          <w:p>
            <w:pPr>
              <w:spacing w:after="20"/>
              <w:jc w:val="right"/>
            </w:pPr>
            <w:r>
              <w:rPr>
                <w:color w:val="1C3A36"/>
                <w:sz w:val="17"/>
              </w:rPr>
              <w:t>5.50</w:t>
            </w:r>
          </w:p>
        </w:tc>
        <w:tc>
          <w:tcPr>
            <w:tcW w:type="dxa" w:w="1080"/>
          </w:tcPr>
          <w:p>
            <w:pPr>
              <w:spacing w:after="20"/>
              <w:jc w:val="right"/>
            </w:pPr>
            <w:r>
              <w:rPr>
                <w:color w:val="1C3A36"/>
                <w:sz w:val="17"/>
              </w:rPr>
              <w:t>4.96</w:t>
            </w:r>
          </w:p>
        </w:tc>
        <w:tc>
          <w:tcPr>
            <w:tcW w:type="dxa" w:w="1080"/>
          </w:tcPr>
          <w:p>
            <w:pPr>
              <w:spacing w:after="20"/>
              <w:jc w:val="right"/>
            </w:pPr>
            <w:r>
              <w:rPr>
                <w:color w:val="1C3A36"/>
                <w:sz w:val="17"/>
              </w:rPr>
              <w:t>4.42</w:t>
            </w:r>
          </w:p>
        </w:tc>
      </w:tr>
      <w:tr>
        <w:tc>
          <w:tcPr>
            <w:tcW w:type="dxa" w:w="4104"/>
          </w:tcPr>
          <w:p>
            <w:pPr>
              <w:spacing w:after="20"/>
            </w:pPr>
            <w:r>
              <w:rPr>
                <w:color w:val="1C3A36"/>
                <w:sz w:val="17"/>
              </w:rPr>
              <w:t>Terminal growth</w:t>
            </w:r>
          </w:p>
        </w:tc>
        <w:tc>
          <w:tcPr>
            <w:tcW w:type="dxa" w:w="1080"/>
          </w:tcPr>
          <w:p>
            <w:pPr>
              <w:spacing w:after="20"/>
              <w:jc w:val="right"/>
            </w:pPr>
            <w:r>
              <w:rPr>
                <w:color w:val="1C3A36"/>
                <w:sz w:val="17"/>
              </w:rPr>
              <w:t>5.48</w:t>
            </w:r>
          </w:p>
        </w:tc>
        <w:tc>
          <w:tcPr>
            <w:tcW w:type="dxa" w:w="1080"/>
          </w:tcPr>
          <w:p>
            <w:pPr>
              <w:spacing w:after="20"/>
              <w:jc w:val="right"/>
            </w:pPr>
            <w:r>
              <w:rPr>
                <w:color w:val="1C3A36"/>
                <w:sz w:val="17"/>
              </w:rPr>
              <w:t>5.49</w:t>
            </w:r>
          </w:p>
        </w:tc>
        <w:tc>
          <w:tcPr>
            <w:tcW w:type="dxa" w:w="1080"/>
          </w:tcPr>
          <w:p>
            <w:pPr>
              <w:spacing w:after="20"/>
              <w:jc w:val="right"/>
            </w:pPr>
            <w:r>
              <w:rPr>
                <w:color w:val="1C3A36"/>
                <w:sz w:val="17"/>
              </w:rPr>
              <w:t>5.50</w:t>
            </w:r>
          </w:p>
        </w:tc>
        <w:tc>
          <w:tcPr>
            <w:tcW w:type="dxa" w:w="1080"/>
          </w:tcPr>
          <w:p>
            <w:pPr>
              <w:spacing w:after="20"/>
              <w:jc w:val="right"/>
            </w:pPr>
            <w:r>
              <w:rPr>
                <w:color w:val="1C3A36"/>
                <w:sz w:val="17"/>
              </w:rPr>
              <w:t>5.51</w:t>
            </w:r>
          </w:p>
        </w:tc>
        <w:tc>
          <w:tcPr>
            <w:tcW w:type="dxa" w:w="1080"/>
          </w:tcPr>
          <w:p>
            <w:pPr>
              <w:spacing w:after="20"/>
              <w:jc w:val="right"/>
            </w:pPr>
            <w:r>
              <w:rPr>
                <w:color w:val="1C3A36"/>
                <w:sz w:val="17"/>
              </w:rPr>
              <w:t>5.52</w:t>
            </w:r>
          </w:p>
        </w:tc>
      </w:tr>
    </w:tbl>
    <w:p>
      <w:pPr>
        <w:spacing w:after="40"/>
      </w:pPr>
    </w:p>
    <w:p>
      <w:pPr>
        <w:spacing w:after="200" w:before="0"/>
      </w:pPr>
      <w:r>
        <w:rPr>
          <w:b w:val="0"/>
          <w:i/>
          <w:color w:val="6E7B77"/>
          <w:sz w:val="17"/>
        </w:rPr>
        <w:t>Table 15 — six drivers, five points each: thirty complete re-runs of the model, not add-backs. Every grid is sorted, every row reproduces the base case at its own base point, and every row is monotone in the direction theory requires — all three properties are ASSERTED in the build. The previous edition published three rows that failed one or more of these tests and had no gate that could have caught them: a working-capital row whose grid was never sorted so the base case sat in the middle slot, a beta row whose centre did not return the base case, and a volume row whose label described a different scenario from the one it ran. In the companion workbook each of these cells is a live formula block.</w:t>
      </w:r>
    </w:p>
    <w:p>
      <w:pPr>
        <w:spacing w:after="120" w:before="0"/>
      </w:pPr>
      <w:r>
        <w:rPr>
          <w:b w:val="0"/>
          <w:i w:val="0"/>
          <w:color w:val="1C3A36"/>
          <w:sz w:val="21"/>
        </w:rPr>
        <w:t>Two readings matter. TERMINAL GROWTH is nearly inert, for the reason given in section 1.10. And GROSS MARGIN is the whole thesis: half a point on the margin, held in every forecast year, is worth about EGP 0.99 a share on the cash-flow lens. That is why the case in section 1.13 is built to survive the margin being wrong by more than the entire filed record’s range.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224"/>
        <w:gridCol w:w="1224"/>
        <w:gridCol w:w="1224"/>
        <w:gridCol w:w="1224"/>
        <w:gridCol w:w="1224"/>
      </w:tblGrid>
      <w:tr>
        <w:tc>
          <w:tcPr>
            <w:tcW w:type="dxa" w:w="3384"/>
            <w:shd w:val="clear" w:color="auto" w:fill="EAF0EE"/>
          </w:tcPr>
          <w:p>
            <w:pPr>
              <w:spacing w:after="20"/>
            </w:pPr>
            <w:r>
              <w:rPr>
                <w:b/>
                <w:color w:val="1C3A36"/>
                <w:sz w:val="17"/>
              </w:rPr>
              <w:t>terminal WACC  \  terminal growth</w:t>
            </w:r>
          </w:p>
        </w:tc>
        <w:tc>
          <w:tcPr>
            <w:tcW w:type="dxa" w:w="1224"/>
            <w:shd w:val="clear" w:color="auto" w:fill="EAF0EE"/>
          </w:tcPr>
          <w:p>
            <w:pPr>
              <w:spacing w:after="20"/>
            </w:pPr>
            <w:r>
              <w:rPr>
                <w:b/>
                <w:color w:val="1C3A36"/>
                <w:sz w:val="17"/>
              </w:rPr>
              <w:t>3%</w:t>
            </w:r>
          </w:p>
        </w:tc>
        <w:tc>
          <w:tcPr>
            <w:tcW w:type="dxa" w:w="1224"/>
            <w:shd w:val="clear" w:color="auto" w:fill="EAF0EE"/>
          </w:tcPr>
          <w:p>
            <w:pPr>
              <w:spacing w:after="20"/>
            </w:pPr>
            <w:r>
              <w:rPr>
                <w:b/>
                <w:color w:val="1C3A36"/>
                <w:sz w:val="17"/>
              </w:rPr>
              <w:t>4%</w:t>
            </w:r>
          </w:p>
        </w:tc>
        <w:tc>
          <w:tcPr>
            <w:tcW w:type="dxa" w:w="1224"/>
            <w:shd w:val="clear" w:color="auto" w:fill="EAF0EE"/>
          </w:tcPr>
          <w:p>
            <w:pPr>
              <w:spacing w:after="20"/>
            </w:pPr>
            <w:r>
              <w:rPr>
                <w:b/>
                <w:color w:val="1C3A36"/>
                <w:sz w:val="17"/>
              </w:rPr>
              <w:t>5%</w:t>
            </w:r>
          </w:p>
        </w:tc>
        <w:tc>
          <w:tcPr>
            <w:tcW w:type="dxa" w:w="1224"/>
            <w:shd w:val="clear" w:color="auto" w:fill="EAF0EE"/>
          </w:tcPr>
          <w:p>
            <w:pPr>
              <w:spacing w:after="20"/>
            </w:pPr>
            <w:r>
              <w:rPr>
                <w:b/>
                <w:color w:val="1C3A36"/>
                <w:sz w:val="17"/>
              </w:rPr>
              <w:t>6%</w:t>
            </w:r>
          </w:p>
        </w:tc>
        <w:tc>
          <w:tcPr>
            <w:tcW w:type="dxa" w:w="1224"/>
            <w:shd w:val="clear" w:color="auto" w:fill="EAF0EE"/>
          </w:tcPr>
          <w:p>
            <w:pPr>
              <w:spacing w:after="20"/>
            </w:pPr>
            <w:r>
              <w:rPr>
                <w:b/>
                <w:color w:val="1C3A36"/>
                <w:sz w:val="17"/>
              </w:rPr>
              <w:t>7%</w:t>
            </w:r>
          </w:p>
        </w:tc>
      </w:tr>
      <w:tr>
        <w:tc>
          <w:tcPr>
            <w:tcW w:type="dxa" w:w="3384"/>
          </w:tcPr>
          <w:p>
            <w:pPr>
              <w:spacing w:after="20"/>
            </w:pPr>
            <w:r>
              <w:rPr>
                <w:color w:val="1C3A36"/>
                <w:sz w:val="17"/>
              </w:rPr>
              <w:t>16.34%</w:t>
            </w:r>
          </w:p>
        </w:tc>
        <w:tc>
          <w:tcPr>
            <w:tcW w:type="dxa" w:w="1224"/>
          </w:tcPr>
          <w:p>
            <w:pPr>
              <w:spacing w:after="20"/>
              <w:jc w:val="right"/>
            </w:pPr>
            <w:r>
              <w:rPr>
                <w:color w:val="1C3A36"/>
                <w:sz w:val="17"/>
              </w:rPr>
              <w:t>6.74</w:t>
            </w:r>
          </w:p>
        </w:tc>
        <w:tc>
          <w:tcPr>
            <w:tcW w:type="dxa" w:w="1224"/>
          </w:tcPr>
          <w:p>
            <w:pPr>
              <w:spacing w:after="20"/>
              <w:jc w:val="right"/>
            </w:pPr>
            <w:r>
              <w:rPr>
                <w:color w:val="1C3A36"/>
                <w:sz w:val="17"/>
              </w:rPr>
              <w:t>6.85</w:t>
            </w:r>
          </w:p>
        </w:tc>
        <w:tc>
          <w:tcPr>
            <w:tcW w:type="dxa" w:w="1224"/>
          </w:tcPr>
          <w:p>
            <w:pPr>
              <w:spacing w:after="20"/>
              <w:jc w:val="right"/>
            </w:pPr>
            <w:r>
              <w:rPr>
                <w:color w:val="1C3A36"/>
                <w:sz w:val="17"/>
              </w:rPr>
              <w:t>6.98</w:t>
            </w:r>
          </w:p>
        </w:tc>
        <w:tc>
          <w:tcPr>
            <w:tcW w:type="dxa" w:w="1224"/>
          </w:tcPr>
          <w:p>
            <w:pPr>
              <w:spacing w:after="20"/>
              <w:jc w:val="right"/>
            </w:pPr>
            <w:r>
              <w:rPr>
                <w:color w:val="1C3A36"/>
                <w:sz w:val="17"/>
              </w:rPr>
              <w:t>7.14</w:t>
            </w:r>
          </w:p>
        </w:tc>
        <w:tc>
          <w:tcPr>
            <w:tcW w:type="dxa" w:w="1224"/>
          </w:tcPr>
          <w:p>
            <w:pPr>
              <w:spacing w:after="20"/>
              <w:jc w:val="right"/>
            </w:pPr>
            <w:r>
              <w:rPr>
                <w:color w:val="1C3A36"/>
                <w:sz w:val="17"/>
              </w:rPr>
              <w:t>7.33</w:t>
            </w:r>
          </w:p>
        </w:tc>
      </w:tr>
      <w:tr>
        <w:tc>
          <w:tcPr>
            <w:tcW w:type="dxa" w:w="3384"/>
          </w:tcPr>
          <w:p>
            <w:pPr>
              <w:spacing w:after="20"/>
            </w:pPr>
            <w:r>
              <w:rPr>
                <w:color w:val="1C3A36"/>
                <w:sz w:val="17"/>
              </w:rPr>
              <w:t>17.34%</w:t>
            </w:r>
          </w:p>
        </w:tc>
        <w:tc>
          <w:tcPr>
            <w:tcW w:type="dxa" w:w="1224"/>
          </w:tcPr>
          <w:p>
            <w:pPr>
              <w:spacing w:after="20"/>
              <w:jc w:val="right"/>
            </w:pPr>
            <w:r>
              <w:rPr>
                <w:color w:val="1C3A36"/>
                <w:sz w:val="17"/>
              </w:rPr>
              <w:t>6.50</w:t>
            </w:r>
          </w:p>
        </w:tc>
        <w:tc>
          <w:tcPr>
            <w:tcW w:type="dxa" w:w="1224"/>
          </w:tcPr>
          <w:p>
            <w:pPr>
              <w:spacing w:after="20"/>
              <w:jc w:val="right"/>
            </w:pPr>
            <w:r>
              <w:rPr>
                <w:color w:val="1C3A36"/>
                <w:sz w:val="17"/>
              </w:rPr>
              <w:t>6.59</w:t>
            </w:r>
          </w:p>
        </w:tc>
        <w:tc>
          <w:tcPr>
            <w:tcW w:type="dxa" w:w="1224"/>
          </w:tcPr>
          <w:p>
            <w:pPr>
              <w:spacing w:after="20"/>
              <w:jc w:val="right"/>
            </w:pPr>
            <w:r>
              <w:rPr>
                <w:color w:val="1C3A36"/>
                <w:sz w:val="17"/>
              </w:rPr>
              <w:t>6.69</w:t>
            </w:r>
          </w:p>
        </w:tc>
        <w:tc>
          <w:tcPr>
            <w:tcW w:type="dxa" w:w="1224"/>
          </w:tcPr>
          <w:p>
            <w:pPr>
              <w:spacing w:after="20"/>
              <w:jc w:val="right"/>
            </w:pPr>
            <w:r>
              <w:rPr>
                <w:color w:val="1C3A36"/>
                <w:sz w:val="17"/>
              </w:rPr>
              <w:t>6.81</w:t>
            </w:r>
          </w:p>
        </w:tc>
        <w:tc>
          <w:tcPr>
            <w:tcW w:type="dxa" w:w="1224"/>
          </w:tcPr>
          <w:p>
            <w:pPr>
              <w:spacing w:after="20"/>
              <w:jc w:val="right"/>
            </w:pPr>
            <w:r>
              <w:rPr>
                <w:color w:val="1C3A36"/>
                <w:sz w:val="17"/>
              </w:rPr>
              <w:t>6.95</w:t>
            </w:r>
          </w:p>
        </w:tc>
      </w:tr>
      <w:tr>
        <w:tc>
          <w:tcPr>
            <w:tcW w:type="dxa" w:w="3384"/>
          </w:tcPr>
          <w:p>
            <w:pPr>
              <w:spacing w:after="20"/>
            </w:pPr>
            <w:r>
              <w:rPr>
                <w:color w:val="1C3A36"/>
                <w:sz w:val="17"/>
              </w:rPr>
              <w:t>18.34%</w:t>
            </w:r>
          </w:p>
        </w:tc>
        <w:tc>
          <w:tcPr>
            <w:tcW w:type="dxa" w:w="1224"/>
          </w:tcPr>
          <w:p>
            <w:pPr>
              <w:spacing w:after="20"/>
              <w:jc w:val="right"/>
            </w:pPr>
            <w:r>
              <w:rPr>
                <w:color w:val="1C3A36"/>
                <w:sz w:val="17"/>
              </w:rPr>
              <w:t>6.29</w:t>
            </w:r>
          </w:p>
        </w:tc>
        <w:tc>
          <w:tcPr>
            <w:tcW w:type="dxa" w:w="1224"/>
          </w:tcPr>
          <w:p>
            <w:pPr>
              <w:spacing w:after="20"/>
              <w:jc w:val="right"/>
            </w:pPr>
            <w:r>
              <w:rPr>
                <w:color w:val="1C3A36"/>
                <w:sz w:val="17"/>
              </w:rPr>
              <w:t>6.36</w:t>
            </w:r>
          </w:p>
        </w:tc>
        <w:tc>
          <w:tcPr>
            <w:tcW w:type="dxa" w:w="1224"/>
          </w:tcPr>
          <w:p>
            <w:pPr>
              <w:spacing w:after="20"/>
              <w:jc w:val="right"/>
            </w:pPr>
            <w:r>
              <w:rPr>
                <w:color w:val="1C3A36"/>
                <w:sz w:val="17"/>
              </w:rPr>
              <w:t>6.44</w:t>
            </w:r>
          </w:p>
        </w:tc>
        <w:tc>
          <w:tcPr>
            <w:tcW w:type="dxa" w:w="1224"/>
          </w:tcPr>
          <w:p>
            <w:pPr>
              <w:spacing w:after="20"/>
              <w:jc w:val="right"/>
            </w:pPr>
            <w:r>
              <w:rPr>
                <w:color w:val="1C3A36"/>
                <w:sz w:val="17"/>
              </w:rPr>
              <w:t>6.53</w:t>
            </w:r>
          </w:p>
        </w:tc>
        <w:tc>
          <w:tcPr>
            <w:tcW w:type="dxa" w:w="1224"/>
          </w:tcPr>
          <w:p>
            <w:pPr>
              <w:spacing w:after="20"/>
              <w:jc w:val="right"/>
            </w:pPr>
            <w:r>
              <w:rPr>
                <w:color w:val="1C3A36"/>
                <w:sz w:val="17"/>
              </w:rPr>
              <w:t>6.64</w:t>
            </w:r>
          </w:p>
        </w:tc>
      </w:tr>
      <w:tr>
        <w:tc>
          <w:tcPr>
            <w:tcW w:type="dxa" w:w="3384"/>
          </w:tcPr>
          <w:p>
            <w:pPr>
              <w:spacing w:after="20"/>
            </w:pPr>
            <w:r>
              <w:rPr>
                <w:color w:val="1C3A36"/>
                <w:sz w:val="17"/>
              </w:rPr>
              <w:t>19.34%</w:t>
            </w:r>
          </w:p>
        </w:tc>
        <w:tc>
          <w:tcPr>
            <w:tcW w:type="dxa" w:w="1224"/>
          </w:tcPr>
          <w:p>
            <w:pPr>
              <w:spacing w:after="20"/>
              <w:jc w:val="right"/>
            </w:pPr>
            <w:r>
              <w:rPr>
                <w:color w:val="1C3A36"/>
                <w:sz w:val="17"/>
              </w:rPr>
              <w:t>6.10</w:t>
            </w:r>
          </w:p>
        </w:tc>
        <w:tc>
          <w:tcPr>
            <w:tcW w:type="dxa" w:w="1224"/>
          </w:tcPr>
          <w:p>
            <w:pPr>
              <w:spacing w:after="20"/>
              <w:jc w:val="right"/>
            </w:pPr>
            <w:r>
              <w:rPr>
                <w:color w:val="1C3A36"/>
                <w:sz w:val="17"/>
              </w:rPr>
              <w:t>6.16</w:t>
            </w:r>
          </w:p>
        </w:tc>
        <w:tc>
          <w:tcPr>
            <w:tcW w:type="dxa" w:w="1224"/>
          </w:tcPr>
          <w:p>
            <w:pPr>
              <w:spacing w:after="20"/>
              <w:jc w:val="right"/>
            </w:pPr>
            <w:r>
              <w:rPr>
                <w:color w:val="1C3A36"/>
                <w:sz w:val="17"/>
              </w:rPr>
              <w:t>6.22</w:t>
            </w:r>
          </w:p>
        </w:tc>
        <w:tc>
          <w:tcPr>
            <w:tcW w:type="dxa" w:w="1224"/>
          </w:tcPr>
          <w:p>
            <w:pPr>
              <w:spacing w:after="20"/>
              <w:jc w:val="right"/>
            </w:pPr>
            <w:r>
              <w:rPr>
                <w:color w:val="1C3A36"/>
                <w:sz w:val="17"/>
              </w:rPr>
              <w:t>6.30</w:t>
            </w:r>
          </w:p>
        </w:tc>
        <w:tc>
          <w:tcPr>
            <w:tcW w:type="dxa" w:w="1224"/>
          </w:tcPr>
          <w:p>
            <w:pPr>
              <w:spacing w:after="20"/>
              <w:jc w:val="right"/>
            </w:pPr>
            <w:r>
              <w:rPr>
                <w:color w:val="1C3A36"/>
                <w:sz w:val="17"/>
              </w:rPr>
              <w:t>6.38</w:t>
            </w:r>
          </w:p>
        </w:tc>
      </w:tr>
      <w:tr>
        <w:tc>
          <w:tcPr>
            <w:tcW w:type="dxa" w:w="3384"/>
          </w:tcPr>
          <w:p>
            <w:pPr>
              <w:spacing w:after="20"/>
            </w:pPr>
            <w:r>
              <w:rPr>
                <w:color w:val="1C3A36"/>
                <w:sz w:val="17"/>
              </w:rPr>
              <w:t>20.34%</w:t>
            </w:r>
          </w:p>
        </w:tc>
        <w:tc>
          <w:tcPr>
            <w:tcW w:type="dxa" w:w="1224"/>
          </w:tcPr>
          <w:p>
            <w:pPr>
              <w:spacing w:after="20"/>
              <w:jc w:val="right"/>
            </w:pPr>
            <w:r>
              <w:rPr>
                <w:color w:val="1C3A36"/>
                <w:sz w:val="17"/>
              </w:rPr>
              <w:t>5.94</w:t>
            </w:r>
          </w:p>
        </w:tc>
        <w:tc>
          <w:tcPr>
            <w:tcW w:type="dxa" w:w="1224"/>
          </w:tcPr>
          <w:p>
            <w:pPr>
              <w:spacing w:after="20"/>
              <w:jc w:val="right"/>
            </w:pPr>
            <w:r>
              <w:rPr>
                <w:color w:val="1C3A36"/>
                <w:sz w:val="17"/>
              </w:rPr>
              <w:t>5.98</w:t>
            </w:r>
          </w:p>
        </w:tc>
        <w:tc>
          <w:tcPr>
            <w:tcW w:type="dxa" w:w="1224"/>
          </w:tcPr>
          <w:p>
            <w:pPr>
              <w:spacing w:after="20"/>
              <w:jc w:val="right"/>
            </w:pPr>
            <w:r>
              <w:rPr>
                <w:color w:val="1C3A36"/>
                <w:sz w:val="17"/>
              </w:rPr>
              <w:t>6.03</w:t>
            </w:r>
          </w:p>
        </w:tc>
        <w:tc>
          <w:tcPr>
            <w:tcW w:type="dxa" w:w="1224"/>
          </w:tcPr>
          <w:p>
            <w:pPr>
              <w:spacing w:after="20"/>
              <w:jc w:val="right"/>
            </w:pPr>
            <w:r>
              <w:rPr>
                <w:color w:val="1C3A36"/>
                <w:sz w:val="17"/>
              </w:rPr>
              <w:t>6.09</w:t>
            </w:r>
          </w:p>
        </w:tc>
        <w:tc>
          <w:tcPr>
            <w:tcW w:type="dxa" w:w="1224"/>
          </w:tcPr>
          <w:p>
            <w:pPr>
              <w:spacing w:after="20"/>
              <w:jc w:val="right"/>
            </w:pPr>
            <w:r>
              <w:rPr>
                <w:color w:val="1C3A36"/>
                <w:sz w:val="17"/>
              </w:rPr>
              <w:t>6.16</w:t>
            </w:r>
          </w:p>
        </w:tc>
      </w:tr>
    </w:tbl>
    <w:p>
      <w:pPr>
        <w:spacing w:after="40"/>
      </w:pPr>
    </w:p>
    <w:p>
      <w:pPr>
        <w:spacing w:after="200" w:before="0"/>
      </w:pPr>
      <w:r>
        <w:rPr>
          <w:b w:val="0"/>
          <w:i/>
          <w:color w:val="6E7B77"/>
          <w:sz w:val="17"/>
        </w:rPr>
        <w:t>Table 16 — the two terminal parameters moved together, cash-flow lens, EGP a share. The grid is flat in the growth direction and steep in the rate direction, which is the signature of a terminal block where reinvestment funds growth before crediting it. Not one cell in this grid reaches the market price.</w:t>
      </w:r>
    </w:p>
    <w:p>
      <w:pPr>
        <w:spacing w:after="120" w:before="0"/>
      </w:pPr>
      <w:r>
        <w:rPr>
          <w:b w:val="0"/>
          <w:i w:val="0"/>
          <w:color w:val="1C3A36"/>
          <w:sz w:val="21"/>
        </w:rPr>
        <w:t>The bear and bull columns of the cash-flow lens are not a single lever moved twice — they are FIVE drivers moved together, which is why they are much wider than any single row in Table 15. They are joint-worst and joint-best cases and no probability attaches to them.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1512"/>
        <w:gridCol w:w="1512"/>
        <w:gridCol w:w="1512"/>
      </w:tblGrid>
      <w:tr>
        <w:tc>
          <w:tcPr>
            <w:tcW w:type="dxa" w:w="4392"/>
            <w:shd w:val="clear" w:color="auto" w:fill="EAF0EE"/>
          </w:tcPr>
          <w:p>
            <w:pPr>
              <w:spacing w:after="20"/>
            </w:pPr>
            <w:r>
              <w:rPr>
                <w:b/>
                <w:color w:val="1C3A36"/>
                <w:sz w:val="17"/>
              </w:rPr>
              <w:t>Driver moved</w:t>
            </w:r>
          </w:p>
        </w:tc>
        <w:tc>
          <w:tcPr>
            <w:tcW w:type="dxa" w:w="1512"/>
            <w:shd w:val="clear" w:color="auto" w:fill="EAF0EE"/>
          </w:tcPr>
          <w:p>
            <w:pPr>
              <w:spacing w:after="20"/>
            </w:pPr>
            <w:r>
              <w:rPr>
                <w:b/>
                <w:color w:val="1C3A36"/>
                <w:sz w:val="17"/>
              </w:rPr>
              <w:t>Bear</w:t>
            </w:r>
          </w:p>
        </w:tc>
        <w:tc>
          <w:tcPr>
            <w:tcW w:type="dxa" w:w="1512"/>
            <w:shd w:val="clear" w:color="auto" w:fill="EAF0EE"/>
          </w:tcPr>
          <w:p>
            <w:pPr>
              <w:spacing w:after="20"/>
            </w:pPr>
            <w:r>
              <w:rPr>
                <w:b/>
                <w:color w:val="1C3A36"/>
                <w:sz w:val="17"/>
              </w:rPr>
              <w:t>Base</w:t>
            </w:r>
          </w:p>
        </w:tc>
        <w:tc>
          <w:tcPr>
            <w:tcW w:type="dxa" w:w="1512"/>
            <w:shd w:val="clear" w:color="auto" w:fill="EAF0EE"/>
          </w:tcPr>
          <w:p>
            <w:pPr>
              <w:spacing w:after="20"/>
            </w:pPr>
            <w:r>
              <w:rPr>
                <w:b/>
                <w:color w:val="1C3A36"/>
                <w:sz w:val="17"/>
              </w:rPr>
              <w:t>Bull</w:t>
            </w:r>
          </w:p>
        </w:tc>
      </w:tr>
      <w:tr>
        <w:tc>
          <w:tcPr>
            <w:tcW w:type="dxa" w:w="4392"/>
          </w:tcPr>
          <w:p>
            <w:pPr>
              <w:spacing w:after="20"/>
            </w:pPr>
            <w:r>
              <w:rPr>
                <w:color w:val="1C3A36"/>
                <w:sz w:val="17"/>
              </w:rPr>
              <w:t>Volume growth path, as a multiple of the assumed path</w:t>
            </w:r>
          </w:p>
        </w:tc>
        <w:tc>
          <w:tcPr>
            <w:tcW w:type="dxa" w:w="1512"/>
          </w:tcPr>
          <w:p>
            <w:pPr>
              <w:spacing w:after="20"/>
              <w:jc w:val="right"/>
            </w:pPr>
            <w:r>
              <w:rPr>
                <w:color w:val="1C3A36"/>
                <w:sz w:val="17"/>
              </w:rPr>
              <w:t>0.40x</w:t>
            </w:r>
          </w:p>
        </w:tc>
        <w:tc>
          <w:tcPr>
            <w:tcW w:type="dxa" w:w="1512"/>
          </w:tcPr>
          <w:p>
            <w:pPr>
              <w:spacing w:after="20"/>
              <w:jc w:val="right"/>
            </w:pPr>
            <w:r>
              <w:rPr>
                <w:color w:val="1C3A36"/>
                <w:sz w:val="17"/>
              </w:rPr>
              <w:t>1.00x</w:t>
            </w:r>
          </w:p>
        </w:tc>
        <w:tc>
          <w:tcPr>
            <w:tcW w:type="dxa" w:w="1512"/>
          </w:tcPr>
          <w:p>
            <w:pPr>
              <w:spacing w:after="20"/>
              <w:jc w:val="right"/>
            </w:pPr>
            <w:r>
              <w:rPr>
                <w:color w:val="1C3A36"/>
                <w:sz w:val="17"/>
              </w:rPr>
              <w:t>1.50x</w:t>
            </w:r>
          </w:p>
        </w:tc>
      </w:tr>
      <w:tr>
        <w:tc>
          <w:tcPr>
            <w:tcW w:type="dxa" w:w="4392"/>
          </w:tcPr>
          <w:p>
            <w:pPr>
              <w:spacing w:after="20"/>
            </w:pPr>
            <w:r>
              <w:rPr>
                <w:color w:val="1C3A36"/>
                <w:sz w:val="17"/>
              </w:rPr>
              <w:t>Gross margin, shifted on every forecast year</w:t>
            </w:r>
          </w:p>
        </w:tc>
        <w:tc>
          <w:tcPr>
            <w:tcW w:type="dxa" w:w="1512"/>
          </w:tcPr>
          <w:p>
            <w:pPr>
              <w:spacing w:after="20"/>
              <w:jc w:val="right"/>
            </w:pPr>
            <w:r>
              <w:rPr>
                <w:color w:val="1C3A36"/>
                <w:sz w:val="17"/>
              </w:rPr>
              <w:t>-1%</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1%</w:t>
            </w:r>
          </w:p>
        </w:tc>
      </w:tr>
      <w:tr>
        <w:tc>
          <w:tcPr>
            <w:tcW w:type="dxa" w:w="4392"/>
          </w:tcPr>
          <w:p>
            <w:pPr>
              <w:spacing w:after="20"/>
            </w:pPr>
            <w:r>
              <w:rPr>
                <w:color w:val="1C3A36"/>
                <w:sz w:val="17"/>
              </w:rPr>
              <w:t>Exchange-rate path, as a multiple of the assumed path</w:t>
            </w:r>
          </w:p>
        </w:tc>
        <w:tc>
          <w:tcPr>
            <w:tcW w:type="dxa" w:w="1512"/>
          </w:tcPr>
          <w:p>
            <w:pPr>
              <w:spacing w:after="20"/>
              <w:jc w:val="right"/>
            </w:pPr>
            <w:r>
              <w:rPr>
                <w:color w:val="1C3A36"/>
                <w:sz w:val="17"/>
              </w:rPr>
              <w:t>0.97x</w:t>
            </w:r>
          </w:p>
        </w:tc>
        <w:tc>
          <w:tcPr>
            <w:tcW w:type="dxa" w:w="1512"/>
          </w:tcPr>
          <w:p>
            <w:pPr>
              <w:spacing w:after="20"/>
              <w:jc w:val="right"/>
            </w:pPr>
            <w:r>
              <w:rPr>
                <w:color w:val="1C3A36"/>
                <w:sz w:val="17"/>
              </w:rPr>
              <w:t>1.00x</w:t>
            </w:r>
          </w:p>
        </w:tc>
        <w:tc>
          <w:tcPr>
            <w:tcW w:type="dxa" w:w="1512"/>
          </w:tcPr>
          <w:p>
            <w:pPr>
              <w:spacing w:after="20"/>
              <w:jc w:val="right"/>
            </w:pPr>
            <w:r>
              <w:rPr>
                <w:color w:val="1C3A36"/>
                <w:sz w:val="17"/>
              </w:rPr>
              <w:t>1.03x</w:t>
            </w:r>
          </w:p>
        </w:tc>
      </w:tr>
      <w:tr>
        <w:tc>
          <w:tcPr>
            <w:tcW w:type="dxa" w:w="4392"/>
          </w:tcPr>
          <w:p>
            <w:pPr>
              <w:spacing w:after="20"/>
            </w:pPr>
            <w:r>
              <w:rPr>
                <w:color w:val="1C3A36"/>
                <w:sz w:val="17"/>
              </w:rPr>
              <w:t>Cost of capital, shifted at BOTH the explicit and terminal anchors</w:t>
            </w:r>
          </w:p>
        </w:tc>
        <w:tc>
          <w:tcPr>
            <w:tcW w:type="dxa" w:w="1512"/>
          </w:tcPr>
          <w:p>
            <w:pPr>
              <w:spacing w:after="20"/>
              <w:jc w:val="right"/>
            </w:pPr>
            <w:r>
              <w:rPr>
                <w:color w:val="1C3A36"/>
                <w:sz w:val="17"/>
              </w:rPr>
              <w:t>2%</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-2%</w:t>
            </w:r>
          </w:p>
        </w:tc>
      </w:tr>
      <w:tr>
        <w:tc>
          <w:tcPr>
            <w:tcW w:type="dxa" w:w="4392"/>
          </w:tcPr>
          <w:p>
            <w:pPr>
              <w:spacing w:after="20"/>
            </w:pPr>
            <w:r>
              <w:rPr>
                <w:color w:val="1C3A36"/>
                <w:sz w:val="17"/>
              </w:rPr>
              <w:t>Terminal growth rate</w:t>
            </w:r>
          </w:p>
        </w:tc>
        <w:tc>
          <w:tcPr>
            <w:tcW w:type="dxa" w:w="1512"/>
          </w:tcPr>
          <w:p>
            <w:pPr>
              <w:spacing w:after="20"/>
              <w:jc w:val="right"/>
            </w:pPr>
            <w:r>
              <w:rPr>
                <w:color w:val="1C3A36"/>
                <w:sz w:val="17"/>
              </w:rPr>
              <w:t>3%</w:t>
            </w:r>
          </w:p>
        </w:tc>
        <w:tc>
          <w:tcPr>
            <w:tcW w:type="dxa" w:w="1512"/>
          </w:tcPr>
          <w:p>
            <w:pPr>
              <w:spacing w:after="20"/>
              <w:jc w:val="right"/>
            </w:pPr>
            <w:r>
              <w:rPr>
                <w:color w:val="1C3A36"/>
                <w:sz w:val="17"/>
              </w:rPr>
              <w:t>5%</w:t>
            </w:r>
          </w:p>
        </w:tc>
        <w:tc>
          <w:tcPr>
            <w:tcW w:type="dxa" w:w="1512"/>
          </w:tcPr>
          <w:p>
            <w:pPr>
              <w:spacing w:after="20"/>
              <w:jc w:val="right"/>
            </w:pPr>
            <w:r>
              <w:rPr>
                <w:color w:val="1C3A36"/>
                <w:sz w:val="17"/>
              </w:rPr>
              <w:t>6%</w:t>
            </w:r>
          </w:p>
        </w:tc>
      </w:tr>
      <w:tr>
        <w:tc>
          <w:tcPr>
            <w:tcW w:type="dxa" w:w="4392"/>
            <w:shd w:val="clear" w:color="auto" w:fill="F6F1E6"/>
          </w:tcPr>
          <w:p>
            <w:pPr>
              <w:spacing w:after="20"/>
            </w:pPr>
            <w:r>
              <w:rPr>
                <w:b/>
                <w:color w:val="1C3A36"/>
                <w:sz w:val="17"/>
              </w:rPr>
              <w:t>RESULTING FAIR VALUE, cash-flow lens</w:t>
            </w:r>
          </w:p>
        </w:tc>
        <w:tc>
          <w:tcPr>
            <w:tcW w:type="dxa" w:w="1512"/>
            <w:shd w:val="clear" w:color="auto" w:fill="F6F1E6"/>
          </w:tcPr>
          <w:p>
            <w:pPr>
              <w:spacing w:after="20"/>
              <w:jc w:val="right"/>
            </w:pPr>
            <w:r>
              <w:rPr>
                <w:b/>
                <w:color w:val="1C3A36"/>
                <w:sz w:val="17"/>
              </w:rPr>
              <w:t>3.05</w:t>
            </w:r>
          </w:p>
        </w:tc>
        <w:tc>
          <w:tcPr>
            <w:tcW w:type="dxa" w:w="1512"/>
            <w:shd w:val="clear" w:color="auto" w:fill="F6F1E6"/>
          </w:tcPr>
          <w:p>
            <w:pPr>
              <w:spacing w:after="20"/>
              <w:jc w:val="right"/>
            </w:pPr>
            <w:r>
              <w:rPr>
                <w:b/>
                <w:color w:val="1C3A36"/>
                <w:sz w:val="17"/>
              </w:rPr>
              <w:t>5.50</w:t>
            </w:r>
          </w:p>
        </w:tc>
        <w:tc>
          <w:tcPr>
            <w:tcW w:type="dxa" w:w="1512"/>
            <w:shd w:val="clear" w:color="auto" w:fill="F6F1E6"/>
          </w:tcPr>
          <w:p>
            <w:pPr>
              <w:spacing w:after="20"/>
              <w:jc w:val="right"/>
            </w:pPr>
            <w:r>
              <w:rPr>
                <w:b/>
                <w:color w:val="1C3A36"/>
                <w:sz w:val="17"/>
              </w:rPr>
              <w:t>9.64</w:t>
            </w:r>
          </w:p>
        </w:tc>
      </w:tr>
    </w:tbl>
    <w:p>
      <w:pPr>
        <w:spacing w:after="40"/>
      </w:pPr>
    </w:p>
    <w:p>
      <w:pPr>
        <w:spacing w:after="200" w:before="0"/>
      </w:pPr>
      <w:r>
        <w:rPr>
          <w:b w:val="0"/>
          <w:i/>
          <w:color w:val="6E7B77"/>
          <w:sz w:val="17"/>
        </w:rPr>
        <w:t>Table 17 — what the bear and bull columns actually move. The previous edition published a 6.2x headline span whose driver set was stated nowhere in the study or the workbook, so it could not be reproduced or falsified. It is stated here.</w:t>
      </w:r>
    </w:p>
    <w:p>
      <w:pPr>
        <w:spacing w:after="80" w:before="200"/>
      </w:pPr>
      <w:r>
        <w:rPr>
          <w:b/>
          <w:i w:val="0"/>
          <w:color w:val="1C3A36"/>
          <w:sz w:val="24"/>
        </w:rPr>
        <w:t>1.12  The three cross-check lenses</w:t>
      </w:r>
    </w:p>
    <w:p>
      <w:pPr>
        <w:spacing w:after="120" w:before="0"/>
      </w:pPr>
      <w:r>
        <w:rPr>
          <w:b w:val="0"/>
          <w:i w:val="0"/>
          <w:color w:val="1C3A36"/>
          <w:sz w:val="21"/>
        </w:rPr>
        <w:t>RELATIVE MULTIPLES. The company’s own trailing multiple is 3.54 times enterprise value to EBITDA and 7.1 times earnings. The justified multiple is DERIVED from it at a zero re-rating rather than set by hand, so the lens borrows nothing from the cash-flow lens — no discount factor and no interim add-back, both of which the previous construction took from lens 1 and which every reviewer objected to. At 3.54 times TRAILING EBITDA through the same bridge: EGP 8.14. This is the lens closest to the price, and what remains of the gap is almost entirely the bridge — which is exactly what this lens is now for. At the market’s own multiple, the price pays full value for the operations and then ignores the provision and the declared dividend.</w:t>
      </w:r>
    </w:p>
    <w:p>
      <w:pPr>
        <w:spacing w:after="120" w:before="0"/>
      </w:pPr>
      <w:r>
        <w:rPr>
          <w:b w:val="0"/>
          <w:i w:val="0"/>
          <w:color w:val="1C3A36"/>
          <w:sz w:val="21"/>
        </w:rPr>
        <w:t>NORMALISED EARNINGS POWER. 2028E OPERATING profit only, taxed at the statutory 22.5%, after the employees’ share and the minority: EGP 1.213 a share. At 7.5 times that is a MID-2028 value, so it is discounted 2.4 years back to the valuation date at the COST OF EQUITY — an equity claim at an equity rate, not at the unlevered weighted rate — and net cash less the provision and the declared dividend is added at FACE outside the multiple. Result EGP 5.83. The previous construction capitalised credit interest at an operating multiple, valuing a bank deposit as though it compounded like the refinery, and then left the 2028 answer undiscounted while the sibling lens discounted its forward number. One lens discounted and the other did not; both are now on the valuation date.</w:t>
      </w:r>
    </w:p>
    <w:p>
      <w:pPr>
        <w:spacing w:after="120" w:before="0"/>
      </w:pPr>
      <w:r>
        <w:rPr>
          <w:b w:val="0"/>
          <w:i w:val="0"/>
          <w:color w:val="1C3A36"/>
          <w:sz w:val="21"/>
        </w:rPr>
        <w:t>BOOK VALUE AND SUSTAINABLE RETURN. Justified price-to-book of 1.23 times = (sustainable return 28% less growth) over (cost of equity 23.66% less growth), on book value of EGP 3.71: EGP 4.57. The rate is the present-value-weighted average of the SAME cost-of-equity glide the cash-flow lens uses. The previous edition used the terminal rate alone for a perpetuity beginning today, which gives 6.06; the explicit rate alone gives 3.75; a perpetuity starting now deserves neither endpoint. The sustainable return is struck below the trailing 32.6% because the asset base is 67.4% written down.</w:t>
      </w:r>
    </w:p>
    <w:p>
      <w:pPr>
        <w:spacing w:after="80" w:before="200"/>
      </w:pPr>
      <w:r>
        <w:rPr>
          <w:b/>
          <w:i w:val="0"/>
          <w:color w:val="1C3A36"/>
          <w:sz w:val="24"/>
        </w:rPr>
        <w:t>1.13  Contested choices, computed rather than argued</w:t>
      </w:r>
    </w:p>
    <w:p>
      <w:pPr>
        <w:spacing w:after="120" w:before="0"/>
      </w:pPr>
      <w:r>
        <w:rPr>
          <w:b w:val="0"/>
          <w:i w:val="0"/>
          <w:color w:val="1C3A36"/>
          <w:sz w:val="21"/>
        </w:rPr>
        <w:t>A gap of this size should not survive its own contested judgements, so the study gives them all back. Each row below removes one charge a critic could dispute; the last row removes all of them at once. Every row is a complete re-run of the whole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224"/>
        <w:gridCol w:w="1224"/>
        <w:gridCol w:w="4320"/>
      </w:tblGrid>
      <w:tr>
        <w:tc>
          <w:tcPr>
            <w:tcW w:type="dxa" w:w="3168"/>
            <w:shd w:val="clear" w:color="auto" w:fill="EAF0EE"/>
          </w:tcPr>
          <w:p>
            <w:pPr>
              <w:spacing w:after="20"/>
            </w:pPr>
            <w:r>
              <w:rPr>
                <w:b/>
                <w:color w:val="1C3A36"/>
                <w:sz w:val="17"/>
              </w:rPr>
              <w:t>Give-back</w:t>
            </w:r>
          </w:p>
        </w:tc>
        <w:tc>
          <w:tcPr>
            <w:tcW w:type="dxa" w:w="1224"/>
            <w:shd w:val="clear" w:color="auto" w:fill="EAF0EE"/>
          </w:tcPr>
          <w:p>
            <w:pPr>
              <w:spacing w:after="20"/>
            </w:pPr>
            <w:r>
              <w:rPr>
                <w:b/>
                <w:color w:val="1C3A36"/>
                <w:sz w:val="17"/>
              </w:rPr>
              <w:t>Central</w:t>
            </w:r>
          </w:p>
        </w:tc>
        <w:tc>
          <w:tcPr>
            <w:tcW w:type="dxa" w:w="1224"/>
            <w:shd w:val="clear" w:color="auto" w:fill="EAF0EE"/>
          </w:tcPr>
          <w:p>
            <w:pPr>
              <w:spacing w:after="20"/>
            </w:pPr>
            <w:r>
              <w:rPr>
                <w:b/>
                <w:color w:val="1C3A36"/>
                <w:sz w:val="17"/>
              </w:rPr>
              <w:t>vs price</w:t>
            </w:r>
          </w:p>
        </w:tc>
        <w:tc>
          <w:tcPr>
            <w:tcW w:type="dxa" w:w="4320"/>
            <w:shd w:val="clear" w:color="auto" w:fill="EAF0EE"/>
          </w:tcPr>
          <w:p>
            <w:pPr>
              <w:spacing w:after="20"/>
            </w:pPr>
            <w:r>
              <w:rPr>
                <w:b/>
                <w:color w:val="1C3A36"/>
                <w:sz w:val="17"/>
              </w:rPr>
              <w:t>What is being conceded</w:t>
            </w:r>
          </w:p>
        </w:tc>
      </w:tr>
      <w:tr>
        <w:tc>
          <w:tcPr>
            <w:tcW w:type="dxa" w:w="3168"/>
          </w:tcPr>
          <w:p>
            <w:pPr>
              <w:spacing w:after="20"/>
            </w:pPr>
            <w:r>
              <w:rPr>
                <w:color w:val="1C3A36"/>
                <w:sz w:val="17"/>
              </w:rPr>
              <w:t>None — as published</w:t>
            </w:r>
          </w:p>
        </w:tc>
        <w:tc>
          <w:tcPr>
            <w:tcW w:type="dxa" w:w="1224"/>
          </w:tcPr>
          <w:p>
            <w:pPr>
              <w:spacing w:after="20"/>
              <w:jc w:val="right"/>
            </w:pPr>
            <w:r>
              <w:rPr>
                <w:color w:val="1C3A36"/>
                <w:sz w:val="17"/>
              </w:rPr>
              <w:t>5.95</w:t>
            </w:r>
          </w:p>
        </w:tc>
        <w:tc>
          <w:tcPr>
            <w:tcW w:type="dxa" w:w="1224"/>
          </w:tcPr>
          <w:p>
            <w:pPr>
              <w:spacing w:after="20"/>
              <w:jc w:val="right"/>
            </w:pPr>
            <w:r>
              <w:rPr>
                <w:color w:val="1C3A36"/>
                <w:sz w:val="17"/>
              </w:rPr>
              <w:t>-34.6%</w:t>
            </w:r>
          </w:p>
        </w:tc>
        <w:tc>
          <w:tcPr>
            <w:tcW w:type="dxa" w:w="4320"/>
          </w:tcPr>
          <w:p>
            <w:pPr>
              <w:spacing w:after="20"/>
            </w:pPr>
            <w:r>
              <w:rPr>
                <w:color w:val="1C3A36"/>
                <w:sz w:val="17"/>
              </w:rPr>
              <w:t>the study’s own reading</w:t>
            </w:r>
          </w:p>
        </w:tc>
      </w:tr>
      <w:tr>
        <w:tc>
          <w:tcPr>
            <w:tcW w:type="dxa" w:w="3168"/>
          </w:tcPr>
          <w:p>
            <w:pPr>
              <w:spacing w:after="20"/>
            </w:pPr>
            <w:r>
              <w:rPr>
                <w:color w:val="1C3A36"/>
                <w:sz w:val="17"/>
              </w:rPr>
              <w:t>Tax provision costs nothing</w:t>
            </w:r>
          </w:p>
        </w:tc>
        <w:tc>
          <w:tcPr>
            <w:tcW w:type="dxa" w:w="1224"/>
          </w:tcPr>
          <w:p>
            <w:pPr>
              <w:spacing w:after="20"/>
              <w:jc w:val="right"/>
            </w:pPr>
            <w:r>
              <w:rPr>
                <w:color w:val="1C3A36"/>
                <w:sz w:val="17"/>
              </w:rPr>
              <w:t>6.56</w:t>
            </w:r>
          </w:p>
        </w:tc>
        <w:tc>
          <w:tcPr>
            <w:tcW w:type="dxa" w:w="1224"/>
          </w:tcPr>
          <w:p>
            <w:pPr>
              <w:spacing w:after="20"/>
              <w:jc w:val="right"/>
            </w:pPr>
            <w:r>
              <w:rPr>
                <w:color w:val="1C3A36"/>
                <w:sz w:val="17"/>
              </w:rPr>
              <w:t>-27.9%</w:t>
            </w:r>
          </w:p>
        </w:tc>
        <w:tc>
          <w:tcPr>
            <w:tcW w:type="dxa" w:w="4320"/>
          </w:tcPr>
          <w:p>
            <w:pPr>
              <w:spacing w:after="20"/>
            </w:pPr>
            <w:r>
              <w:rPr>
                <w:color w:val="1C3A36"/>
                <w:sz w:val="17"/>
              </w:rPr>
              <w:t>EGP 921mn recognised in note 10-1 settles for zero</w:t>
            </w:r>
          </w:p>
        </w:tc>
      </w:tr>
      <w:tr>
        <w:tc>
          <w:tcPr>
            <w:tcW w:type="dxa" w:w="3168"/>
          </w:tcPr>
          <w:p>
            <w:pPr>
              <w:spacing w:after="20"/>
            </w:pPr>
            <w:r>
              <w:rPr>
                <w:color w:val="1C3A36"/>
                <w:sz w:val="17"/>
              </w:rPr>
              <w:t>Declared dividend is not a claim</w:t>
            </w:r>
          </w:p>
        </w:tc>
        <w:tc>
          <w:tcPr>
            <w:tcW w:type="dxa" w:w="1224"/>
          </w:tcPr>
          <w:p>
            <w:pPr>
              <w:spacing w:after="20"/>
              <w:jc w:val="right"/>
            </w:pPr>
            <w:r>
              <w:rPr>
                <w:color w:val="1C3A36"/>
                <w:sz w:val="17"/>
              </w:rPr>
              <w:t>6.39</w:t>
            </w:r>
          </w:p>
        </w:tc>
        <w:tc>
          <w:tcPr>
            <w:tcW w:type="dxa" w:w="1224"/>
          </w:tcPr>
          <w:p>
            <w:pPr>
              <w:spacing w:after="20"/>
              <w:jc w:val="right"/>
            </w:pPr>
            <w:r>
              <w:rPr>
                <w:color w:val="1C3A36"/>
                <w:sz w:val="17"/>
              </w:rPr>
              <w:t>-29.8%</w:t>
            </w:r>
          </w:p>
        </w:tc>
        <w:tc>
          <w:tcPr>
            <w:tcW w:type="dxa" w:w="4320"/>
          </w:tcPr>
          <w:p>
            <w:pPr>
              <w:spacing w:after="20"/>
            </w:pPr>
            <w:r>
              <w:rPr>
                <w:color w:val="1C3A36"/>
                <w:sz w:val="17"/>
              </w:rPr>
              <w:t>EGP 517mn payable in note 11 never leaves</w:t>
            </w:r>
          </w:p>
        </w:tc>
      </w:tr>
      <w:tr>
        <w:tc>
          <w:tcPr>
            <w:tcW w:type="dxa" w:w="3168"/>
          </w:tcPr>
          <w:p>
            <w:pPr>
              <w:spacing w:after="20"/>
            </w:pPr>
            <w:r>
              <w:rPr>
                <w:color w:val="1C3A36"/>
                <w:sz w:val="17"/>
              </w:rPr>
              <w:t>Employees’ profit share is free</w:t>
            </w:r>
          </w:p>
        </w:tc>
        <w:tc>
          <w:tcPr>
            <w:tcW w:type="dxa" w:w="1224"/>
          </w:tcPr>
          <w:p>
            <w:pPr>
              <w:spacing w:after="20"/>
              <w:jc w:val="right"/>
            </w:pPr>
            <w:r>
              <w:rPr>
                <w:color w:val="1C3A36"/>
                <w:sz w:val="17"/>
              </w:rPr>
              <w:t>6.16</w:t>
            </w:r>
          </w:p>
        </w:tc>
        <w:tc>
          <w:tcPr>
            <w:tcW w:type="dxa" w:w="1224"/>
          </w:tcPr>
          <w:p>
            <w:pPr>
              <w:spacing w:after="20"/>
              <w:jc w:val="right"/>
            </w:pPr>
            <w:r>
              <w:rPr>
                <w:color w:val="1C3A36"/>
                <w:sz w:val="17"/>
              </w:rPr>
              <w:t>-32.3%</w:t>
            </w:r>
          </w:p>
        </w:tc>
        <w:tc>
          <w:tcPr>
            <w:tcW w:type="dxa" w:w="4320"/>
          </w:tcPr>
          <w:p>
            <w:pPr>
              <w:spacing w:after="20"/>
            </w:pPr>
            <w:r>
              <w:rPr>
                <w:color w:val="1C3A36"/>
                <w:sz w:val="17"/>
              </w:rPr>
              <w:t>the 5.3% statutory appropriation is never paid</w:t>
            </w:r>
          </w:p>
        </w:tc>
      </w:tr>
      <w:tr>
        <w:tc>
          <w:tcPr>
            <w:tcW w:type="dxa" w:w="3168"/>
          </w:tcPr>
          <w:p>
            <w:pPr>
              <w:spacing w:after="20"/>
            </w:pPr>
            <w:r>
              <w:rPr>
                <w:color w:val="1C3A36"/>
                <w:sz w:val="17"/>
              </w:rPr>
              <w:t>Terminal rate on the 2028 target</w:t>
            </w:r>
          </w:p>
        </w:tc>
        <w:tc>
          <w:tcPr>
            <w:tcW w:type="dxa" w:w="1224"/>
          </w:tcPr>
          <w:p>
            <w:pPr>
              <w:spacing w:after="20"/>
              <w:jc w:val="right"/>
            </w:pPr>
            <w:r>
              <w:rPr>
                <w:color w:val="1C3A36"/>
                <w:sz w:val="17"/>
              </w:rPr>
              <w:t>6.19</w:t>
            </w:r>
          </w:p>
        </w:tc>
        <w:tc>
          <w:tcPr>
            <w:tcW w:type="dxa" w:w="1224"/>
          </w:tcPr>
          <w:p>
            <w:pPr>
              <w:spacing w:after="20"/>
              <w:jc w:val="right"/>
            </w:pPr>
            <w:r>
              <w:rPr>
                <w:color w:val="1C3A36"/>
                <w:sz w:val="17"/>
              </w:rPr>
              <w:t>-32.0%</w:t>
            </w:r>
          </w:p>
        </w:tc>
        <w:tc>
          <w:tcPr>
            <w:tcW w:type="dxa" w:w="4320"/>
          </w:tcPr>
          <w:p>
            <w:pPr>
              <w:spacing w:after="20"/>
            </w:pPr>
            <w:r>
              <w:rPr>
                <w:color w:val="1C3A36"/>
                <w:sz w:val="17"/>
              </w:rPr>
              <w:t>the softer 5% target replaces the 7% target in force</w:t>
            </w:r>
          </w:p>
        </w:tc>
      </w:tr>
      <w:tr>
        <w:tc>
          <w:tcPr>
            <w:tcW w:type="dxa" w:w="3168"/>
          </w:tcPr>
          <w:p>
            <w:pPr>
              <w:spacing w:after="20"/>
            </w:pPr>
            <w:r>
              <w:rPr>
                <w:color w:val="1C3A36"/>
                <w:sz w:val="17"/>
              </w:rPr>
              <w:t>Effective instead of statutory tax</w:t>
            </w:r>
          </w:p>
        </w:tc>
        <w:tc>
          <w:tcPr>
            <w:tcW w:type="dxa" w:w="1224"/>
          </w:tcPr>
          <w:p>
            <w:pPr>
              <w:spacing w:after="20"/>
              <w:jc w:val="right"/>
            </w:pPr>
            <w:r>
              <w:rPr>
                <w:color w:val="1C3A36"/>
                <w:sz w:val="17"/>
              </w:rPr>
              <w:t>5.97</w:t>
            </w:r>
          </w:p>
        </w:tc>
        <w:tc>
          <w:tcPr>
            <w:tcW w:type="dxa" w:w="1224"/>
          </w:tcPr>
          <w:p>
            <w:pPr>
              <w:spacing w:after="20"/>
              <w:jc w:val="right"/>
            </w:pPr>
            <w:r>
              <w:rPr>
                <w:color w:val="1C3A36"/>
                <w:sz w:val="17"/>
              </w:rPr>
              <w:t>-34.4%</w:t>
            </w:r>
          </w:p>
        </w:tc>
        <w:tc>
          <w:tcPr>
            <w:tcW w:type="dxa" w:w="4320"/>
          </w:tcPr>
          <w:p>
            <w:pPr>
              <w:spacing w:after="20"/>
            </w:pPr>
            <w:r>
              <w:rPr>
                <w:color w:val="1C3A36"/>
                <w:sz w:val="17"/>
              </w:rPr>
              <w:t>operating profit taxed at the interest-flattered 22.12%</w:t>
            </w:r>
          </w:p>
        </w:tc>
      </w:tr>
      <w:tr>
        <w:tc>
          <w:tcPr>
            <w:tcW w:type="dxa" w:w="3168"/>
            <w:shd w:val="clear" w:color="auto" w:fill="F6F1E6"/>
          </w:tcPr>
          <w:p>
            <w:pPr>
              <w:spacing w:after="20"/>
            </w:pPr>
            <w:r>
              <w:rPr>
                <w:b/>
                <w:color w:val="1C3A36"/>
                <w:sz w:val="17"/>
              </w:rPr>
              <w:t>ALL OF THE ABOVE AT ONCE</w:t>
            </w:r>
          </w:p>
        </w:tc>
        <w:tc>
          <w:tcPr>
            <w:tcW w:type="dxa" w:w="1224"/>
            <w:shd w:val="clear" w:color="auto" w:fill="F6F1E6"/>
          </w:tcPr>
          <w:p>
            <w:pPr>
              <w:spacing w:after="20"/>
              <w:jc w:val="right"/>
            </w:pPr>
            <w:r>
              <w:rPr>
                <w:b/>
                <w:color w:val="1C3A36"/>
                <w:sz w:val="17"/>
              </w:rPr>
              <w:t>7.47</w:t>
            </w:r>
          </w:p>
        </w:tc>
        <w:tc>
          <w:tcPr>
            <w:tcW w:type="dxa" w:w="1224"/>
            <w:shd w:val="clear" w:color="auto" w:fill="F6F1E6"/>
          </w:tcPr>
          <w:p>
            <w:pPr>
              <w:spacing w:after="20"/>
              <w:jc w:val="right"/>
            </w:pPr>
            <w:r>
              <w:rPr>
                <w:b/>
                <w:color w:val="1C3A36"/>
                <w:sz w:val="17"/>
              </w:rPr>
              <w:t>-17.9%</w:t>
            </w:r>
          </w:p>
        </w:tc>
        <w:tc>
          <w:tcPr>
            <w:tcW w:type="dxa" w:w="4320"/>
            <w:shd w:val="clear" w:color="auto" w:fill="F6F1E6"/>
          </w:tcPr>
          <w:p>
            <w:pPr>
              <w:spacing w:after="20"/>
            </w:pPr>
            <w:r>
              <w:rPr>
                <w:b/>
                <w:color w:val="1C3A36"/>
                <w:sz w:val="17"/>
              </w:rPr>
              <w:t>every contested charge conceded simultaneously</w:t>
            </w:r>
          </w:p>
        </w:tc>
      </w:tr>
    </w:tbl>
    <w:p>
      <w:pPr>
        <w:spacing w:after="40"/>
      </w:pPr>
    </w:p>
    <w:p>
      <w:pPr>
        <w:spacing w:after="200" w:before="0"/>
      </w:pPr>
      <w:r>
        <w:rPr>
          <w:b w:val="0"/>
          <w:i/>
          <w:color w:val="6E7B77"/>
          <w:sz w:val="17"/>
        </w:rPr>
        <w:t>Table 18 — the adversarial stack. Concede everything and the price is still 17.9% above the model.</w:t>
      </w:r>
    </w:p>
    <w:p>
      <w:pPr>
        <w:spacing w:after="40"/>
        <w:jc w:val="center"/>
      </w:pPr>
      <w:r>
        <w:drawing>
          <wp:inline xmlns:a="http://schemas.openxmlformats.org/drawingml/2006/main" xmlns:pic="http://schemas.openxmlformats.org/drawingml/2006/picture">
            <wp:extent cx="6309360" cy="2557849"/>
            <wp:docPr id="4" name="Picture 4"/>
            <wp:cNvGraphicFramePr>
              <a:graphicFrameLocks noChangeAspect="1"/>
            </wp:cNvGraphicFramePr>
            <a:graphic>
              <a:graphicData uri="http://schemas.openxmlformats.org/drawingml/2006/picture">
                <pic:pic>
                  <pic:nvPicPr>
                    <pic:cNvPr id="0" name="fig4_adversarial.png"/>
                    <pic:cNvPicPr/>
                  </pic:nvPicPr>
                  <pic:blipFill>
                    <a:blip r:embed="rId12"/>
                    <a:stretch>
                      <a:fillRect/>
                    </a:stretch>
                  </pic:blipFill>
                  <pic:spPr>
                    <a:xfrm>
                      <a:off x="0" y="0"/>
                      <a:ext cx="6309360" cy="2557849"/>
                    </a:xfrm>
                    <a:prstGeom prst="rect"/>
                  </pic:spPr>
                </pic:pic>
              </a:graphicData>
            </a:graphic>
          </wp:inline>
        </w:drawing>
      </w:r>
    </w:p>
    <w:p>
      <w:pPr>
        <w:spacing w:after="200" w:before="0"/>
      </w:pPr>
      <w:r>
        <w:rPr>
          <w:b w:val="0"/>
          <w:i/>
          <w:color w:val="6E7B77"/>
          <w:sz w:val="17"/>
        </w:rPr>
        <w:t>Figure 4 — the same stack drawn. No single concession, and not all of them together, reaches the price.</w:t>
      </w:r>
    </w:p>
    <w:p>
      <w:pPr>
        <w:spacing w:after="120" w:before="0"/>
      </w:pPr>
      <w:r>
        <w:rPr>
          <w:b w:val="0"/>
          <w:i w:val="0"/>
          <w:color w:val="1C3A36"/>
          <w:sz w:val="21"/>
        </w:rPr>
        <w:t>Two further contested choices are computed rather than conceded. On the RATING-BASIS equity risk premium instead of the CDS basis, the cash-flow lens is EGP 5.72; two independent reviewers reached for that column, so it is promoted here rather than buried. And discounting the export leg in DOLLARS at a dollar cost of capital before translating back — rather than discounting a pound cash flow already inflated by the depreciation path at a dollar rate, which would count the currency benefit twice — gives EGP 6.50. Both are below the market price.</w:t>
      </w:r>
    </w:p>
    <w:p>
      <w:pPr>
        <w:spacing w:after="120" w:before="0"/>
      </w:pPr>
      <w:r>
        <w:rPr>
          <w:b w:val="0"/>
          <w:i w:val="0"/>
          <w:color w:val="1C3A36"/>
          <w:sz w:val="21"/>
        </w:rPr>
        <w:t>What survives the give-backs is the part of the verdict that cannot be negotiated away by accounting choices: a pass-through processor earning a 9.0% gross margin, discounted at an Egyptian cost of equity of 27.8% falling to 19.1%, is worth less than EGP 9.10 a share on any internally consistent arithmetic this study can construct.</w:t>
      </w:r>
    </w:p>
    <w:p>
      <w:pPr>
        <w:spacing w:after="80" w:before="200"/>
      </w:pPr>
      <w:r>
        <w:rPr>
          <w:b/>
          <w:i w:val="0"/>
          <w:color w:val="1C3A36"/>
          <w:sz w:val="24"/>
        </w:rPr>
        <w:t>1.14  What a buyer at EGP 9.10 must believe</w:t>
      </w:r>
    </w:p>
    <w:p>
      <w:pPr>
        <w:spacing w:after="120" w:before="0"/>
      </w:pPr>
      <w:r>
        <w:rPr>
          <w:b w:val="0"/>
          <w:i w:val="0"/>
          <w:color w:val="1C3A36"/>
          <w:sz w:val="21"/>
        </w:rPr>
        <w:t>Inverting the model at the market price, holding everything else at its published value:</w:t>
      </w:r>
    </w:p>
    <w:p>
      <w:pPr>
        <w:pStyle w:val="ListBullet"/>
        <w:spacing w:after="60"/>
      </w:pPr>
      <w:r>
        <w:rPr>
          <w:b/>
          <w:color w:val="1C3A36"/>
          <w:sz w:val="21"/>
        </w:rPr>
        <w:t xml:space="preserve">THE REQUIRED LENS — </w:t>
      </w:r>
      <w:r>
        <w:rPr>
          <w:color w:val="1C3A36"/>
          <w:sz w:val="21"/>
        </w:rPr>
        <w:t>the cash-flow lens must reach EGP 12.49 against this model’s 5.50 — an uplift of 127%;</w:t>
      </w:r>
    </w:p>
    <w:p>
      <w:pPr>
        <w:pStyle w:val="ListBullet"/>
        <w:spacing w:after="60"/>
      </w:pPr>
      <w:r>
        <w:rPr>
          <w:b/>
          <w:color w:val="1C3A36"/>
          <w:sz w:val="21"/>
        </w:rPr>
        <w:t xml:space="preserve">AS MARGIN — </w:t>
      </w:r>
      <w:r>
        <w:rPr>
          <w:color w:val="1C3A36"/>
          <w:sz w:val="21"/>
        </w:rPr>
        <w:t>read off the margin grid, that needs roughly +3.6 percentage points of gross margin on EVERY forecast year and in perpetuity: a permanent ~12.2% against a four-period filed record of 5.05% to 10.19% whose best single quarter is 10.19%;</w:t>
      </w:r>
    </w:p>
    <w:p>
      <w:pPr>
        <w:pStyle w:val="ListBullet"/>
        <w:spacing w:after="60"/>
      </w:pPr>
      <w:r>
        <w:rPr>
          <w:b/>
          <w:color w:val="1C3A36"/>
          <w:sz w:val="21"/>
        </w:rPr>
        <w:t xml:space="preserve">AS VOLUME — </w:t>
      </w:r>
      <w:r>
        <w:rPr>
          <w:color w:val="1C3A36"/>
          <w:sz w:val="21"/>
        </w:rPr>
        <w:t>or, read off the volume grid, roughly ten and a half times the assumed volume-growth path — a plant adding capacity it has not announced, which the built capital line would then have to fund;</w:t>
      </w:r>
    </w:p>
    <w:p>
      <w:pPr>
        <w:pStyle w:val="ListBullet"/>
        <w:spacing w:after="60"/>
      </w:pPr>
      <w:r>
        <w:rPr>
          <w:b/>
          <w:color w:val="1C3A36"/>
          <w:sz w:val="21"/>
        </w:rPr>
        <w:t xml:space="preserve">NOT VIA THE RATE — </w:t>
      </w:r>
      <w:r>
        <w:rPr>
          <w:color w:val="1C3A36"/>
          <w:sz w:val="21"/>
        </w:rPr>
        <w:t>the discount rate cannot get there. Even at a beta of 0.60 the lens reaches only EGP 6.33, and terminal growth cannot do it at any rate the reinvestment identity permits.</w:t>
      </w:r>
    </w:p>
    <w:p>
      <w:pPr>
        <w:spacing w:after="120" w:before="0"/>
      </w:pPr>
      <w:r>
        <w:rPr>
          <w:b w:val="0"/>
          <w:i w:val="0"/>
          <w:color w:val="1C3A36"/>
          <w:sz w:val="21"/>
        </w:rPr>
        <w:t>The one belief that WOULD close the gap honestly is the released H1-2026 gross-profit line taken at face value — and section 1.2 shows that line contradicts the profit printed in the same release by 12.6%. A buyer at the price is, in effect, trusting the single number in that disclosure which fails its own internal arithmetic.</w:t>
      </w:r>
    </w:p>
    <w:p>
      <w:pPr>
        <w:spacing w:after="120" w:before="280"/>
      </w:pPr>
      <w:r>
        <w:rPr>
          <w:b/>
          <w:i w:val="0"/>
          <w:color w:val="1C3A36"/>
          <w:sz w:val="30"/>
        </w:rPr>
        <w:t>2  The price record</w:t>
      </w:r>
    </w:p>
    <w:p>
      <w:pPr>
        <w:spacing w:after="120" w:before="0"/>
      </w:pPr>
      <w:r>
        <w:rPr>
          <w:b w:val="0"/>
          <w:i w:val="0"/>
          <w:color w:val="1C3A36"/>
          <w:sz w:val="21"/>
        </w:rPr>
        <w:t>The price series runs from 2011-01-02 to 2026-08-06 — 15.6 years, 3,755 raw rows reduced to 3,754 clean sessions at 240.8 sessions a year. One row was dropped: dropped 1 rows carrying a non-positive or non-finite OHLC value (2013-05-07) — vendor fills, not tradeable prices. The largest single-session move in the whole record is 0.1813 in logs, inside the exchange’s daily limit — the up-limit is ln(1.20) = 0.18232 and the down-limit is |ln(0.80)| = 0.22314, and the two are tested separately because a ±20% price band is asymmetric in logs. 9.6% of sessions closed unchanged.</w:t>
      </w:r>
    </w:p>
    <w:p>
      <w:pPr>
        <w:spacing w:after="120" w:before="280"/>
      </w:pPr>
      <w:r>
        <w:rPr>
          <w:b/>
          <w:i w:val="0"/>
          <w:color w:val="1C3A36"/>
          <w:sz w:val="30"/>
        </w:rPr>
        <w:t>3  Where the price could trade</w:t>
      </w:r>
    </w:p>
    <w:p>
      <w:pPr>
        <w:spacing w:after="120" w:before="0"/>
      </w:pPr>
      <w:r>
        <w:rPr>
          <w:b w:val="0"/>
          <w:i w:val="0"/>
          <w:color w:val="1C3A36"/>
          <w:sz w:val="21"/>
        </w:rPr>
        <w:t>A calibrated Monte-Carlo cone, carry-anchored YZ-HAR-t, 50,000 paths, seed 42, ν = 6.0, width calibration 0.951. The drift is the CARRY — ln(1+risk-free) less ln(1+dividend yield) — and NO part of it comes from the valuation, so the cone can and does sit above a fair value well below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037"/>
        <w:gridCol w:w="1037"/>
        <w:gridCol w:w="1152"/>
        <w:gridCol w:w="1037"/>
        <w:gridCol w:w="1037"/>
        <w:gridCol w:w="1512"/>
        <w:gridCol w:w="1512"/>
      </w:tblGrid>
      <w:tr>
        <w:tc>
          <w:tcPr>
            <w:tcW w:type="dxa" w:w="1512"/>
            <w:shd w:val="clear" w:color="auto" w:fill="EAF0EE"/>
          </w:tcPr>
          <w:p>
            <w:pPr>
              <w:spacing w:after="20"/>
            </w:pPr>
            <w:r>
              <w:rPr>
                <w:b/>
                <w:color w:val="1C3A36"/>
                <w:sz w:val="17"/>
              </w:rPr>
              <w:t>Horizon</w:t>
            </w:r>
          </w:p>
        </w:tc>
        <w:tc>
          <w:tcPr>
            <w:tcW w:type="dxa" w:w="1037"/>
            <w:shd w:val="clear" w:color="auto" w:fill="EAF0EE"/>
          </w:tcPr>
          <w:p>
            <w:pPr>
              <w:spacing w:after="20"/>
            </w:pPr>
            <w:r>
              <w:rPr>
                <w:b/>
                <w:color w:val="1C3A36"/>
                <w:sz w:val="17"/>
              </w:rPr>
              <w:t>p5</w:t>
            </w:r>
          </w:p>
        </w:tc>
        <w:tc>
          <w:tcPr>
            <w:tcW w:type="dxa" w:w="1037"/>
            <w:shd w:val="clear" w:color="auto" w:fill="EAF0EE"/>
          </w:tcPr>
          <w:p>
            <w:pPr>
              <w:spacing w:after="20"/>
            </w:pPr>
            <w:r>
              <w:rPr>
                <w:b/>
                <w:color w:val="1C3A36"/>
                <w:sz w:val="17"/>
              </w:rPr>
              <w:t>p25</w:t>
            </w:r>
          </w:p>
        </w:tc>
        <w:tc>
          <w:tcPr>
            <w:tcW w:type="dxa" w:w="1152"/>
            <w:shd w:val="clear" w:color="auto" w:fill="EAF0EE"/>
          </w:tcPr>
          <w:p>
            <w:pPr>
              <w:spacing w:after="20"/>
            </w:pPr>
            <w:r>
              <w:rPr>
                <w:b/>
                <w:color w:val="1C3A36"/>
                <w:sz w:val="17"/>
              </w:rPr>
              <w:t>median</w:t>
            </w:r>
          </w:p>
        </w:tc>
        <w:tc>
          <w:tcPr>
            <w:tcW w:type="dxa" w:w="1037"/>
            <w:shd w:val="clear" w:color="auto" w:fill="EAF0EE"/>
          </w:tcPr>
          <w:p>
            <w:pPr>
              <w:spacing w:after="20"/>
            </w:pPr>
            <w:r>
              <w:rPr>
                <w:b/>
                <w:color w:val="1C3A36"/>
                <w:sz w:val="17"/>
              </w:rPr>
              <w:t>p75</w:t>
            </w:r>
          </w:p>
        </w:tc>
        <w:tc>
          <w:tcPr>
            <w:tcW w:type="dxa" w:w="1037"/>
            <w:shd w:val="clear" w:color="auto" w:fill="EAF0EE"/>
          </w:tcPr>
          <w:p>
            <w:pPr>
              <w:spacing w:after="20"/>
            </w:pPr>
            <w:r>
              <w:rPr>
                <w:b/>
                <w:color w:val="1C3A36"/>
                <w:sz w:val="17"/>
              </w:rPr>
              <w:t>p95</w:t>
            </w:r>
          </w:p>
        </w:tc>
        <w:tc>
          <w:tcPr>
            <w:tcW w:type="dxa" w:w="1512"/>
            <w:shd w:val="clear" w:color="auto" w:fill="EAF0EE"/>
          </w:tcPr>
          <w:p>
            <w:pPr>
              <w:spacing w:after="20"/>
            </w:pPr>
            <w:r>
              <w:rPr>
                <w:b/>
                <w:color w:val="1C3A36"/>
                <w:sz w:val="17"/>
              </w:rPr>
              <w:t>P(above today)</w:t>
            </w:r>
          </w:p>
        </w:tc>
        <w:tc>
          <w:tcPr>
            <w:tcW w:type="dxa" w:w="1512"/>
            <w:shd w:val="clear" w:color="auto" w:fill="EAF0EE"/>
          </w:tcPr>
          <w:p>
            <w:pPr>
              <w:spacing w:after="20"/>
            </w:pPr>
            <w:r>
              <w:rPr>
                <w:b/>
                <w:color w:val="1C3A36"/>
                <w:sz w:val="17"/>
              </w:rPr>
              <w:t>Grade date</w:t>
            </w:r>
          </w:p>
        </w:tc>
      </w:tr>
      <w:tr>
        <w:tc>
          <w:tcPr>
            <w:tcW w:type="dxa" w:w="1512"/>
          </w:tcPr>
          <w:p>
            <w:pPr>
              <w:spacing w:after="20"/>
            </w:pPr>
            <w:r>
              <w:rPr>
                <w:color w:val="1C3A36"/>
                <w:sz w:val="17"/>
              </w:rPr>
              <w:t>1 month</w:t>
            </w:r>
          </w:p>
        </w:tc>
        <w:tc>
          <w:tcPr>
            <w:tcW w:type="dxa" w:w="1037"/>
          </w:tcPr>
          <w:p>
            <w:pPr>
              <w:spacing w:after="20"/>
              <w:jc w:val="right"/>
            </w:pPr>
            <w:r>
              <w:rPr>
                <w:color w:val="1C3A36"/>
                <w:sz w:val="17"/>
              </w:rPr>
              <w:t>7.71</w:t>
            </w:r>
          </w:p>
        </w:tc>
        <w:tc>
          <w:tcPr>
            <w:tcW w:type="dxa" w:w="1037"/>
          </w:tcPr>
          <w:p>
            <w:pPr>
              <w:spacing w:after="20"/>
              <w:jc w:val="right"/>
            </w:pPr>
            <w:r>
              <w:rPr>
                <w:color w:val="1C3A36"/>
                <w:sz w:val="17"/>
              </w:rPr>
              <w:t>8.60</w:t>
            </w:r>
          </w:p>
        </w:tc>
        <w:tc>
          <w:tcPr>
            <w:tcW w:type="dxa" w:w="1152"/>
          </w:tcPr>
          <w:p>
            <w:pPr>
              <w:spacing w:after="20"/>
              <w:jc w:val="right"/>
            </w:pPr>
            <w:r>
              <w:rPr>
                <w:color w:val="1C3A36"/>
                <w:sz w:val="17"/>
              </w:rPr>
              <w:t>9.17</w:t>
            </w:r>
          </w:p>
        </w:tc>
        <w:tc>
          <w:tcPr>
            <w:tcW w:type="dxa" w:w="1037"/>
          </w:tcPr>
          <w:p>
            <w:pPr>
              <w:spacing w:after="20"/>
              <w:jc w:val="right"/>
            </w:pPr>
            <w:r>
              <w:rPr>
                <w:color w:val="1C3A36"/>
                <w:sz w:val="17"/>
              </w:rPr>
              <w:t>9.79</w:t>
            </w:r>
          </w:p>
        </w:tc>
        <w:tc>
          <w:tcPr>
            <w:tcW w:type="dxa" w:w="1037"/>
          </w:tcPr>
          <w:p>
            <w:pPr>
              <w:spacing w:after="20"/>
              <w:jc w:val="right"/>
            </w:pPr>
            <w:r>
              <w:rPr>
                <w:color w:val="1C3A36"/>
                <w:sz w:val="17"/>
              </w:rPr>
              <w:t>10.91</w:t>
            </w:r>
          </w:p>
        </w:tc>
        <w:tc>
          <w:tcPr>
            <w:tcW w:type="dxa" w:w="1512"/>
          </w:tcPr>
          <w:p>
            <w:pPr>
              <w:spacing w:after="20"/>
              <w:jc w:val="right"/>
            </w:pPr>
            <w:r>
              <w:rPr>
                <w:color w:val="1C3A36"/>
                <w:sz w:val="17"/>
              </w:rPr>
              <w:t>53.3%</w:t>
            </w:r>
          </w:p>
        </w:tc>
        <w:tc>
          <w:tcPr>
            <w:tcW w:type="dxa" w:w="1512"/>
          </w:tcPr>
          <w:p>
            <w:pPr>
              <w:spacing w:after="20"/>
              <w:jc w:val="right"/>
            </w:pPr>
            <w:r>
              <w:rPr>
                <w:color w:val="1C3A36"/>
                <w:sz w:val="17"/>
              </w:rPr>
              <w:t>2026-09-06</w:t>
            </w:r>
          </w:p>
        </w:tc>
      </w:tr>
      <w:tr>
        <w:tc>
          <w:tcPr>
            <w:tcW w:type="dxa" w:w="1512"/>
          </w:tcPr>
          <w:p>
            <w:pPr>
              <w:spacing w:after="20"/>
            </w:pPr>
            <w:r>
              <w:rPr>
                <w:color w:val="1C3A36"/>
                <w:sz w:val="17"/>
              </w:rPr>
              <w:t>3 months</w:t>
            </w:r>
          </w:p>
        </w:tc>
        <w:tc>
          <w:tcPr>
            <w:tcW w:type="dxa" w:w="1037"/>
          </w:tcPr>
          <w:p>
            <w:pPr>
              <w:spacing w:after="20"/>
              <w:jc w:val="right"/>
            </w:pPr>
            <w:r>
              <w:rPr>
                <w:color w:val="1C3A36"/>
                <w:sz w:val="17"/>
              </w:rPr>
              <w:t>6.90</w:t>
            </w:r>
          </w:p>
        </w:tc>
        <w:tc>
          <w:tcPr>
            <w:tcW w:type="dxa" w:w="1037"/>
          </w:tcPr>
          <w:p>
            <w:pPr>
              <w:spacing w:after="20"/>
              <w:jc w:val="right"/>
            </w:pPr>
            <w:r>
              <w:rPr>
                <w:color w:val="1C3A36"/>
                <w:sz w:val="17"/>
              </w:rPr>
              <w:t>8.34</w:t>
            </w:r>
          </w:p>
        </w:tc>
        <w:tc>
          <w:tcPr>
            <w:tcW w:type="dxa" w:w="1152"/>
          </w:tcPr>
          <w:p>
            <w:pPr>
              <w:spacing w:after="20"/>
              <w:jc w:val="right"/>
            </w:pPr>
            <w:r>
              <w:rPr>
                <w:color w:val="1C3A36"/>
                <w:sz w:val="17"/>
              </w:rPr>
              <w:t>9.33</w:t>
            </w:r>
          </w:p>
        </w:tc>
        <w:tc>
          <w:tcPr>
            <w:tcW w:type="dxa" w:w="1037"/>
          </w:tcPr>
          <w:p>
            <w:pPr>
              <w:spacing w:after="20"/>
              <w:jc w:val="right"/>
            </w:pPr>
            <w:r>
              <w:rPr>
                <w:color w:val="1C3A36"/>
                <w:sz w:val="17"/>
              </w:rPr>
              <w:t>10.42</w:t>
            </w:r>
          </w:p>
        </w:tc>
        <w:tc>
          <w:tcPr>
            <w:tcW w:type="dxa" w:w="1037"/>
          </w:tcPr>
          <w:p>
            <w:pPr>
              <w:spacing w:after="20"/>
              <w:jc w:val="right"/>
            </w:pPr>
            <w:r>
              <w:rPr>
                <w:color w:val="1C3A36"/>
                <w:sz w:val="17"/>
              </w:rPr>
              <w:t>12.60</w:t>
            </w:r>
          </w:p>
        </w:tc>
        <w:tc>
          <w:tcPr>
            <w:tcW w:type="dxa" w:w="1512"/>
          </w:tcPr>
          <w:p>
            <w:pPr>
              <w:spacing w:after="20"/>
              <w:jc w:val="right"/>
            </w:pPr>
            <w:r>
              <w:rPr>
                <w:color w:val="1C3A36"/>
                <w:sz w:val="17"/>
              </w:rPr>
              <w:t>56.0%</w:t>
            </w:r>
          </w:p>
        </w:tc>
        <w:tc>
          <w:tcPr>
            <w:tcW w:type="dxa" w:w="1512"/>
          </w:tcPr>
          <w:p>
            <w:pPr>
              <w:spacing w:after="20"/>
              <w:jc w:val="right"/>
            </w:pPr>
            <w:r>
              <w:rPr>
                <w:color w:val="1C3A36"/>
                <w:sz w:val="17"/>
              </w:rPr>
              <w:t>2026-11-08</w:t>
            </w:r>
          </w:p>
        </w:tc>
      </w:tr>
    </w:tbl>
    <w:p>
      <w:pPr>
        <w:spacing w:after="40"/>
      </w:pPr>
    </w:p>
    <w:p>
      <w:pPr>
        <w:spacing w:after="200" w:before="0"/>
      </w:pPr>
      <w:r>
        <w:rPr>
          <w:b w:val="0"/>
          <w:i/>
          <w:color w:val="6E7B77"/>
          <w:sz w:val="17"/>
        </w:rPr>
        <w:t>Table 19 — the published percentiles. The three-month calendar target falls on a non-trading day, so the grade date rolls FORWARD to the first real session, which is how the ledger will grade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440"/>
        <w:gridCol w:w="2520"/>
        <w:gridCol w:w="1512"/>
      </w:tblGrid>
      <w:tr>
        <w:tc>
          <w:tcPr>
            <w:tcW w:type="dxa" w:w="3168"/>
            <w:shd w:val="clear" w:color="auto" w:fill="EAF0EE"/>
          </w:tcPr>
          <w:p>
            <w:pPr>
              <w:spacing w:after="20"/>
            </w:pPr>
            <w:r>
              <w:rPr>
                <w:b/>
                <w:color w:val="1C3A36"/>
                <w:sz w:val="17"/>
              </w:rPr>
              <w:t>Calibration set</w:t>
            </w:r>
          </w:p>
        </w:tc>
        <w:tc>
          <w:tcPr>
            <w:tcW w:type="dxa" w:w="1440"/>
            <w:shd w:val="clear" w:color="auto" w:fill="EAF0EE"/>
          </w:tcPr>
          <w:p>
            <w:pPr>
              <w:spacing w:after="20"/>
            </w:pPr>
            <w:r>
              <w:rPr>
                <w:b/>
                <w:color w:val="1C3A36"/>
                <w:sz w:val="17"/>
              </w:rPr>
              <w:t>Windows</w:t>
            </w:r>
          </w:p>
        </w:tc>
        <w:tc>
          <w:tcPr>
            <w:tcW w:type="dxa" w:w="2520"/>
            <w:shd w:val="clear" w:color="auto" w:fill="EAF0EE"/>
          </w:tcPr>
          <w:p>
            <w:pPr>
              <w:spacing w:after="20"/>
            </w:pPr>
            <w:r>
              <w:rPr>
                <w:b/>
                <w:color w:val="1C3A36"/>
                <w:sz w:val="17"/>
              </w:rPr>
              <w:t>Scale-normalised skill</w:t>
            </w:r>
          </w:p>
        </w:tc>
        <w:tc>
          <w:tcPr>
            <w:tcW w:type="dxa" w:w="1512"/>
            <w:shd w:val="clear" w:color="auto" w:fill="EAF0EE"/>
          </w:tcPr>
          <w:p>
            <w:pPr>
              <w:spacing w:after="20"/>
            </w:pPr>
            <w:r>
              <w:rPr>
                <w:b/>
                <w:color w:val="1C3A36"/>
                <w:sz w:val="17"/>
              </w:rPr>
              <w:t>Verdict</w:t>
            </w:r>
          </w:p>
        </w:tc>
      </w:tr>
      <w:tr>
        <w:tc>
          <w:tcPr>
            <w:tcW w:type="dxa" w:w="3168"/>
          </w:tcPr>
          <w:p>
            <w:pPr>
              <w:spacing w:after="20"/>
            </w:pPr>
            <w:r>
              <w:rPr>
                <w:color w:val="1C3A36"/>
                <w:sz w:val="17"/>
              </w:rPr>
              <w:t>Name-level, post-break</w:t>
            </w:r>
          </w:p>
        </w:tc>
        <w:tc>
          <w:tcPr>
            <w:tcW w:type="dxa" w:w="1440"/>
          </w:tcPr>
          <w:p>
            <w:pPr>
              <w:spacing w:after="20"/>
              <w:jc w:val="right"/>
            </w:pPr>
            <w:r>
              <w:rPr>
                <w:color w:val="1C3A36"/>
                <w:sz w:val="17"/>
              </w:rPr>
              <w:t>17</w:t>
            </w:r>
          </w:p>
        </w:tc>
        <w:tc>
          <w:tcPr>
            <w:tcW w:type="dxa" w:w="2520"/>
          </w:tcPr>
          <w:p>
            <w:pPr>
              <w:spacing w:after="20"/>
              <w:jc w:val="right"/>
            </w:pPr>
            <w:r>
              <w:rPr>
                <w:color w:val="1C3A36"/>
                <w:sz w:val="17"/>
              </w:rPr>
              <w:t>+0.68%</w:t>
            </w:r>
          </w:p>
        </w:tc>
        <w:tc>
          <w:tcPr>
            <w:tcW w:type="dxa" w:w="1512"/>
          </w:tcPr>
          <w:p>
            <w:pPr>
              <w:spacing w:after="20"/>
              <w:jc w:val="right"/>
            </w:pPr>
            <w:r>
              <w:rPr>
                <w:color w:val="1C3A36"/>
                <w:sz w:val="17"/>
              </w:rPr>
              <w:t>PARITY</w:t>
            </w:r>
          </w:p>
        </w:tc>
      </w:tr>
      <w:tr>
        <w:tc>
          <w:tcPr>
            <w:tcW w:type="dxa" w:w="3168"/>
          </w:tcPr>
          <w:p>
            <w:pPr>
              <w:spacing w:after="20"/>
            </w:pPr>
            <w:r>
              <w:rPr>
                <w:color w:val="1C3A36"/>
                <w:sz w:val="17"/>
              </w:rPr>
              <w:t>Five-year</w:t>
            </w:r>
          </w:p>
        </w:tc>
        <w:tc>
          <w:tcPr>
            <w:tcW w:type="dxa" w:w="1440"/>
          </w:tcPr>
          <w:p>
            <w:pPr>
              <w:spacing w:after="20"/>
              <w:jc w:val="right"/>
            </w:pPr>
            <w:r>
              <w:rPr>
                <w:color w:val="1C3A36"/>
                <w:sz w:val="17"/>
              </w:rPr>
              <w:t>19</w:t>
            </w:r>
          </w:p>
        </w:tc>
        <w:tc>
          <w:tcPr>
            <w:tcW w:type="dxa" w:w="2520"/>
          </w:tcPr>
          <w:p>
            <w:pPr>
              <w:spacing w:after="20"/>
              <w:jc w:val="right"/>
            </w:pPr>
            <w:r>
              <w:rPr>
                <w:color w:val="1C3A36"/>
                <w:sz w:val="17"/>
              </w:rPr>
              <w:t>+0.92%</w:t>
            </w:r>
          </w:p>
        </w:tc>
        <w:tc>
          <w:tcPr>
            <w:tcW w:type="dxa" w:w="1512"/>
          </w:tcPr>
          <w:p>
            <w:pPr>
              <w:spacing w:after="20"/>
              <w:jc w:val="right"/>
            </w:pPr>
            <w:r>
              <w:rPr>
                <w:color w:val="1C3A36"/>
                <w:sz w:val="17"/>
              </w:rPr>
              <w:t>PARITY</w:t>
            </w:r>
          </w:p>
        </w:tc>
      </w:tr>
      <w:tr>
        <w:tc>
          <w:tcPr>
            <w:tcW w:type="dxa" w:w="3168"/>
          </w:tcPr>
          <w:p>
            <w:pPr>
              <w:spacing w:after="20"/>
            </w:pPr>
            <w:r>
              <w:rPr>
                <w:color w:val="1C3A36"/>
                <w:sz w:val="17"/>
              </w:rPr>
              <w:t>Full cleaned history</w:t>
            </w:r>
          </w:p>
        </w:tc>
        <w:tc>
          <w:tcPr>
            <w:tcW w:type="dxa" w:w="1440"/>
          </w:tcPr>
          <w:p>
            <w:pPr>
              <w:spacing w:after="20"/>
              <w:jc w:val="right"/>
            </w:pPr>
            <w:r>
              <w:rPr>
                <w:color w:val="1C3A36"/>
                <w:sz w:val="17"/>
              </w:rPr>
              <w:t>57</w:t>
            </w:r>
          </w:p>
        </w:tc>
        <w:tc>
          <w:tcPr>
            <w:tcW w:type="dxa" w:w="2520"/>
          </w:tcPr>
          <w:p>
            <w:pPr>
              <w:spacing w:after="20"/>
              <w:jc w:val="right"/>
            </w:pPr>
            <w:r>
              <w:rPr>
                <w:color w:val="1C3A36"/>
                <w:sz w:val="17"/>
              </w:rPr>
              <w:t>+1.32%</w:t>
            </w:r>
          </w:p>
        </w:tc>
        <w:tc>
          <w:tcPr>
            <w:tcW w:type="dxa" w:w="1512"/>
          </w:tcPr>
          <w:p>
            <w:pPr>
              <w:spacing w:after="20"/>
              <w:jc w:val="right"/>
            </w:pPr>
            <w:r>
              <w:rPr>
                <w:color w:val="1C3A36"/>
                <w:sz w:val="17"/>
              </w:rPr>
              <w:t>PASS</w:t>
            </w:r>
          </w:p>
        </w:tc>
      </w:tr>
      <w:tr>
        <w:tc>
          <w:tcPr>
            <w:tcW w:type="dxa" w:w="3168"/>
          </w:tcPr>
          <w:p>
            <w:pPr>
              <w:spacing w:after="20"/>
            </w:pPr>
            <w:r>
              <w:rPr>
                <w:color w:val="1C3A36"/>
                <w:sz w:val="17"/>
              </w:rPr>
              <w:t>Egypt market panel</w:t>
            </w:r>
          </w:p>
        </w:tc>
        <w:tc>
          <w:tcPr>
            <w:tcW w:type="dxa" w:w="1440"/>
          </w:tcPr>
          <w:p>
            <w:pPr>
              <w:spacing w:after="20"/>
              <w:jc w:val="right"/>
            </w:pPr>
            <w:r>
              <w:rPr>
                <w:color w:val="1C3A36"/>
                <w:sz w:val="17"/>
              </w:rPr>
              <w:t>494</w:t>
            </w:r>
          </w:p>
        </w:tc>
        <w:tc>
          <w:tcPr>
            <w:tcW w:type="dxa" w:w="2520"/>
          </w:tcPr>
          <w:p>
            <w:pPr>
              <w:spacing w:after="20"/>
              <w:jc w:val="right"/>
            </w:pPr>
            <w:r>
              <w:rPr>
                <w:color w:val="1C3A36"/>
                <w:sz w:val="17"/>
              </w:rPr>
              <w:t>+1.58%</w:t>
            </w:r>
          </w:p>
        </w:tc>
        <w:tc>
          <w:tcPr>
            <w:tcW w:type="dxa" w:w="1512"/>
          </w:tcPr>
          <w:p>
            <w:pPr>
              <w:spacing w:after="20"/>
              <w:jc w:val="right"/>
            </w:pPr>
            <w:r>
              <w:rPr>
                <w:color w:val="1C3A36"/>
                <w:sz w:val="17"/>
              </w:rPr>
              <w:t>PASS</w:t>
            </w:r>
          </w:p>
        </w:tc>
      </w:tr>
    </w:tbl>
    <w:p>
      <w:pPr>
        <w:spacing w:after="40"/>
      </w:pPr>
    </w:p>
    <w:p>
      <w:pPr>
        <w:spacing w:after="200" w:before="0"/>
      </w:pPr>
      <w:r>
        <w:rPr>
          <w:b w:val="0"/>
          <w:i/>
          <w:color w:val="6E7B77"/>
          <w:sz w:val="17"/>
        </w:rPr>
        <w:t>Table 20 — the calibration record, published alongside the forecast rather than behind it. The name’s own verdict is PARITY, not skill: the bootstrap interval straddles zero across block sizes 2, 3 and 4. What carries the cone is the market-level gate, the thirty-name Egypt panel, which is the standing gate and PASSES.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2376"/>
        <w:gridCol w:w="2376"/>
        <w:gridCol w:w="2880"/>
      </w:tblGrid>
      <w:tr>
        <w:tc>
          <w:tcPr>
            <w:tcW w:type="dxa" w:w="1512"/>
            <w:shd w:val="clear" w:color="auto" w:fill="EAF0EE"/>
          </w:tcPr>
          <w:p>
            <w:pPr>
              <w:spacing w:after="20"/>
            </w:pPr>
            <w:r>
              <w:rPr>
                <w:b/>
                <w:color w:val="1C3A36"/>
                <w:sz w:val="17"/>
              </w:rPr>
              <w:t>Level, EGP</w:t>
            </w:r>
          </w:p>
        </w:tc>
        <w:tc>
          <w:tcPr>
            <w:tcW w:type="dxa" w:w="2376"/>
            <w:shd w:val="clear" w:color="auto" w:fill="EAF0EE"/>
          </w:tcPr>
          <w:p>
            <w:pPr>
              <w:spacing w:after="20"/>
            </w:pPr>
            <w:r>
              <w:rPr>
                <w:b/>
                <w:color w:val="1C3A36"/>
                <w:sz w:val="17"/>
              </w:rPr>
              <w:t>Touched within 1 month</w:t>
            </w:r>
          </w:p>
        </w:tc>
        <w:tc>
          <w:tcPr>
            <w:tcW w:type="dxa" w:w="2376"/>
            <w:shd w:val="clear" w:color="auto" w:fill="EAF0EE"/>
          </w:tcPr>
          <w:p>
            <w:pPr>
              <w:spacing w:after="20"/>
            </w:pPr>
            <w:r>
              <w:rPr>
                <w:b/>
                <w:color w:val="1C3A36"/>
                <w:sz w:val="17"/>
              </w:rPr>
              <w:t>Touched within 3 months</w:t>
            </w:r>
          </w:p>
        </w:tc>
        <w:tc>
          <w:tcPr>
            <w:tcW w:type="dxa" w:w="2880"/>
            <w:shd w:val="clear" w:color="auto" w:fill="EAF0EE"/>
          </w:tcPr>
          <w:p>
            <w:pPr>
              <w:spacing w:after="20"/>
            </w:pPr>
            <w:r>
              <w:rPr>
                <w:b/>
                <w:color w:val="1C3A36"/>
                <w:sz w:val="17"/>
              </w:rPr>
              <w:t>Note</w:t>
            </w:r>
          </w:p>
        </w:tc>
      </w:tr>
      <w:tr>
        <w:tc>
          <w:tcPr>
            <w:tcW w:type="dxa" w:w="1512"/>
          </w:tcPr>
          <w:p>
            <w:pPr>
              <w:spacing w:after="20"/>
            </w:pPr>
            <w:r>
              <w:rPr>
                <w:color w:val="1C3A36"/>
                <w:sz w:val="17"/>
              </w:rPr>
              <w:t>11.00</w:t>
            </w:r>
          </w:p>
        </w:tc>
        <w:tc>
          <w:tcPr>
            <w:tcW w:type="dxa" w:w="2376"/>
          </w:tcPr>
          <w:p>
            <w:pPr>
              <w:spacing w:after="20"/>
              <w:jc w:val="right"/>
            </w:pPr>
            <w:r>
              <w:rPr>
                <w:color w:val="1C3A36"/>
                <w:sz w:val="17"/>
              </w:rPr>
              <w:t>9.7%</w:t>
            </w:r>
          </w:p>
        </w:tc>
        <w:tc>
          <w:tcPr>
            <w:tcW w:type="dxa" w:w="2376"/>
          </w:tcPr>
          <w:p>
            <w:pPr>
              <w:spacing w:after="20"/>
              <w:jc w:val="right"/>
            </w:pPr>
            <w:r>
              <w:rPr>
                <w:color w:val="1C3A36"/>
                <w:sz w:val="17"/>
              </w:rPr>
              <w:t>36.2%</w:t>
            </w:r>
          </w:p>
        </w:tc>
        <w:tc>
          <w:tcPr>
            <w:tcW w:type="dxa" w:w="2880"/>
          </w:tcPr>
          <w:p>
            <w:pPr>
              <w:spacing w:after="20"/>
            </w:pPr>
            <w:r>
              <w:rPr>
                <w:color w:val="1C3A36"/>
                <w:sz w:val="17"/>
              </w:rPr>
            </w:r>
          </w:p>
        </w:tc>
      </w:tr>
      <w:tr>
        <w:tc>
          <w:tcPr>
            <w:tcW w:type="dxa" w:w="1512"/>
          </w:tcPr>
          <w:p>
            <w:pPr>
              <w:spacing w:after="20"/>
            </w:pPr>
            <w:r>
              <w:rPr>
                <w:color w:val="1C3A36"/>
                <w:sz w:val="17"/>
              </w:rPr>
              <w:t>10.50</w:t>
            </w:r>
          </w:p>
        </w:tc>
        <w:tc>
          <w:tcPr>
            <w:tcW w:type="dxa" w:w="2376"/>
          </w:tcPr>
          <w:p>
            <w:pPr>
              <w:spacing w:after="20"/>
              <w:jc w:val="right"/>
            </w:pPr>
            <w:r>
              <w:rPr>
                <w:color w:val="1C3A36"/>
                <w:sz w:val="17"/>
              </w:rPr>
              <w:t>21.4%</w:t>
            </w:r>
          </w:p>
        </w:tc>
        <w:tc>
          <w:tcPr>
            <w:tcW w:type="dxa" w:w="2376"/>
          </w:tcPr>
          <w:p>
            <w:pPr>
              <w:spacing w:after="20"/>
              <w:jc w:val="right"/>
            </w:pPr>
            <w:r>
              <w:rPr>
                <w:color w:val="1C3A36"/>
                <w:sz w:val="17"/>
              </w:rPr>
              <w:t>49.7%</w:t>
            </w:r>
          </w:p>
        </w:tc>
        <w:tc>
          <w:tcPr>
            <w:tcW w:type="dxa" w:w="2880"/>
          </w:tcPr>
          <w:p>
            <w:pPr>
              <w:spacing w:after="20"/>
            </w:pPr>
            <w:r>
              <w:rPr>
                <w:color w:val="1C3A36"/>
                <w:sz w:val="17"/>
              </w:rPr>
            </w:r>
          </w:p>
        </w:tc>
      </w:tr>
      <w:tr>
        <w:tc>
          <w:tcPr>
            <w:tcW w:type="dxa" w:w="1512"/>
          </w:tcPr>
          <w:p>
            <w:pPr>
              <w:spacing w:after="20"/>
            </w:pPr>
            <w:r>
              <w:rPr>
                <w:color w:val="1C3A36"/>
                <w:sz w:val="17"/>
              </w:rPr>
              <w:t>10.00</w:t>
            </w:r>
          </w:p>
        </w:tc>
        <w:tc>
          <w:tcPr>
            <w:tcW w:type="dxa" w:w="2376"/>
          </w:tcPr>
          <w:p>
            <w:pPr>
              <w:spacing w:after="20"/>
              <w:jc w:val="right"/>
            </w:pPr>
            <w:r>
              <w:rPr>
                <w:color w:val="1C3A36"/>
                <w:sz w:val="17"/>
              </w:rPr>
              <w:t>41.8%</w:t>
            </w:r>
          </w:p>
        </w:tc>
        <w:tc>
          <w:tcPr>
            <w:tcW w:type="dxa" w:w="2376"/>
          </w:tcPr>
          <w:p>
            <w:pPr>
              <w:spacing w:after="20"/>
              <w:jc w:val="right"/>
            </w:pPr>
            <w:r>
              <w:rPr>
                <w:color w:val="1C3A36"/>
                <w:sz w:val="17"/>
              </w:rPr>
              <w:t>66.0%</w:t>
            </w:r>
          </w:p>
        </w:tc>
        <w:tc>
          <w:tcPr>
            <w:tcW w:type="dxa" w:w="2880"/>
          </w:tcPr>
          <w:p>
            <w:pPr>
              <w:spacing w:after="20"/>
            </w:pPr>
            <w:r>
              <w:rPr>
                <w:color w:val="1C3A36"/>
                <w:sz w:val="17"/>
              </w:rPr>
            </w:r>
          </w:p>
        </w:tc>
      </w:tr>
      <w:tr>
        <w:tc>
          <w:tcPr>
            <w:tcW w:type="dxa" w:w="1512"/>
          </w:tcPr>
          <w:p>
            <w:pPr>
              <w:spacing w:after="20"/>
            </w:pPr>
            <w:r>
              <w:rPr>
                <w:color w:val="1C3A36"/>
                <w:sz w:val="17"/>
              </w:rPr>
              <w:t>9.10</w:t>
            </w:r>
          </w:p>
        </w:tc>
        <w:tc>
          <w:tcPr>
            <w:tcW w:type="dxa" w:w="2376"/>
          </w:tcPr>
          <w:p>
            <w:pPr>
              <w:spacing w:after="20"/>
              <w:jc w:val="right"/>
            </w:pPr>
            <w:r>
              <w:rPr>
                <w:color w:val="1C3A36"/>
                <w:sz w:val="17"/>
              </w:rPr>
              <w:t>100.0%</w:t>
            </w:r>
          </w:p>
        </w:tc>
        <w:tc>
          <w:tcPr>
            <w:tcW w:type="dxa" w:w="2376"/>
          </w:tcPr>
          <w:p>
            <w:pPr>
              <w:spacing w:after="20"/>
              <w:jc w:val="right"/>
            </w:pPr>
            <w:r>
              <w:rPr>
                <w:color w:val="1C3A36"/>
                <w:sz w:val="17"/>
              </w:rPr>
              <w:t>100.0%</w:t>
            </w:r>
          </w:p>
        </w:tc>
        <w:tc>
          <w:tcPr>
            <w:tcW w:type="dxa" w:w="2880"/>
          </w:tcPr>
          <w:p>
            <w:pPr>
              <w:spacing w:after="20"/>
            </w:pPr>
            <w:r>
              <w:rPr>
                <w:color w:val="1C3A36"/>
                <w:sz w:val="17"/>
              </w:rPr>
              <w:t>the market price</w:t>
            </w:r>
          </w:p>
        </w:tc>
      </w:tr>
      <w:tr>
        <w:tc>
          <w:tcPr>
            <w:tcW w:type="dxa" w:w="1512"/>
          </w:tcPr>
          <w:p>
            <w:pPr>
              <w:spacing w:after="20"/>
            </w:pPr>
            <w:r>
              <w:rPr>
                <w:color w:val="1C3A36"/>
                <w:sz w:val="17"/>
              </w:rPr>
              <w:t>8.50</w:t>
            </w:r>
          </w:p>
        </w:tc>
        <w:tc>
          <w:tcPr>
            <w:tcW w:type="dxa" w:w="2376"/>
          </w:tcPr>
          <w:p>
            <w:pPr>
              <w:spacing w:after="20"/>
              <w:jc w:val="right"/>
            </w:pPr>
            <w:r>
              <w:rPr>
                <w:color w:val="1C3A36"/>
                <w:sz w:val="17"/>
              </w:rPr>
              <w:t>51.4%</w:t>
            </w:r>
          </w:p>
        </w:tc>
        <w:tc>
          <w:tcPr>
            <w:tcW w:type="dxa" w:w="2376"/>
          </w:tcPr>
          <w:p>
            <w:pPr>
              <w:spacing w:after="20"/>
              <w:jc w:val="right"/>
            </w:pPr>
            <w:r>
              <w:rPr>
                <w:color w:val="1C3A36"/>
                <w:sz w:val="17"/>
              </w:rPr>
              <w:t>68.6%</w:t>
            </w:r>
          </w:p>
        </w:tc>
        <w:tc>
          <w:tcPr>
            <w:tcW w:type="dxa" w:w="2880"/>
          </w:tcPr>
          <w:p>
            <w:pPr>
              <w:spacing w:after="20"/>
            </w:pPr>
            <w:r>
              <w:rPr>
                <w:color w:val="1C3A36"/>
                <w:sz w:val="17"/>
              </w:rPr>
            </w:r>
          </w:p>
        </w:tc>
      </w:tr>
      <w:tr>
        <w:tc>
          <w:tcPr>
            <w:tcW w:type="dxa" w:w="1512"/>
          </w:tcPr>
          <w:p>
            <w:pPr>
              <w:spacing w:after="20"/>
            </w:pPr>
            <w:r>
              <w:rPr>
                <w:color w:val="1C3A36"/>
                <w:sz w:val="17"/>
              </w:rPr>
              <w:t>8.00</w:t>
            </w:r>
          </w:p>
        </w:tc>
        <w:tc>
          <w:tcPr>
            <w:tcW w:type="dxa" w:w="2376"/>
          </w:tcPr>
          <w:p>
            <w:pPr>
              <w:spacing w:after="20"/>
              <w:jc w:val="right"/>
            </w:pPr>
            <w:r>
              <w:rPr>
                <w:color w:val="1C3A36"/>
                <w:sz w:val="17"/>
              </w:rPr>
              <w:t>22.5%</w:t>
            </w:r>
          </w:p>
        </w:tc>
        <w:tc>
          <w:tcPr>
            <w:tcW w:type="dxa" w:w="2376"/>
          </w:tcPr>
          <w:p>
            <w:pPr>
              <w:spacing w:after="20"/>
              <w:jc w:val="right"/>
            </w:pPr>
            <w:r>
              <w:rPr>
                <w:color w:val="1C3A36"/>
                <w:sz w:val="17"/>
              </w:rPr>
              <w:t>45.5%</w:t>
            </w:r>
          </w:p>
        </w:tc>
        <w:tc>
          <w:tcPr>
            <w:tcW w:type="dxa" w:w="2880"/>
          </w:tcPr>
          <w:p>
            <w:pPr>
              <w:spacing w:after="20"/>
            </w:pPr>
            <w:r>
              <w:rPr>
                <w:color w:val="1C3A36"/>
                <w:sz w:val="17"/>
              </w:rPr>
            </w:r>
          </w:p>
        </w:tc>
      </w:tr>
      <w:tr>
        <w:tc>
          <w:tcPr>
            <w:tcW w:type="dxa" w:w="1512"/>
          </w:tcPr>
          <w:p>
            <w:pPr>
              <w:spacing w:after="20"/>
            </w:pPr>
            <w:r>
              <w:rPr>
                <w:color w:val="1C3A36"/>
                <w:sz w:val="17"/>
              </w:rPr>
              <w:t>7.50</w:t>
            </w:r>
          </w:p>
        </w:tc>
        <w:tc>
          <w:tcPr>
            <w:tcW w:type="dxa" w:w="2376"/>
          </w:tcPr>
          <w:p>
            <w:pPr>
              <w:spacing w:after="20"/>
              <w:jc w:val="right"/>
            </w:pPr>
            <w:r>
              <w:rPr>
                <w:color w:val="1C3A36"/>
                <w:sz w:val="17"/>
              </w:rPr>
              <w:t>7.1%</w:t>
            </w:r>
          </w:p>
        </w:tc>
        <w:tc>
          <w:tcPr>
            <w:tcW w:type="dxa" w:w="2376"/>
          </w:tcPr>
          <w:p>
            <w:pPr>
              <w:spacing w:after="20"/>
              <w:jc w:val="right"/>
            </w:pPr>
            <w:r>
              <w:rPr>
                <w:color w:val="1C3A36"/>
                <w:sz w:val="17"/>
              </w:rPr>
              <w:t>27.0%</w:t>
            </w:r>
          </w:p>
        </w:tc>
        <w:tc>
          <w:tcPr>
            <w:tcW w:type="dxa" w:w="2880"/>
          </w:tcPr>
          <w:p>
            <w:pPr>
              <w:spacing w:after="20"/>
            </w:pPr>
            <w:r>
              <w:rPr>
                <w:color w:val="1C3A36"/>
                <w:sz w:val="17"/>
              </w:rPr>
            </w:r>
          </w:p>
        </w:tc>
      </w:tr>
      <w:tr>
        <w:tc>
          <w:tcPr>
            <w:tcW w:type="dxa" w:w="1512"/>
          </w:tcPr>
          <w:p>
            <w:pPr>
              <w:spacing w:after="20"/>
            </w:pPr>
            <w:r>
              <w:rPr>
                <w:color w:val="1C3A36"/>
                <w:sz w:val="17"/>
              </w:rPr>
              <w:t>5.95</w:t>
            </w:r>
          </w:p>
        </w:tc>
        <w:tc>
          <w:tcPr>
            <w:tcW w:type="dxa" w:w="2376"/>
          </w:tcPr>
          <w:p>
            <w:pPr>
              <w:spacing w:after="20"/>
              <w:jc w:val="right"/>
            </w:pPr>
            <w:r>
              <w:rPr>
                <w:color w:val="1C3A36"/>
                <w:sz w:val="17"/>
              </w:rPr>
              <w:t>0.0%</w:t>
            </w:r>
          </w:p>
        </w:tc>
        <w:tc>
          <w:tcPr>
            <w:tcW w:type="dxa" w:w="2376"/>
          </w:tcPr>
          <w:p>
            <w:pPr>
              <w:spacing w:after="20"/>
              <w:jc w:val="right"/>
            </w:pPr>
            <w:r>
              <w:rPr>
                <w:color w:val="1C3A36"/>
                <w:sz w:val="17"/>
              </w:rPr>
              <w:t>1.9%</w:t>
            </w:r>
          </w:p>
        </w:tc>
        <w:tc>
          <w:tcPr>
            <w:tcW w:type="dxa" w:w="2880"/>
          </w:tcPr>
          <w:p>
            <w:pPr>
              <w:spacing w:after="20"/>
            </w:pPr>
            <w:r>
              <w:rPr>
                <w:color w:val="1C3A36"/>
                <w:sz w:val="17"/>
              </w:rPr>
              <w:t>THIS STUDY’S FAIR VALUE</w:t>
            </w:r>
          </w:p>
        </w:tc>
      </w:tr>
    </w:tbl>
    <w:p>
      <w:pPr>
        <w:spacing w:after="40"/>
      </w:pPr>
    </w:p>
    <w:p>
      <w:pPr>
        <w:spacing w:after="200" w:before="0"/>
      </w:pPr>
      <w:r>
        <w:rPr>
          <w:b w:val="0"/>
          <w:i/>
          <w:color w:val="6E7B77"/>
          <w:sz w:val="17"/>
        </w:rPr>
        <w:t>Table 21 — the touch ladder: the chance the price trades AT or THROUGH each level at any point in the window, which is a higher number than the chance of closing beyond it. Note the last row. The cone gives the price a real chance of reaching this study’s fair value inside three months, but a touch is not a re-rating — it is the tape passing through a level, and the study makes no claim about when or whether the market closes the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656"/>
        <w:gridCol w:w="4608"/>
      </w:tblGrid>
      <w:tr>
        <w:tc>
          <w:tcPr>
            <w:tcW w:type="dxa" w:w="2880"/>
            <w:shd w:val="clear" w:color="auto" w:fill="EAF0EE"/>
          </w:tcPr>
          <w:p>
            <w:pPr>
              <w:spacing w:after="20"/>
            </w:pPr>
            <w:r>
              <w:rPr>
                <w:b/>
                <w:color w:val="1C3A36"/>
                <w:sz w:val="17"/>
              </w:rPr>
              <w:t>Diagnostic</w:t>
            </w:r>
          </w:p>
        </w:tc>
        <w:tc>
          <w:tcPr>
            <w:tcW w:type="dxa" w:w="1656"/>
            <w:shd w:val="clear" w:color="auto" w:fill="EAF0EE"/>
          </w:tcPr>
          <w:p>
            <w:pPr>
              <w:spacing w:after="20"/>
            </w:pPr>
            <w:r>
              <w:rPr>
                <w:b/>
                <w:color w:val="1C3A36"/>
                <w:sz w:val="17"/>
              </w:rPr>
              <w:t>Value</w:t>
            </w:r>
          </w:p>
        </w:tc>
        <w:tc>
          <w:tcPr>
            <w:tcW w:type="dxa" w:w="4608"/>
            <w:shd w:val="clear" w:color="auto" w:fill="EAF0EE"/>
          </w:tcPr>
          <w:p>
            <w:pPr>
              <w:spacing w:after="20"/>
            </w:pPr>
            <w:r>
              <w:rPr>
                <w:b/>
                <w:color w:val="1C3A36"/>
                <w:sz w:val="17"/>
              </w:rPr>
              <w:t>Reading</w:t>
            </w:r>
          </w:p>
        </w:tc>
      </w:tr>
      <w:tr>
        <w:tc>
          <w:tcPr>
            <w:tcW w:type="dxa" w:w="2880"/>
          </w:tcPr>
          <w:p>
            <w:pPr>
              <w:spacing w:after="20"/>
            </w:pPr>
            <w:r>
              <w:rPr>
                <w:color w:val="1C3A36"/>
                <w:sz w:val="17"/>
              </w:rPr>
              <w:t>Coverage at 50%</w:t>
            </w:r>
          </w:p>
        </w:tc>
        <w:tc>
          <w:tcPr>
            <w:tcW w:type="dxa" w:w="1656"/>
          </w:tcPr>
          <w:p>
            <w:pPr>
              <w:spacing w:after="20"/>
              <w:jc w:val="right"/>
            </w:pPr>
            <w:r>
              <w:rPr>
                <w:color w:val="1C3A36"/>
                <w:sz w:val="17"/>
              </w:rPr>
              <w:t>52.9%</w:t>
            </w:r>
          </w:p>
        </w:tc>
        <w:tc>
          <w:tcPr>
            <w:tcW w:type="dxa" w:w="4608"/>
          </w:tcPr>
          <w:p>
            <w:pPr>
              <w:spacing w:after="20"/>
            </w:pPr>
            <w:r>
              <w:rPr>
                <w:color w:val="1C3A36"/>
                <w:sz w:val="17"/>
              </w:rPr>
              <w:t>against a nominal 50%</w:t>
            </w:r>
          </w:p>
        </w:tc>
      </w:tr>
      <w:tr>
        <w:tc>
          <w:tcPr>
            <w:tcW w:type="dxa" w:w="2880"/>
          </w:tcPr>
          <w:p>
            <w:pPr>
              <w:spacing w:after="20"/>
            </w:pPr>
            <w:r>
              <w:rPr>
                <w:color w:val="1C3A36"/>
                <w:sz w:val="17"/>
              </w:rPr>
              <w:t>Coverage at 80%</w:t>
            </w:r>
          </w:p>
        </w:tc>
        <w:tc>
          <w:tcPr>
            <w:tcW w:type="dxa" w:w="1656"/>
          </w:tcPr>
          <w:p>
            <w:pPr>
              <w:spacing w:after="20"/>
              <w:jc w:val="right"/>
            </w:pPr>
            <w:r>
              <w:rPr>
                <w:color w:val="1C3A36"/>
                <w:sz w:val="17"/>
              </w:rPr>
              <w:t>88.2%</w:t>
            </w:r>
          </w:p>
        </w:tc>
        <w:tc>
          <w:tcPr>
            <w:tcW w:type="dxa" w:w="4608"/>
          </w:tcPr>
          <w:p>
            <w:pPr>
              <w:spacing w:after="20"/>
            </w:pPr>
            <w:r>
              <w:rPr>
                <w:color w:val="1C3A36"/>
                <w:sz w:val="17"/>
              </w:rPr>
              <w:t>against a nominal 80%</w:t>
            </w:r>
          </w:p>
        </w:tc>
      </w:tr>
      <w:tr>
        <w:tc>
          <w:tcPr>
            <w:tcW w:type="dxa" w:w="2880"/>
          </w:tcPr>
          <w:p>
            <w:pPr>
              <w:spacing w:after="20"/>
            </w:pPr>
            <w:r>
              <w:rPr>
                <w:color w:val="1C3A36"/>
                <w:sz w:val="17"/>
              </w:rPr>
              <w:t>Coverage at 90%</w:t>
            </w:r>
          </w:p>
        </w:tc>
        <w:tc>
          <w:tcPr>
            <w:tcW w:type="dxa" w:w="1656"/>
          </w:tcPr>
          <w:p>
            <w:pPr>
              <w:spacing w:after="20"/>
              <w:jc w:val="right"/>
            </w:pPr>
            <w:r>
              <w:rPr>
                <w:color w:val="1C3A36"/>
                <w:sz w:val="17"/>
              </w:rPr>
              <w:t>94.1%</w:t>
            </w:r>
          </w:p>
        </w:tc>
        <w:tc>
          <w:tcPr>
            <w:tcW w:type="dxa" w:w="4608"/>
          </w:tcPr>
          <w:p>
            <w:pPr>
              <w:spacing w:after="20"/>
            </w:pPr>
            <w:r>
              <w:rPr>
                <w:color w:val="1C3A36"/>
                <w:sz w:val="17"/>
              </w:rPr>
              <w:t>against a nominal 90%</w:t>
            </w:r>
          </w:p>
        </w:tc>
      </w:tr>
      <w:tr>
        <w:tc>
          <w:tcPr>
            <w:tcW w:type="dxa" w:w="2880"/>
          </w:tcPr>
          <w:p>
            <w:pPr>
              <w:spacing w:after="20"/>
            </w:pPr>
            <w:r>
              <w:rPr>
                <w:color w:val="1C3A36"/>
                <w:sz w:val="17"/>
              </w:rPr>
              <w:t>PIT mean</w:t>
            </w:r>
          </w:p>
        </w:tc>
        <w:tc>
          <w:tcPr>
            <w:tcW w:type="dxa" w:w="1656"/>
          </w:tcPr>
          <w:p>
            <w:pPr>
              <w:spacing w:after="20"/>
              <w:jc w:val="right"/>
            </w:pPr>
            <w:r>
              <w:rPr>
                <w:color w:val="1C3A36"/>
                <w:sz w:val="17"/>
              </w:rPr>
              <w:t>0.461</w:t>
            </w:r>
          </w:p>
        </w:tc>
        <w:tc>
          <w:tcPr>
            <w:tcW w:type="dxa" w:w="4608"/>
          </w:tcPr>
          <w:p>
            <w:pPr>
              <w:spacing w:after="20"/>
            </w:pPr>
            <w:r>
              <w:rPr>
                <w:color w:val="1C3A36"/>
                <w:sz w:val="17"/>
              </w:rPr>
              <w:t>against a nominal 0.500 — no material centring bias</w:t>
            </w:r>
          </w:p>
        </w:tc>
      </w:tr>
      <w:tr>
        <w:tc>
          <w:tcPr>
            <w:tcW w:type="dxa" w:w="2880"/>
          </w:tcPr>
          <w:p>
            <w:pPr>
              <w:spacing w:after="20"/>
            </w:pPr>
            <w:r>
              <w:rPr>
                <w:color w:val="1C3A36"/>
                <w:sz w:val="17"/>
              </w:rPr>
              <w:t>Width against benchmark</w:t>
            </w:r>
          </w:p>
        </w:tc>
        <w:tc>
          <w:tcPr>
            <w:tcW w:type="dxa" w:w="1656"/>
          </w:tcPr>
          <w:p>
            <w:pPr>
              <w:spacing w:after="20"/>
              <w:jc w:val="right"/>
            </w:pPr>
            <w:r>
              <w:rPr>
                <w:color w:val="1C3A36"/>
                <w:sz w:val="17"/>
              </w:rPr>
              <w:t>0.969x</w:t>
            </w:r>
          </w:p>
        </w:tc>
        <w:tc>
          <w:tcPr>
            <w:tcW w:type="dxa" w:w="4608"/>
          </w:tcPr>
          <w:p>
            <w:pPr>
              <w:spacing w:after="20"/>
            </w:pPr>
            <w:r>
              <w:rPr>
                <w:color w:val="1C3A36"/>
                <w:sz w:val="17"/>
              </w:rPr>
              <w:t>the cone is marginally NARROWER than the carry-anchored random walk</w:t>
            </w:r>
          </w:p>
        </w:tc>
      </w:tr>
      <w:tr>
        <w:tc>
          <w:tcPr>
            <w:tcW w:type="dxa" w:w="2880"/>
          </w:tcPr>
          <w:p>
            <w:pPr>
              <w:spacing w:after="20"/>
            </w:pPr>
            <w:r>
              <w:rPr>
                <w:color w:val="1C3A36"/>
                <w:sz w:val="17"/>
              </w:rPr>
              <w:t>Windows scored</w:t>
            </w:r>
          </w:p>
        </w:tc>
        <w:tc>
          <w:tcPr>
            <w:tcW w:type="dxa" w:w="1656"/>
          </w:tcPr>
          <w:p>
            <w:pPr>
              <w:spacing w:after="20"/>
              <w:jc w:val="right"/>
            </w:pPr>
            <w:r>
              <w:rPr>
                <w:color w:val="1C3A36"/>
                <w:sz w:val="17"/>
              </w:rPr>
              <w:t>17</w:t>
            </w:r>
          </w:p>
        </w:tc>
        <w:tc>
          <w:tcPr>
            <w:tcW w:type="dxa" w:w="4608"/>
          </w:tcPr>
          <w:p>
            <w:pPr>
              <w:spacing w:after="20"/>
            </w:pPr>
            <w:r>
              <w:rPr>
                <w:color w:val="1C3A36"/>
                <w:sz w:val="17"/>
              </w:rPr>
              <w:t>40 pre-break origins dropped</w:t>
            </w:r>
          </w:p>
        </w:tc>
      </w:tr>
    </w:tbl>
    <w:p>
      <w:pPr>
        <w:spacing w:after="40"/>
      </w:pPr>
    </w:p>
    <w:p>
      <w:pPr>
        <w:spacing w:after="200" w:before="0"/>
      </w:pPr>
      <w:r>
        <w:rPr>
          <w:b w:val="0"/>
          <w:i/>
          <w:color w:val="6E7B77"/>
          <w:sz w:val="17"/>
        </w:rPr>
        <w:t>Table 22 — cone diagnostics. Coverage sits close to nominal at all three levels and the width ratio is near one, so the PARITY verdict in Table 20 is a statement about SKILL — the cone is not beating a carry-anchored random walk on this name — rather than about the cone being mis-shaped. Published because a calibration record that shows only the verdict is not a calibration record.</w:t>
      </w:r>
    </w:p>
    <w:p>
      <w:pPr>
        <w:spacing w:after="40"/>
        <w:jc w:val="center"/>
      </w:pPr>
      <w:r>
        <w:drawing>
          <wp:inline xmlns:a="http://schemas.openxmlformats.org/drawingml/2006/main" xmlns:pic="http://schemas.openxmlformats.org/drawingml/2006/picture">
            <wp:extent cx="6126480" cy="2318128"/>
            <wp:docPr id="5" name="Picture 5"/>
            <wp:cNvGraphicFramePr>
              <a:graphicFrameLocks noChangeAspect="1"/>
            </wp:cNvGraphicFramePr>
            <a:graphic>
              <a:graphicData uri="http://schemas.openxmlformats.org/drawingml/2006/picture">
                <pic:pic>
                  <pic:nvPicPr>
                    <pic:cNvPr id="0" name="fig6_cone.png"/>
                    <pic:cNvPicPr/>
                  </pic:nvPicPr>
                  <pic:blipFill>
                    <a:blip r:embed="rId13"/>
                    <a:stretch>
                      <a:fillRect/>
                    </a:stretch>
                  </pic:blipFill>
                  <pic:spPr>
                    <a:xfrm>
                      <a:off x="0" y="0"/>
                      <a:ext cx="6126480" cy="2318128"/>
                    </a:xfrm>
                    <a:prstGeom prst="rect"/>
                  </pic:spPr>
                </pic:pic>
              </a:graphicData>
            </a:graphic>
          </wp:inline>
        </w:drawing>
      </w:r>
    </w:p>
    <w:p>
      <w:pPr>
        <w:spacing w:after="200" w:before="0"/>
      </w:pPr>
      <w:r>
        <w:rPr>
          <w:b w:val="0"/>
          <w:i/>
          <w:color w:val="6E7B77"/>
          <w:sz w:val="17"/>
        </w:rPr>
        <w:t>Figure 5 — the cone against fair value in gold. The two objects answer different questions and are never blended.</w:t>
      </w:r>
    </w:p>
    <w:p>
      <w:pPr>
        <w:spacing w:after="120" w:before="280"/>
      </w:pPr>
      <w:r>
        <w:rPr>
          <w:b/>
          <w:i w:val="0"/>
          <w:color w:val="1C3A36"/>
          <w:sz w:val="30"/>
        </w:rPr>
        <w:t>4  The two answers side by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2160"/>
        <w:gridCol w:w="3456"/>
        <w:gridCol w:w="1440"/>
      </w:tblGrid>
      <w:tr>
        <w:tc>
          <w:tcPr>
            <w:tcW w:type="dxa" w:w="3024"/>
            <w:shd w:val="clear" w:color="auto" w:fill="EAF0EE"/>
          </w:tcPr>
          <w:p>
            <w:pPr>
              <w:spacing w:after="20"/>
            </w:pPr>
            <w:r>
              <w:rPr>
                <w:b/>
                <w:color w:val="1C3A36"/>
                <w:sz w:val="17"/>
              </w:rPr>
              <w:t>Question</w:t>
            </w:r>
          </w:p>
        </w:tc>
        <w:tc>
          <w:tcPr>
            <w:tcW w:type="dxa" w:w="2160"/>
            <w:shd w:val="clear" w:color="auto" w:fill="EAF0EE"/>
          </w:tcPr>
          <w:p>
            <w:pPr>
              <w:spacing w:after="20"/>
            </w:pPr>
            <w:r>
              <w:rPr>
                <w:b/>
                <w:color w:val="1C3A36"/>
                <w:sz w:val="17"/>
              </w:rPr>
              <w:t>Object</w:t>
            </w:r>
          </w:p>
        </w:tc>
        <w:tc>
          <w:tcPr>
            <w:tcW w:type="dxa" w:w="3456"/>
            <w:shd w:val="clear" w:color="auto" w:fill="EAF0EE"/>
          </w:tcPr>
          <w:p>
            <w:pPr>
              <w:spacing w:after="20"/>
            </w:pPr>
            <w:r>
              <w:rPr>
                <w:b/>
                <w:color w:val="1C3A36"/>
                <w:sz w:val="17"/>
              </w:rPr>
              <w:t>Answer</w:t>
            </w:r>
          </w:p>
        </w:tc>
        <w:tc>
          <w:tcPr>
            <w:tcW w:type="dxa" w:w="1440"/>
            <w:shd w:val="clear" w:color="auto" w:fill="EAF0EE"/>
          </w:tcPr>
          <w:p>
            <w:pPr>
              <w:spacing w:after="20"/>
            </w:pPr>
            <w:r>
              <w:rPr>
                <w:b/>
                <w:color w:val="1C3A36"/>
                <w:sz w:val="17"/>
              </w:rPr>
              <w:t>Horizon</w:t>
            </w:r>
          </w:p>
        </w:tc>
      </w:tr>
      <w:tr>
        <w:tc>
          <w:tcPr>
            <w:tcW w:type="dxa" w:w="3024"/>
          </w:tcPr>
          <w:p>
            <w:pPr>
              <w:spacing w:after="20"/>
            </w:pPr>
            <w:r>
              <w:rPr>
                <w:color w:val="1C3A36"/>
                <w:sz w:val="17"/>
              </w:rPr>
              <w:t>What is the business worth?</w:t>
            </w:r>
          </w:p>
        </w:tc>
        <w:tc>
          <w:tcPr>
            <w:tcW w:type="dxa" w:w="2160"/>
          </w:tcPr>
          <w:p>
            <w:pPr>
              <w:spacing w:after="20"/>
            </w:pPr>
            <w:r>
              <w:rPr>
                <w:color w:val="1C3A36"/>
                <w:sz w:val="17"/>
              </w:rPr>
              <w:t>weighted fair value</w:t>
            </w:r>
          </w:p>
        </w:tc>
        <w:tc>
          <w:tcPr>
            <w:tcW w:type="dxa" w:w="3456"/>
          </w:tcPr>
          <w:p>
            <w:pPr>
              <w:spacing w:after="20"/>
            </w:pPr>
            <w:r>
              <w:rPr>
                <w:color w:val="1C3A36"/>
                <w:sz w:val="17"/>
              </w:rPr>
              <w:t>EGP 5.95  (range 4.09–8.52)</w:t>
            </w:r>
          </w:p>
        </w:tc>
        <w:tc>
          <w:tcPr>
            <w:tcW w:type="dxa" w:w="1440"/>
          </w:tcPr>
          <w:p>
            <w:pPr>
              <w:spacing w:after="20"/>
            </w:pPr>
            <w:r>
              <w:rPr>
                <w:color w:val="1C3A36"/>
                <w:sz w:val="17"/>
              </w:rPr>
              <w:t>undated</w:t>
            </w:r>
          </w:p>
        </w:tc>
      </w:tr>
      <w:tr>
        <w:tc>
          <w:tcPr>
            <w:tcW w:type="dxa" w:w="3024"/>
          </w:tcPr>
          <w:p>
            <w:pPr>
              <w:spacing w:after="20"/>
            </w:pPr>
            <w:r>
              <w:rPr>
                <w:color w:val="1C3A36"/>
                <w:sz w:val="17"/>
              </w:rPr>
              <w:t>Where might the price go?</w:t>
            </w:r>
          </w:p>
        </w:tc>
        <w:tc>
          <w:tcPr>
            <w:tcW w:type="dxa" w:w="2160"/>
          </w:tcPr>
          <w:p>
            <w:pPr>
              <w:spacing w:after="20"/>
            </w:pPr>
            <w:r>
              <w:rPr>
                <w:color w:val="1C3A36"/>
                <w:sz w:val="17"/>
              </w:rPr>
              <w:t>calibrated price cone</w:t>
            </w:r>
          </w:p>
        </w:tc>
        <w:tc>
          <w:tcPr>
            <w:tcW w:type="dxa" w:w="3456"/>
          </w:tcPr>
          <w:p>
            <w:pPr>
              <w:spacing w:after="20"/>
            </w:pPr>
            <w:r>
              <w:rPr>
                <w:color w:val="1C3A36"/>
                <w:sz w:val="17"/>
              </w:rPr>
              <w:t>3-month median EGP 9.33  (6.90–12.60)</w:t>
            </w:r>
          </w:p>
        </w:tc>
        <w:tc>
          <w:tcPr>
            <w:tcW w:type="dxa" w:w="1440"/>
          </w:tcPr>
          <w:p>
            <w:pPr>
              <w:spacing w:after="20"/>
            </w:pPr>
            <w:r>
              <w:rPr>
                <w:color w:val="1C3A36"/>
                <w:sz w:val="17"/>
              </w:rPr>
              <w:t>1 to 3 months</w:t>
            </w:r>
          </w:p>
        </w:tc>
      </w:tr>
      <w:tr>
        <w:tc>
          <w:tcPr>
            <w:tcW w:type="dxa" w:w="3024"/>
          </w:tcPr>
          <w:p>
            <w:pPr>
              <w:spacing w:after="20"/>
            </w:pPr>
            <w:r>
              <w:rPr>
                <w:color w:val="1C3A36"/>
                <w:sz w:val="17"/>
              </w:rPr>
              <w:t>What does the market say today?</w:t>
            </w:r>
          </w:p>
        </w:tc>
        <w:tc>
          <w:tcPr>
            <w:tcW w:type="dxa" w:w="2160"/>
          </w:tcPr>
          <w:p>
            <w:pPr>
              <w:spacing w:after="20"/>
            </w:pPr>
            <w:r>
              <w:rPr>
                <w:color w:val="1C3A36"/>
                <w:sz w:val="17"/>
              </w:rPr>
              <w:t>last close</w:t>
            </w:r>
          </w:p>
        </w:tc>
        <w:tc>
          <w:tcPr>
            <w:tcW w:type="dxa" w:w="3456"/>
          </w:tcPr>
          <w:p>
            <w:pPr>
              <w:spacing w:after="20"/>
            </w:pPr>
            <w:r>
              <w:rPr>
                <w:color w:val="1C3A36"/>
                <w:sz w:val="17"/>
              </w:rPr>
              <w:t>EGP 9.10</w:t>
            </w:r>
          </w:p>
        </w:tc>
        <w:tc>
          <w:tcPr>
            <w:tcW w:type="dxa" w:w="1440"/>
          </w:tcPr>
          <w:p>
            <w:pPr>
              <w:spacing w:after="20"/>
            </w:pPr>
            <w:r>
              <w:rPr>
                <w:color w:val="1C3A36"/>
                <w:sz w:val="17"/>
              </w:rPr>
              <w:t>6 August 2026</w:t>
            </w:r>
          </w:p>
        </w:tc>
      </w:tr>
    </w:tbl>
    <w:p>
      <w:pPr>
        <w:spacing w:after="40"/>
      </w:pPr>
    </w:p>
    <w:p>
      <w:pPr>
        <w:spacing w:after="200" w:before="0"/>
      </w:pPr>
      <w:r>
        <w:rPr>
          <w:b w:val="0"/>
          <w:i/>
          <w:color w:val="6E7B77"/>
          <w:sz w:val="17"/>
        </w:rPr>
        <w:t>Table 23 — the fair-value read and the price cone are separate objects and are never combined into one number. A fair value far below a cone median is not a contradiction: the cone prices where the tape can travel over weeks, and the study prices what the business is worth.</w:t>
      </w:r>
    </w:p>
    <w:p>
      <w:pPr>
        <w:spacing w:after="120" w:before="280"/>
      </w:pPr>
      <w:r>
        <w:rPr>
          <w:b/>
          <w:i w:val="0"/>
          <w:color w:val="1C3A36"/>
          <w:sz w:val="30"/>
        </w:rPr>
        <w:t>5  What would move the answer</w:t>
      </w:r>
    </w:p>
    <w:p>
      <w:pPr>
        <w:pStyle w:val="ListBullet"/>
        <w:spacing w:after="60"/>
      </w:pPr>
      <w:r>
        <w:rPr>
          <w:b/>
          <w:color w:val="1C3A36"/>
          <w:sz w:val="21"/>
        </w:rPr>
        <w:t xml:space="preserve">GROSS MARGIN — </w:t>
      </w:r>
      <w:r>
        <w:rPr>
          <w:color w:val="1C3A36"/>
          <w:sz w:val="21"/>
        </w:rPr>
        <w:t>the margin is the thesis and it is administered, not competed. Half a point in every forecast year is worth about EGP 0.99 on the cash-flow lens, and the filed record spans 514 basis points;</w:t>
      </w:r>
    </w:p>
    <w:p>
      <w:pPr>
        <w:pStyle w:val="ListBullet"/>
        <w:spacing w:after="60"/>
      </w:pPr>
      <w:r>
        <w:rPr>
          <w:b/>
          <w:color w:val="1C3A36"/>
          <w:sz w:val="21"/>
        </w:rPr>
        <w:t xml:space="preserve">THE REPORTED HALF — </w:t>
      </w:r>
      <w:r>
        <w:rPr>
          <w:color w:val="1C3A36"/>
          <w:sz w:val="21"/>
        </w:rPr>
        <w:t>the base year is half press release. Audited half-year statements that restate revenue or profit materially would move the whole build — and note the direction: the fully-audited nine-month alternative prices the central LOWER, not higher;</w:t>
      </w:r>
    </w:p>
    <w:p>
      <w:pPr>
        <w:pStyle w:val="ListBullet"/>
        <w:spacing w:after="60"/>
      </w:pPr>
      <w:r>
        <w:rPr>
          <w:b/>
          <w:color w:val="1C3A36"/>
          <w:sz w:val="21"/>
        </w:rPr>
        <w:t xml:space="preserve">THE TWO UNREAD DISCLOSURES — </w:t>
      </w:r>
      <w:r>
        <w:rPr>
          <w:color w:val="1C3A36"/>
          <w:sz w:val="21"/>
        </w:rPr>
        <w:t>two exchange disclosures could not be reached from this environment and pull in OPPOSITE directions — a board capital budget (roughly −12% at face) and a revised FY2026 profit budget (roughly +17%);</w:t>
      </w:r>
    </w:p>
    <w:p>
      <w:pPr>
        <w:pStyle w:val="ListBullet"/>
        <w:spacing w:after="60"/>
      </w:pPr>
      <w:r>
        <w:rPr>
          <w:b/>
          <w:color w:val="1C3A36"/>
          <w:sz w:val="21"/>
        </w:rPr>
        <w:t xml:space="preserve">THE ONE JUDGEMENT INPUT — </w:t>
      </w:r>
      <w:r>
        <w:rPr>
          <w:color w:val="1C3A36"/>
          <w:sz w:val="21"/>
        </w:rPr>
        <w:t>the processing-intensity weights redistribute cost between lines. They move the mix effect and the per-line spreads, not the company total, which stays pinned to note 15-A;</w:t>
      </w:r>
    </w:p>
    <w:p>
      <w:pPr>
        <w:pStyle w:val="ListBullet"/>
        <w:spacing w:after="60"/>
      </w:pPr>
      <w:r>
        <w:rPr>
          <w:b/>
          <w:color w:val="1C3A36"/>
          <w:sz w:val="21"/>
        </w:rPr>
        <w:t xml:space="preserve">THE COUNTERPARTY — </w:t>
      </w:r>
      <w:r>
        <w:rPr>
          <w:color w:val="1C3A36"/>
          <w:sz w:val="21"/>
        </w:rPr>
        <w:t>the state petroleum complex is both the dominant customer and the feedstock supplier. A policy shift on either side moves the spread directly, and the spread IS the business.</w:t>
      </w:r>
    </w:p>
    <w:p>
      <w:pPr>
        <w:spacing w:after="120" w:before="280"/>
      </w:pPr>
      <w:r>
        <w:rPr>
          <w:b/>
          <w:i w:val="0"/>
          <w:color w:val="1C3A36"/>
          <w:sz w:val="30"/>
        </w:rPr>
        <w:t>6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736"/>
      </w:tblGrid>
      <w:tr>
        <w:tc>
          <w:tcPr>
            <w:tcW w:type="dxa" w:w="6048"/>
            <w:shd w:val="clear" w:color="auto" w:fill="EAF0EE"/>
          </w:tcPr>
          <w:p>
            <w:pPr>
              <w:spacing w:after="20"/>
            </w:pPr>
            <w:r>
              <w:rPr>
                <w:b/>
                <w:color w:val="1C3A36"/>
                <w:sz w:val="18"/>
              </w:rPr>
              <w:t>Zone</w:t>
            </w:r>
          </w:p>
        </w:tc>
        <w:tc>
          <w:tcPr>
            <w:tcW w:type="dxa" w:w="2736"/>
            <w:shd w:val="clear" w:color="auto" w:fill="EAF0EE"/>
          </w:tcPr>
          <w:p>
            <w:pPr>
              <w:spacing w:after="20"/>
            </w:pPr>
            <w:r>
              <w:rPr>
                <w:b/>
                <w:color w:val="1C3A36"/>
                <w:sz w:val="18"/>
              </w:rPr>
              <w:t>Probability, 3 months</w:t>
            </w:r>
          </w:p>
        </w:tc>
      </w:tr>
      <w:tr>
        <w:tc>
          <w:tcPr>
            <w:tcW w:type="dxa" w:w="6048"/>
          </w:tcPr>
          <w:p>
            <w:pPr>
              <w:spacing w:after="20"/>
            </w:pPr>
            <w:r>
              <w:rPr>
                <w:color w:val="1C3A36"/>
                <w:sz w:val="18"/>
              </w:rPr>
              <w:t>Below fair value (under EGP 5.95)</w:t>
            </w:r>
          </w:p>
        </w:tc>
        <w:tc>
          <w:tcPr>
            <w:tcW w:type="dxa" w:w="2736"/>
          </w:tcPr>
          <w:p>
            <w:pPr>
              <w:spacing w:after="20"/>
              <w:jc w:val="right"/>
            </w:pPr>
            <w:r>
              <w:rPr>
                <w:color w:val="1C3A36"/>
                <w:sz w:val="18"/>
              </w:rPr>
              <w:t>2.1%</w:t>
            </w:r>
          </w:p>
        </w:tc>
      </w:tr>
      <w:tr>
        <w:tc>
          <w:tcPr>
            <w:tcW w:type="dxa" w:w="6048"/>
          </w:tcPr>
          <w:p>
            <w:pPr>
              <w:spacing w:after="20"/>
            </w:pPr>
            <w:r>
              <w:rPr>
                <w:color w:val="1C3A36"/>
                <w:sz w:val="18"/>
              </w:rPr>
              <w:t>EGP 5.95 to 7.50</w:t>
            </w:r>
          </w:p>
        </w:tc>
        <w:tc>
          <w:tcPr>
            <w:tcW w:type="dxa" w:w="2736"/>
          </w:tcPr>
          <w:p>
            <w:pPr>
              <w:spacing w:after="20"/>
              <w:jc w:val="right"/>
            </w:pPr>
            <w:r>
              <w:rPr>
                <w:color w:val="1C3A36"/>
                <w:sz w:val="18"/>
              </w:rPr>
              <w:t>11.7%</w:t>
            </w:r>
          </w:p>
        </w:tc>
      </w:tr>
      <w:tr>
        <w:tc>
          <w:tcPr>
            <w:tcW w:type="dxa" w:w="6048"/>
          </w:tcPr>
          <w:p>
            <w:pPr>
              <w:spacing w:after="20"/>
            </w:pPr>
            <w:r>
              <w:rPr>
                <w:color w:val="1C3A36"/>
                <w:sz w:val="18"/>
              </w:rPr>
              <w:t>EGP 7.50 to 9.10</w:t>
            </w:r>
          </w:p>
        </w:tc>
        <w:tc>
          <w:tcPr>
            <w:tcW w:type="dxa" w:w="2736"/>
          </w:tcPr>
          <w:p>
            <w:pPr>
              <w:spacing w:after="20"/>
              <w:jc w:val="right"/>
            </w:pPr>
            <w:r>
              <w:rPr>
                <w:color w:val="1C3A36"/>
                <w:sz w:val="18"/>
              </w:rPr>
              <w:t>30.7%</w:t>
            </w:r>
          </w:p>
        </w:tc>
      </w:tr>
      <w:tr>
        <w:tc>
          <w:tcPr>
            <w:tcW w:type="dxa" w:w="6048"/>
          </w:tcPr>
          <w:p>
            <w:pPr>
              <w:spacing w:after="20"/>
            </w:pPr>
            <w:r>
              <w:rPr>
                <w:color w:val="1C3A36"/>
                <w:sz w:val="18"/>
              </w:rPr>
              <w:t>EGP 9.10 to 11.00</w:t>
            </w:r>
          </w:p>
        </w:tc>
        <w:tc>
          <w:tcPr>
            <w:tcW w:type="dxa" w:w="2736"/>
          </w:tcPr>
          <w:p>
            <w:pPr>
              <w:spacing w:after="20"/>
              <w:jc w:val="right"/>
            </w:pPr>
            <w:r>
              <w:rPr>
                <w:color w:val="1C3A36"/>
                <w:sz w:val="18"/>
              </w:rPr>
              <w:t>36.3%</w:t>
            </w:r>
          </w:p>
        </w:tc>
      </w:tr>
      <w:tr>
        <w:tc>
          <w:tcPr>
            <w:tcW w:type="dxa" w:w="6048"/>
          </w:tcPr>
          <w:p>
            <w:pPr>
              <w:spacing w:after="20"/>
            </w:pPr>
            <w:r>
              <w:rPr>
                <w:color w:val="1C3A36"/>
                <w:sz w:val="18"/>
              </w:rPr>
              <w:t>Above EGP 11.00</w:t>
            </w:r>
          </w:p>
        </w:tc>
        <w:tc>
          <w:tcPr>
            <w:tcW w:type="dxa" w:w="2736"/>
          </w:tcPr>
          <w:p>
            <w:pPr>
              <w:spacing w:after="20"/>
              <w:jc w:val="right"/>
            </w:pPr>
            <w:r>
              <w:rPr>
                <w:color w:val="1C3A36"/>
                <w:sz w:val="18"/>
              </w:rPr>
              <w:t>19.3%</w:t>
            </w:r>
          </w:p>
        </w:tc>
      </w:tr>
      <w:tr>
        <w:tc>
          <w:tcPr>
            <w:tcW w:type="dxa" w:w="6048"/>
            <w:shd w:val="clear" w:color="auto" w:fill="F6F1E6"/>
          </w:tcPr>
          <w:p>
            <w:pPr>
              <w:spacing w:after="20"/>
            </w:pPr>
            <w:r>
              <w:rPr>
                <w:b/>
                <w:color w:val="1C3A36"/>
                <w:sz w:val="18"/>
              </w:rPr>
              <w:t>TOTAL</w:t>
            </w:r>
          </w:p>
        </w:tc>
        <w:tc>
          <w:tcPr>
            <w:tcW w:type="dxa" w:w="2736"/>
            <w:shd w:val="clear" w:color="auto" w:fill="F6F1E6"/>
          </w:tcPr>
          <w:p>
            <w:pPr>
              <w:spacing w:after="20"/>
              <w:jc w:val="right"/>
            </w:pPr>
            <w:r>
              <w:rPr>
                <w:b/>
                <w:color w:val="1C3A36"/>
                <w:sz w:val="18"/>
              </w:rPr>
              <w:t>100.0%</w:t>
            </w:r>
          </w:p>
        </w:tc>
      </w:tr>
    </w:tbl>
    <w:p>
      <w:pPr>
        <w:spacing w:after="40"/>
      </w:pPr>
    </w:p>
    <w:p>
      <w:pPr>
        <w:spacing w:after="200" w:before="0"/>
      </w:pPr>
      <w:r>
        <w:rPr>
          <w:b w:val="0"/>
          <w:i/>
          <w:color w:val="6E7B77"/>
          <w:sz w:val="17"/>
        </w:rPr>
        <w:t>Table 24 — a genuine partition: the bands tile the line, none overlaps, and the total is asserted to be 100% in the build. The previous edition published five zones summing to 103.4%, with one band written descending and nested inside the band above it, so every zone probability in it was misstated. Probabilities are read off the same three-month distribution as Table 17 and say nothing about fair value.</w:t>
      </w:r>
    </w:p>
    <w:p>
      <w:pPr>
        <w:spacing w:after="120" w:before="280"/>
      </w:pPr>
      <w:r>
        <w:rPr>
          <w:b/>
          <w:i w:val="0"/>
          <w:color w:val="1C3A36"/>
          <w:sz w:val="30"/>
        </w:rPr>
        <w:t>7  Caveats — what is weak in this study</w:t>
      </w:r>
    </w:p>
    <w:p>
      <w:pPr>
        <w:pStyle w:val="ListBullet"/>
        <w:spacing w:after="60"/>
      </w:pPr>
      <w:r>
        <w:rPr>
          <w:color w:val="1C3A36"/>
          <w:sz w:val="21"/>
        </w:rPr>
        <w:t>HALF THE BASE YEAR IS NOT AUDITED. The six months to 30 June 2026 is an exchange disclosure, not a filing. Its gross-profit line is rejected on a coherence test and solved from its own profit line; its revenue and profit lines pass two independent tests. If the audited half-year statements restate either, the base moves.</w:t>
      </w:r>
    </w:p>
    <w:p>
      <w:pPr>
        <w:pStyle w:val="ListBullet"/>
        <w:spacing w:after="60"/>
      </w:pPr>
      <w:r>
        <w:rPr>
          <w:color w:val="1C3A36"/>
          <w:sz w:val="21"/>
        </w:rPr>
        <w:t>TWO DISCLOSURES WERE UNREACHABLE. A board-approved FY2025/26 capital-expenditure budget and a revised FY2026 operating-profit budget were both reported by outside reviewers and neither could be opened from this environment, where the exchange feed, the company’s investor-relations site and the data vendors all refuse connections under the network policy in force. They move the answer roughly −12% and +17% respectively. Both are named here rather than silently absent, and neither is in the numbers.</w:t>
      </w:r>
    </w:p>
    <w:p>
      <w:pPr>
        <w:pStyle w:val="ListBullet"/>
        <w:spacing w:after="60"/>
      </w:pPr>
      <w:r>
        <w:rPr>
          <w:color w:val="1C3A36"/>
          <w:sz w:val="21"/>
        </w:rPr>
        <w:t>THE PROCESSING-INTENSITY WEIGHTS ARE A JUDGEMENT. Note 15-A discloses the cost stack for the company and not by line, and no weight derivable from note 14-A alone can differentiate per-line margins, because that note contains only price and volume. The vector is registered and dated, and it cannot move the company total.</w:t>
      </w:r>
    </w:p>
    <w:p>
      <w:pPr>
        <w:pStyle w:val="ListBullet"/>
        <w:spacing w:after="60"/>
      </w:pPr>
      <w:r>
        <w:rPr>
          <w:color w:val="1C3A36"/>
          <w:sz w:val="21"/>
        </w:rPr>
        <w:t>THE RISK-FREE RATE COULD NOT BE RE-VERIFIED. The 22.31% ten-year yield is carried from a house reference that this environment could not open; three reviewers independently place the rate between 22.6% and 23.0%. At the top of that range the central falls about half a percent — the case does not turn on it, but the citation is weak and is corrected to say so.</w:t>
      </w:r>
    </w:p>
    <w:p>
      <w:pPr>
        <w:pStyle w:val="ListBullet"/>
        <w:spacing w:after="60"/>
      </w:pPr>
      <w:r>
        <w:rPr>
          <w:color w:val="1C3A36"/>
          <w:sz w:val="21"/>
        </w:rPr>
        <w:t>THE MARGIN IS ADMINISTERED. A 514-basis-point range across four consecutive filed periods, set by a feedstock relationship with a 20.77% shareholder, is not a market signal. It is the single largest uncertainty in the valuation and it cuts both ways — which is precisely why the case in section 1.13 is constructed to survive it.</w:t>
      </w:r>
    </w:p>
    <w:p>
      <w:pPr>
        <w:spacing w:after="120" w:before="280"/>
      </w:pPr>
      <w:r>
        <w:rPr>
          <w:b/>
          <w:i w:val="0"/>
          <w:color w:val="1C3A36"/>
          <w:sz w:val="30"/>
        </w:rPr>
        <w:t>Appendix A  Financial statements</w:t>
      </w:r>
    </w:p>
    <w:p>
      <w:pPr>
        <w:spacing w:after="80" w:before="200"/>
      </w:pPr>
      <w:r>
        <w:rPr>
          <w:b/>
          <w:i w:val="0"/>
          <w:color w:val="1C3A36"/>
          <w:sz w:val="24"/>
        </w:rPr>
        <w:t>A.1  Income statement — four filed periods and a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037"/>
        <w:gridCol w:w="1037"/>
        <w:gridCol w:w="1037"/>
        <w:gridCol w:w="1037"/>
        <w:gridCol w:w="950"/>
        <w:gridCol w:w="950"/>
        <w:gridCol w:w="950"/>
        <w:gridCol w:w="950"/>
        <w:gridCol w:w="950"/>
      </w:tblGrid>
      <w:tr>
        <w:tc>
          <w:tcPr>
            <w:tcW w:type="dxa" w:w="2160"/>
            <w:shd w:val="clear" w:color="auto" w:fill="EAF0EE"/>
          </w:tcPr>
          <w:p>
            <w:pPr>
              <w:spacing w:after="20"/>
            </w:pPr>
            <w:r>
              <w:rPr>
                <w:b/>
                <w:color w:val="1C3A36"/>
                <w:sz w:val="15"/>
              </w:rPr>
            </w:r>
          </w:p>
        </w:tc>
        <w:tc>
          <w:tcPr>
            <w:tcW w:type="dxa" w:w="1037"/>
            <w:shd w:val="clear" w:color="auto" w:fill="EAF0EE"/>
          </w:tcPr>
          <w:p>
            <w:pPr>
              <w:spacing w:after="20"/>
            </w:pPr>
            <w:r>
              <w:rPr>
                <w:b/>
                <w:color w:val="1C3A36"/>
                <w:sz w:val="15"/>
              </w:rPr>
              <w:t>6M Dec-2024</w:t>
            </w:r>
          </w:p>
        </w:tc>
        <w:tc>
          <w:tcPr>
            <w:tcW w:type="dxa" w:w="1037"/>
            <w:shd w:val="clear" w:color="auto" w:fill="EAF0EE"/>
          </w:tcPr>
          <w:p>
            <w:pPr>
              <w:spacing w:after="20"/>
            </w:pPr>
            <w:r>
              <w:rPr>
                <w:b/>
                <w:color w:val="1C3A36"/>
                <w:sz w:val="15"/>
              </w:rPr>
              <w:t>3M Mar-2025</w:t>
            </w:r>
          </w:p>
        </w:tc>
        <w:tc>
          <w:tcPr>
            <w:tcW w:type="dxa" w:w="1037"/>
            <w:shd w:val="clear" w:color="auto" w:fill="EAF0EE"/>
          </w:tcPr>
          <w:p>
            <w:pPr>
              <w:spacing w:after="20"/>
            </w:pPr>
            <w:r>
              <w:rPr>
                <w:b/>
                <w:color w:val="1C3A36"/>
                <w:sz w:val="15"/>
              </w:rPr>
              <w:t>6M Dec-2025</w:t>
            </w:r>
          </w:p>
        </w:tc>
        <w:tc>
          <w:tcPr>
            <w:tcW w:type="dxa" w:w="1037"/>
            <w:shd w:val="clear" w:color="auto" w:fill="EAF0EE"/>
          </w:tcPr>
          <w:p>
            <w:pPr>
              <w:spacing w:after="20"/>
            </w:pPr>
            <w:r>
              <w:rPr>
                <w:b/>
                <w:color w:val="1C3A36"/>
                <w:sz w:val="15"/>
              </w:rPr>
              <w:t>3M Mar-2026</w:t>
            </w:r>
          </w:p>
        </w:tc>
        <w:tc>
          <w:tcPr>
            <w:tcW w:type="dxa" w:w="950"/>
            <w:shd w:val="clear" w:color="auto" w:fill="EAF0EE"/>
          </w:tcPr>
          <w:p>
            <w:pPr>
              <w:spacing w:after="20"/>
            </w:pPr>
            <w:r>
              <w:rPr>
                <w:b/>
                <w:color w:val="1C3A36"/>
                <w:sz w:val="15"/>
              </w:rPr>
              <w:t>2026E</w:t>
            </w:r>
          </w:p>
        </w:tc>
        <w:tc>
          <w:tcPr>
            <w:tcW w:type="dxa" w:w="950"/>
            <w:shd w:val="clear" w:color="auto" w:fill="EAF0EE"/>
          </w:tcPr>
          <w:p>
            <w:pPr>
              <w:spacing w:after="20"/>
            </w:pPr>
            <w:r>
              <w:rPr>
                <w:b/>
                <w:color w:val="1C3A36"/>
                <w:sz w:val="15"/>
              </w:rPr>
              <w:t>2027E</w:t>
            </w:r>
          </w:p>
        </w:tc>
        <w:tc>
          <w:tcPr>
            <w:tcW w:type="dxa" w:w="950"/>
            <w:shd w:val="clear" w:color="auto" w:fill="EAF0EE"/>
          </w:tcPr>
          <w:p>
            <w:pPr>
              <w:spacing w:after="20"/>
            </w:pPr>
            <w:r>
              <w:rPr>
                <w:b/>
                <w:color w:val="1C3A36"/>
                <w:sz w:val="15"/>
              </w:rPr>
              <w:t>2028E</w:t>
            </w:r>
          </w:p>
        </w:tc>
        <w:tc>
          <w:tcPr>
            <w:tcW w:type="dxa" w:w="950"/>
            <w:shd w:val="clear" w:color="auto" w:fill="EAF0EE"/>
          </w:tcPr>
          <w:p>
            <w:pPr>
              <w:spacing w:after="20"/>
            </w:pPr>
            <w:r>
              <w:rPr>
                <w:b/>
                <w:color w:val="1C3A36"/>
                <w:sz w:val="15"/>
              </w:rPr>
              <w:t>2029E</w:t>
            </w:r>
          </w:p>
        </w:tc>
        <w:tc>
          <w:tcPr>
            <w:tcW w:type="dxa" w:w="950"/>
            <w:shd w:val="clear" w:color="auto" w:fill="EAF0EE"/>
          </w:tcPr>
          <w:p>
            <w:pPr>
              <w:spacing w:after="20"/>
            </w:pPr>
            <w:r>
              <w:rPr>
                <w:b/>
                <w:color w:val="1C3A36"/>
                <w:sz w:val="15"/>
              </w:rPr>
              <w:t>2030E</w:t>
            </w:r>
          </w:p>
        </w:tc>
      </w:tr>
      <w:tr>
        <w:tc>
          <w:tcPr>
            <w:tcW w:type="dxa" w:w="2160"/>
          </w:tcPr>
          <w:p>
            <w:pPr>
              <w:spacing w:after="20"/>
            </w:pPr>
            <w:r>
              <w:rPr>
                <w:color w:val="1C3A36"/>
                <w:sz w:val="15"/>
              </w:rPr>
              <w:t>Net sales</w:t>
            </w:r>
          </w:p>
        </w:tc>
        <w:tc>
          <w:tcPr>
            <w:tcW w:type="dxa" w:w="1037"/>
          </w:tcPr>
          <w:p>
            <w:pPr>
              <w:spacing w:after="20"/>
              <w:jc w:val="right"/>
            </w:pPr>
            <w:r>
              <w:rPr>
                <w:color w:val="1C3A36"/>
                <w:sz w:val="15"/>
              </w:rPr>
              <w:t>18,246</w:t>
            </w:r>
          </w:p>
        </w:tc>
        <w:tc>
          <w:tcPr>
            <w:tcW w:type="dxa" w:w="1037"/>
          </w:tcPr>
          <w:p>
            <w:pPr>
              <w:spacing w:after="20"/>
              <w:jc w:val="right"/>
            </w:pPr>
            <w:r>
              <w:rPr>
                <w:color w:val="1C3A36"/>
                <w:sz w:val="15"/>
              </w:rPr>
              <w:t>10,068</w:t>
            </w:r>
          </w:p>
        </w:tc>
        <w:tc>
          <w:tcPr>
            <w:tcW w:type="dxa" w:w="1037"/>
          </w:tcPr>
          <w:p>
            <w:pPr>
              <w:spacing w:after="20"/>
              <w:jc w:val="right"/>
            </w:pPr>
            <w:r>
              <w:rPr>
                <w:color w:val="1C3A36"/>
                <w:sz w:val="15"/>
              </w:rPr>
              <w:t>20,736</w:t>
            </w:r>
          </w:p>
        </w:tc>
        <w:tc>
          <w:tcPr>
            <w:tcW w:type="dxa" w:w="1037"/>
          </w:tcPr>
          <w:p>
            <w:pPr>
              <w:spacing w:after="20"/>
              <w:jc w:val="right"/>
            </w:pPr>
            <w:r>
              <w:rPr>
                <w:color w:val="1C3A36"/>
                <w:sz w:val="15"/>
              </w:rPr>
              <w:t>10,511</w:t>
            </w:r>
          </w:p>
        </w:tc>
        <w:tc>
          <w:tcPr>
            <w:tcW w:type="dxa" w:w="950"/>
          </w:tcPr>
          <w:p>
            <w:pPr>
              <w:spacing w:after="20"/>
              <w:jc w:val="right"/>
            </w:pPr>
            <w:r>
              <w:rPr>
                <w:color w:val="1C3A36"/>
                <w:sz w:val="15"/>
              </w:rPr>
              <w:t>52,841</w:t>
            </w:r>
          </w:p>
        </w:tc>
        <w:tc>
          <w:tcPr>
            <w:tcW w:type="dxa" w:w="950"/>
          </w:tcPr>
          <w:p>
            <w:pPr>
              <w:spacing w:after="20"/>
              <w:jc w:val="right"/>
            </w:pPr>
            <w:r>
              <w:rPr>
                <w:color w:val="1C3A36"/>
                <w:sz w:val="15"/>
              </w:rPr>
              <w:t>58,432</w:t>
            </w:r>
          </w:p>
        </w:tc>
        <w:tc>
          <w:tcPr>
            <w:tcW w:type="dxa" w:w="950"/>
          </w:tcPr>
          <w:p>
            <w:pPr>
              <w:spacing w:after="20"/>
              <w:jc w:val="right"/>
            </w:pPr>
            <w:r>
              <w:rPr>
                <w:color w:val="1C3A36"/>
                <w:sz w:val="15"/>
              </w:rPr>
              <w:t>63,773</w:t>
            </w:r>
          </w:p>
        </w:tc>
        <w:tc>
          <w:tcPr>
            <w:tcW w:type="dxa" w:w="950"/>
          </w:tcPr>
          <w:p>
            <w:pPr>
              <w:spacing w:after="20"/>
              <w:jc w:val="right"/>
            </w:pPr>
            <w:r>
              <w:rPr>
                <w:color w:val="1C3A36"/>
                <w:sz w:val="15"/>
              </w:rPr>
              <w:t>68,952</w:t>
            </w:r>
          </w:p>
        </w:tc>
        <w:tc>
          <w:tcPr>
            <w:tcW w:type="dxa" w:w="950"/>
          </w:tcPr>
          <w:p>
            <w:pPr>
              <w:spacing w:after="20"/>
              <w:jc w:val="right"/>
            </w:pPr>
            <w:r>
              <w:rPr>
                <w:color w:val="1C3A36"/>
                <w:sz w:val="15"/>
              </w:rPr>
              <w:t>73,978</w:t>
            </w:r>
          </w:p>
        </w:tc>
      </w:tr>
      <w:tr>
        <w:tc>
          <w:tcPr>
            <w:tcW w:type="dxa" w:w="2160"/>
          </w:tcPr>
          <w:p>
            <w:pPr>
              <w:spacing w:after="20"/>
            </w:pPr>
            <w:r>
              <w:rPr>
                <w:color w:val="1C3A36"/>
                <w:sz w:val="15"/>
              </w:rPr>
              <w:t>Cost of sales</w:t>
            </w:r>
          </w:p>
        </w:tc>
        <w:tc>
          <w:tcPr>
            <w:tcW w:type="dxa" w:w="1037"/>
          </w:tcPr>
          <w:p>
            <w:pPr>
              <w:spacing w:after="20"/>
              <w:jc w:val="right"/>
            </w:pPr>
            <w:r>
              <w:rPr>
                <w:color w:val="1C3A36"/>
                <w:sz w:val="15"/>
              </w:rPr>
              <w:t>16,995</w:t>
            </w:r>
          </w:p>
        </w:tc>
        <w:tc>
          <w:tcPr>
            <w:tcW w:type="dxa" w:w="1037"/>
          </w:tcPr>
          <w:p>
            <w:pPr>
              <w:spacing w:after="20"/>
              <w:jc w:val="right"/>
            </w:pPr>
            <w:r>
              <w:rPr>
                <w:color w:val="1C3A36"/>
                <w:sz w:val="15"/>
              </w:rPr>
              <w:t>9,560</w:t>
            </w:r>
          </w:p>
        </w:tc>
        <w:tc>
          <w:tcPr>
            <w:tcW w:type="dxa" w:w="1037"/>
          </w:tcPr>
          <w:p>
            <w:pPr>
              <w:spacing w:after="20"/>
              <w:jc w:val="right"/>
            </w:pPr>
            <w:r>
              <w:rPr>
                <w:color w:val="1C3A36"/>
                <w:sz w:val="15"/>
              </w:rPr>
              <w:t>19,462</w:t>
            </w:r>
          </w:p>
        </w:tc>
        <w:tc>
          <w:tcPr>
            <w:tcW w:type="dxa" w:w="1037"/>
          </w:tcPr>
          <w:p>
            <w:pPr>
              <w:spacing w:after="20"/>
              <w:jc w:val="right"/>
            </w:pPr>
            <w:r>
              <w:rPr>
                <w:color w:val="1C3A36"/>
                <w:sz w:val="15"/>
              </w:rPr>
              <w:t>9,440</w:t>
            </w:r>
          </w:p>
        </w:tc>
        <w:tc>
          <w:tcPr>
            <w:tcW w:type="dxa" w:w="950"/>
          </w:tcPr>
          <w:p>
            <w:pPr>
              <w:spacing w:after="20"/>
              <w:jc w:val="right"/>
            </w:pPr>
            <w:r>
              <w:rPr>
                <w:color w:val="1C3A36"/>
                <w:sz w:val="15"/>
              </w:rPr>
              <w:t>48,291</w:t>
            </w:r>
          </w:p>
        </w:tc>
        <w:tc>
          <w:tcPr>
            <w:tcW w:type="dxa" w:w="950"/>
          </w:tcPr>
          <w:p>
            <w:pPr>
              <w:spacing w:after="20"/>
              <w:jc w:val="right"/>
            </w:pPr>
            <w:r>
              <w:rPr>
                <w:color w:val="1C3A36"/>
                <w:sz w:val="15"/>
              </w:rPr>
              <w:t>53,648</w:t>
            </w:r>
          </w:p>
        </w:tc>
        <w:tc>
          <w:tcPr>
            <w:tcW w:type="dxa" w:w="950"/>
          </w:tcPr>
          <w:p>
            <w:pPr>
              <w:spacing w:after="20"/>
              <w:jc w:val="right"/>
            </w:pPr>
            <w:r>
              <w:rPr>
                <w:color w:val="1C3A36"/>
                <w:sz w:val="15"/>
              </w:rPr>
              <w:t>58,815</w:t>
            </w:r>
          </w:p>
        </w:tc>
        <w:tc>
          <w:tcPr>
            <w:tcW w:type="dxa" w:w="950"/>
          </w:tcPr>
          <w:p>
            <w:pPr>
              <w:spacing w:after="20"/>
              <w:jc w:val="right"/>
            </w:pPr>
            <w:r>
              <w:rPr>
                <w:color w:val="1C3A36"/>
                <w:sz w:val="15"/>
              </w:rPr>
              <w:t>63,848</w:t>
            </w:r>
          </w:p>
        </w:tc>
        <w:tc>
          <w:tcPr>
            <w:tcW w:type="dxa" w:w="950"/>
          </w:tcPr>
          <w:p>
            <w:pPr>
              <w:spacing w:after="20"/>
              <w:jc w:val="right"/>
            </w:pPr>
            <w:r>
              <w:rPr>
                <w:color w:val="1C3A36"/>
                <w:sz w:val="15"/>
              </w:rPr>
              <w:t>68,797</w:t>
            </w:r>
          </w:p>
        </w:tc>
      </w:tr>
      <w:tr>
        <w:tc>
          <w:tcPr>
            <w:tcW w:type="dxa" w:w="2160"/>
          </w:tcPr>
          <w:p>
            <w:pPr>
              <w:spacing w:after="20"/>
            </w:pPr>
            <w:r>
              <w:rPr>
                <w:color w:val="1C3A36"/>
                <w:sz w:val="15"/>
              </w:rPr>
              <w:t>Gross profit</w:t>
            </w:r>
          </w:p>
        </w:tc>
        <w:tc>
          <w:tcPr>
            <w:tcW w:type="dxa" w:w="1037"/>
          </w:tcPr>
          <w:p>
            <w:pPr>
              <w:spacing w:after="20"/>
              <w:jc w:val="right"/>
            </w:pPr>
            <w:r>
              <w:rPr>
                <w:color w:val="1C3A36"/>
                <w:sz w:val="15"/>
              </w:rPr>
              <w:t>1,251</w:t>
            </w:r>
          </w:p>
        </w:tc>
        <w:tc>
          <w:tcPr>
            <w:tcW w:type="dxa" w:w="1037"/>
          </w:tcPr>
          <w:p>
            <w:pPr>
              <w:spacing w:after="20"/>
              <w:jc w:val="right"/>
            </w:pPr>
            <w:r>
              <w:rPr>
                <w:color w:val="1C3A36"/>
                <w:sz w:val="15"/>
              </w:rPr>
              <w:t>509</w:t>
            </w:r>
          </w:p>
        </w:tc>
        <w:tc>
          <w:tcPr>
            <w:tcW w:type="dxa" w:w="1037"/>
          </w:tcPr>
          <w:p>
            <w:pPr>
              <w:spacing w:after="20"/>
              <w:jc w:val="right"/>
            </w:pPr>
            <w:r>
              <w:rPr>
                <w:color w:val="1C3A36"/>
                <w:sz w:val="15"/>
              </w:rPr>
              <w:t>1,274</w:t>
            </w:r>
          </w:p>
        </w:tc>
        <w:tc>
          <w:tcPr>
            <w:tcW w:type="dxa" w:w="1037"/>
          </w:tcPr>
          <w:p>
            <w:pPr>
              <w:spacing w:after="20"/>
              <w:jc w:val="right"/>
            </w:pPr>
            <w:r>
              <w:rPr>
                <w:color w:val="1C3A36"/>
                <w:sz w:val="15"/>
              </w:rPr>
              <w:t>1,071</w:t>
            </w:r>
          </w:p>
        </w:tc>
        <w:tc>
          <w:tcPr>
            <w:tcW w:type="dxa" w:w="950"/>
          </w:tcPr>
          <w:p>
            <w:pPr>
              <w:spacing w:after="20"/>
              <w:jc w:val="right"/>
            </w:pPr>
            <w:r>
              <w:rPr>
                <w:color w:val="1C3A36"/>
                <w:sz w:val="15"/>
              </w:rPr>
              <w:t>4,550</w:t>
            </w:r>
          </w:p>
        </w:tc>
        <w:tc>
          <w:tcPr>
            <w:tcW w:type="dxa" w:w="950"/>
          </w:tcPr>
          <w:p>
            <w:pPr>
              <w:spacing w:after="20"/>
              <w:jc w:val="right"/>
            </w:pPr>
            <w:r>
              <w:rPr>
                <w:color w:val="1C3A36"/>
                <w:sz w:val="15"/>
              </w:rPr>
              <w:t>4,784</w:t>
            </w:r>
          </w:p>
        </w:tc>
        <w:tc>
          <w:tcPr>
            <w:tcW w:type="dxa" w:w="950"/>
          </w:tcPr>
          <w:p>
            <w:pPr>
              <w:spacing w:after="20"/>
              <w:jc w:val="right"/>
            </w:pPr>
            <w:r>
              <w:rPr>
                <w:color w:val="1C3A36"/>
                <w:sz w:val="15"/>
              </w:rPr>
              <w:t>4,957</w:t>
            </w:r>
          </w:p>
        </w:tc>
        <w:tc>
          <w:tcPr>
            <w:tcW w:type="dxa" w:w="950"/>
          </w:tcPr>
          <w:p>
            <w:pPr>
              <w:spacing w:after="20"/>
              <w:jc w:val="right"/>
            </w:pPr>
            <w:r>
              <w:rPr>
                <w:color w:val="1C3A36"/>
                <w:sz w:val="15"/>
              </w:rPr>
              <w:t>5,105</w:t>
            </w:r>
          </w:p>
        </w:tc>
        <w:tc>
          <w:tcPr>
            <w:tcW w:type="dxa" w:w="950"/>
          </w:tcPr>
          <w:p>
            <w:pPr>
              <w:spacing w:after="20"/>
              <w:jc w:val="right"/>
            </w:pPr>
            <w:r>
              <w:rPr>
                <w:color w:val="1C3A36"/>
                <w:sz w:val="15"/>
              </w:rPr>
              <w:t>5,181</w:t>
            </w:r>
          </w:p>
        </w:tc>
      </w:tr>
      <w:tr>
        <w:tc>
          <w:tcPr>
            <w:tcW w:type="dxa" w:w="2160"/>
          </w:tcPr>
          <w:p>
            <w:pPr>
              <w:spacing w:after="20"/>
            </w:pPr>
            <w:r>
              <w:rPr>
                <w:color w:val="1C3A36"/>
                <w:sz w:val="15"/>
              </w:rPr>
              <w:t>Gross margin</w:t>
            </w:r>
          </w:p>
        </w:tc>
        <w:tc>
          <w:tcPr>
            <w:tcW w:type="dxa" w:w="1037"/>
          </w:tcPr>
          <w:p>
            <w:pPr>
              <w:spacing w:after="20"/>
              <w:jc w:val="right"/>
            </w:pPr>
            <w:r>
              <w:rPr>
                <w:color w:val="1C3A36"/>
                <w:sz w:val="15"/>
              </w:rPr>
              <w:t>6.9%</w:t>
            </w:r>
          </w:p>
        </w:tc>
        <w:tc>
          <w:tcPr>
            <w:tcW w:type="dxa" w:w="1037"/>
          </w:tcPr>
          <w:p>
            <w:pPr>
              <w:spacing w:after="20"/>
              <w:jc w:val="right"/>
            </w:pPr>
            <w:r>
              <w:rPr>
                <w:color w:val="1C3A36"/>
                <w:sz w:val="15"/>
              </w:rPr>
              <w:t>5.1%</w:t>
            </w:r>
          </w:p>
        </w:tc>
        <w:tc>
          <w:tcPr>
            <w:tcW w:type="dxa" w:w="1037"/>
          </w:tcPr>
          <w:p>
            <w:pPr>
              <w:spacing w:after="20"/>
              <w:jc w:val="right"/>
            </w:pPr>
            <w:r>
              <w:rPr>
                <w:color w:val="1C3A36"/>
                <w:sz w:val="15"/>
              </w:rPr>
              <w:t>6.1%</w:t>
            </w:r>
          </w:p>
        </w:tc>
        <w:tc>
          <w:tcPr>
            <w:tcW w:type="dxa" w:w="1037"/>
          </w:tcPr>
          <w:p>
            <w:pPr>
              <w:spacing w:after="20"/>
              <w:jc w:val="right"/>
            </w:pPr>
            <w:r>
              <w:rPr>
                <w:color w:val="1C3A36"/>
                <w:sz w:val="15"/>
              </w:rPr>
              <w:t>10.2%</w:t>
            </w:r>
          </w:p>
        </w:tc>
        <w:tc>
          <w:tcPr>
            <w:tcW w:type="dxa" w:w="950"/>
          </w:tcPr>
          <w:p>
            <w:pPr>
              <w:spacing w:after="20"/>
              <w:jc w:val="right"/>
            </w:pPr>
            <w:r>
              <w:rPr>
                <w:color w:val="1C3A36"/>
                <w:sz w:val="15"/>
              </w:rPr>
              <w:t>8.6%</w:t>
            </w:r>
          </w:p>
        </w:tc>
        <w:tc>
          <w:tcPr>
            <w:tcW w:type="dxa" w:w="950"/>
          </w:tcPr>
          <w:p>
            <w:pPr>
              <w:spacing w:after="20"/>
              <w:jc w:val="right"/>
            </w:pPr>
            <w:r>
              <w:rPr>
                <w:color w:val="1C3A36"/>
                <w:sz w:val="15"/>
              </w:rPr>
              <w:t>8.2%</w:t>
            </w:r>
          </w:p>
        </w:tc>
        <w:tc>
          <w:tcPr>
            <w:tcW w:type="dxa" w:w="950"/>
          </w:tcPr>
          <w:p>
            <w:pPr>
              <w:spacing w:after="20"/>
              <w:jc w:val="right"/>
            </w:pPr>
            <w:r>
              <w:rPr>
                <w:color w:val="1C3A36"/>
                <w:sz w:val="15"/>
              </w:rPr>
              <w:t>7.8%</w:t>
            </w:r>
          </w:p>
        </w:tc>
        <w:tc>
          <w:tcPr>
            <w:tcW w:type="dxa" w:w="950"/>
          </w:tcPr>
          <w:p>
            <w:pPr>
              <w:spacing w:after="20"/>
              <w:jc w:val="right"/>
            </w:pPr>
            <w:r>
              <w:rPr>
                <w:color w:val="1C3A36"/>
                <w:sz w:val="15"/>
              </w:rPr>
              <w:t>7.4%</w:t>
            </w:r>
          </w:p>
        </w:tc>
        <w:tc>
          <w:tcPr>
            <w:tcW w:type="dxa" w:w="950"/>
          </w:tcPr>
          <w:p>
            <w:pPr>
              <w:spacing w:after="20"/>
              <w:jc w:val="right"/>
            </w:pPr>
            <w:r>
              <w:rPr>
                <w:color w:val="1C3A36"/>
                <w:sz w:val="15"/>
              </w:rPr>
              <w:t>7.0%</w:t>
            </w:r>
          </w:p>
        </w:tc>
      </w:tr>
      <w:tr>
        <w:tc>
          <w:tcPr>
            <w:tcW w:type="dxa" w:w="2160"/>
          </w:tcPr>
          <w:p>
            <w:pPr>
              <w:spacing w:after="20"/>
            </w:pPr>
            <w:r>
              <w:rPr>
                <w:color w:val="1C3A36"/>
                <w:sz w:val="15"/>
              </w:rPr>
              <w:t>Operating profit</w:t>
            </w:r>
          </w:p>
        </w:tc>
        <w:tc>
          <w:tcPr>
            <w:tcW w:type="dxa" w:w="1037"/>
          </w:tcPr>
          <w:p>
            <w:pPr>
              <w:spacing w:after="20"/>
              <w:jc w:val="right"/>
            </w:pPr>
            <w:r>
              <w:rPr>
                <w:color w:val="1C3A36"/>
                <w:sz w:val="15"/>
              </w:rPr>
              <w:t>744</w:t>
            </w:r>
          </w:p>
        </w:tc>
        <w:tc>
          <w:tcPr>
            <w:tcW w:type="dxa" w:w="1037"/>
          </w:tcPr>
          <w:p>
            <w:pPr>
              <w:spacing w:after="20"/>
              <w:jc w:val="right"/>
            </w:pPr>
            <w:r>
              <w:rPr>
                <w:color w:val="1C3A36"/>
                <w:sz w:val="15"/>
              </w:rPr>
              <w:t>247</w:t>
            </w:r>
          </w:p>
        </w:tc>
        <w:tc>
          <w:tcPr>
            <w:tcW w:type="dxa" w:w="1037"/>
          </w:tcPr>
          <w:p>
            <w:pPr>
              <w:spacing w:after="20"/>
              <w:jc w:val="right"/>
            </w:pPr>
            <w:r>
              <w:rPr>
                <w:color w:val="1C3A36"/>
                <w:sz w:val="15"/>
              </w:rPr>
              <w:t>486</w:t>
            </w:r>
          </w:p>
        </w:tc>
        <w:tc>
          <w:tcPr>
            <w:tcW w:type="dxa" w:w="1037"/>
          </w:tcPr>
          <w:p>
            <w:pPr>
              <w:spacing w:after="20"/>
              <w:jc w:val="right"/>
            </w:pPr>
            <w:r>
              <w:rPr>
                <w:color w:val="1C3A36"/>
                <w:sz w:val="15"/>
              </w:rPr>
              <w:t>643</w:t>
            </w:r>
          </w:p>
        </w:tc>
        <w:tc>
          <w:tcPr>
            <w:tcW w:type="dxa" w:w="950"/>
          </w:tcPr>
          <w:p>
            <w:pPr>
              <w:spacing w:after="20"/>
              <w:jc w:val="right"/>
            </w:pPr>
            <w:r>
              <w:rPr>
                <w:color w:val="1C3A36"/>
                <w:sz w:val="15"/>
              </w:rPr>
              <w:t>2,368</w:t>
            </w:r>
          </w:p>
        </w:tc>
        <w:tc>
          <w:tcPr>
            <w:tcW w:type="dxa" w:w="950"/>
          </w:tcPr>
          <w:p>
            <w:pPr>
              <w:spacing w:after="20"/>
              <w:jc w:val="right"/>
            </w:pPr>
            <w:r>
              <w:rPr>
                <w:color w:val="1C3A36"/>
                <w:sz w:val="15"/>
              </w:rPr>
              <w:t>2,319</w:t>
            </w:r>
          </w:p>
        </w:tc>
        <w:tc>
          <w:tcPr>
            <w:tcW w:type="dxa" w:w="950"/>
          </w:tcPr>
          <w:p>
            <w:pPr>
              <w:spacing w:after="20"/>
              <w:jc w:val="right"/>
            </w:pPr>
            <w:r>
              <w:rPr>
                <w:color w:val="1C3A36"/>
                <w:sz w:val="15"/>
              </w:rPr>
              <w:t>2,205</w:t>
            </w:r>
          </w:p>
        </w:tc>
        <w:tc>
          <w:tcPr>
            <w:tcW w:type="dxa" w:w="950"/>
          </w:tcPr>
          <w:p>
            <w:pPr>
              <w:spacing w:after="20"/>
              <w:jc w:val="right"/>
            </w:pPr>
            <w:r>
              <w:rPr>
                <w:color w:val="1C3A36"/>
                <w:sz w:val="15"/>
              </w:rPr>
              <w:t>2,072</w:t>
            </w:r>
          </w:p>
        </w:tc>
        <w:tc>
          <w:tcPr>
            <w:tcW w:type="dxa" w:w="950"/>
          </w:tcPr>
          <w:p>
            <w:pPr>
              <w:spacing w:after="20"/>
              <w:jc w:val="right"/>
            </w:pPr>
            <w:r>
              <w:rPr>
                <w:color w:val="1C3A36"/>
                <w:sz w:val="15"/>
              </w:rPr>
              <w:t>1,855</w:t>
            </w:r>
          </w:p>
        </w:tc>
      </w:tr>
      <w:tr>
        <w:tc>
          <w:tcPr>
            <w:tcW w:type="dxa" w:w="2160"/>
          </w:tcPr>
          <w:p>
            <w:pPr>
              <w:spacing w:after="20"/>
            </w:pPr>
            <w:r>
              <w:rPr>
                <w:color w:val="1C3A36"/>
                <w:sz w:val="15"/>
              </w:rPr>
              <w:t>Net finance income</w:t>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950"/>
          </w:tcPr>
          <w:p>
            <w:pPr>
              <w:spacing w:after="20"/>
              <w:jc w:val="right"/>
            </w:pPr>
            <w:r>
              <w:rPr>
                <w:color w:val="1C3A36"/>
                <w:sz w:val="15"/>
              </w:rPr>
              <w:t>414</w:t>
            </w:r>
          </w:p>
        </w:tc>
        <w:tc>
          <w:tcPr>
            <w:tcW w:type="dxa" w:w="950"/>
          </w:tcPr>
          <w:p>
            <w:pPr>
              <w:spacing w:after="20"/>
              <w:jc w:val="right"/>
            </w:pPr>
            <w:r>
              <w:rPr>
                <w:color w:val="1C3A36"/>
                <w:sz w:val="15"/>
              </w:rPr>
              <w:t>294</w:t>
            </w:r>
          </w:p>
        </w:tc>
        <w:tc>
          <w:tcPr>
            <w:tcW w:type="dxa" w:w="950"/>
          </w:tcPr>
          <w:p>
            <w:pPr>
              <w:spacing w:after="20"/>
              <w:jc w:val="right"/>
            </w:pPr>
            <w:r>
              <w:rPr>
                <w:color w:val="1C3A36"/>
                <w:sz w:val="15"/>
              </w:rPr>
              <w:t>200</w:t>
            </w:r>
          </w:p>
        </w:tc>
        <w:tc>
          <w:tcPr>
            <w:tcW w:type="dxa" w:w="950"/>
          </w:tcPr>
          <w:p>
            <w:pPr>
              <w:spacing w:after="20"/>
              <w:jc w:val="right"/>
            </w:pPr>
            <w:r>
              <w:rPr>
                <w:color w:val="1C3A36"/>
                <w:sz w:val="15"/>
              </w:rPr>
              <w:t>127</w:t>
            </w:r>
          </w:p>
        </w:tc>
        <w:tc>
          <w:tcPr>
            <w:tcW w:type="dxa" w:w="950"/>
          </w:tcPr>
          <w:p>
            <w:pPr>
              <w:spacing w:after="20"/>
              <w:jc w:val="right"/>
            </w:pPr>
            <w:r>
              <w:rPr>
                <w:color w:val="1C3A36"/>
                <w:sz w:val="15"/>
              </w:rPr>
              <w:t>66</w:t>
            </w:r>
          </w:p>
        </w:tc>
      </w:tr>
      <w:tr>
        <w:tc>
          <w:tcPr>
            <w:tcW w:type="dxa" w:w="2160"/>
          </w:tcPr>
          <w:p>
            <w:pPr>
              <w:spacing w:after="20"/>
            </w:pPr>
            <w:r>
              <w:rPr>
                <w:color w:val="1C3A36"/>
                <w:sz w:val="15"/>
              </w:rPr>
              <w:t>Attributable profit</w:t>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950"/>
          </w:tcPr>
          <w:p>
            <w:pPr>
              <w:spacing w:after="20"/>
              <w:jc w:val="right"/>
            </w:pPr>
            <w:r>
              <w:rPr>
                <w:color w:val="1C3A36"/>
                <w:sz w:val="15"/>
              </w:rPr>
              <w:t>2,066</w:t>
            </w:r>
          </w:p>
        </w:tc>
        <w:tc>
          <w:tcPr>
            <w:tcW w:type="dxa" w:w="950"/>
          </w:tcPr>
          <w:p>
            <w:pPr>
              <w:spacing w:after="20"/>
              <w:jc w:val="right"/>
            </w:pPr>
            <w:r>
              <w:rPr>
                <w:color w:val="1C3A36"/>
                <w:sz w:val="15"/>
              </w:rPr>
              <w:t>1,940</w:t>
            </w:r>
          </w:p>
        </w:tc>
        <w:tc>
          <w:tcPr>
            <w:tcW w:type="dxa" w:w="950"/>
          </w:tcPr>
          <w:p>
            <w:pPr>
              <w:spacing w:after="20"/>
              <w:jc w:val="right"/>
            </w:pPr>
            <w:r>
              <w:rPr>
                <w:color w:val="1C3A36"/>
                <w:sz w:val="15"/>
              </w:rPr>
              <w:t>1,786</w:t>
            </w:r>
          </w:p>
        </w:tc>
        <w:tc>
          <w:tcPr>
            <w:tcW w:type="dxa" w:w="950"/>
          </w:tcPr>
          <w:p>
            <w:pPr>
              <w:spacing w:after="20"/>
              <w:jc w:val="right"/>
            </w:pPr>
            <w:r>
              <w:rPr>
                <w:color w:val="1C3A36"/>
                <w:sz w:val="15"/>
              </w:rPr>
              <w:t>1,634</w:t>
            </w:r>
          </w:p>
        </w:tc>
        <w:tc>
          <w:tcPr>
            <w:tcW w:type="dxa" w:w="950"/>
          </w:tcPr>
          <w:p>
            <w:pPr>
              <w:spacing w:after="20"/>
              <w:jc w:val="right"/>
            </w:pPr>
            <w:r>
              <w:rPr>
                <w:color w:val="1C3A36"/>
                <w:sz w:val="15"/>
              </w:rPr>
              <w:t>1,426</w:t>
            </w:r>
          </w:p>
        </w:tc>
      </w:tr>
    </w:tbl>
    <w:p>
      <w:pPr>
        <w:spacing w:after="40"/>
      </w:pPr>
    </w:p>
    <w:p>
      <w:pPr>
        <w:spacing w:after="200" w:before="0"/>
      </w:pPr>
      <w:r>
        <w:rPr>
          <w:b w:val="0"/>
          <w:i/>
          <w:color w:val="6E7B77"/>
          <w:sz w:val="17"/>
        </w:rPr>
        <w:t>Table A.1 — the four filed periods are AS FILED and are of unequal length (two six-month periods and two quarters), so they are shown as reported rather than annualised. The forecast columns are the model.</w:t>
      </w:r>
    </w:p>
    <w:p>
      <w:pPr>
        <w:spacing w:after="80" w:before="200"/>
      </w:pPr>
      <w:r>
        <w:rPr>
          <w:b/>
          <w:i w:val="0"/>
          <w:color w:val="1C3A36"/>
          <w:sz w:val="24"/>
        </w:rPr>
        <w:t>A.2  Balance sheet — as filed at 31 December 2025, and the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656"/>
        <w:gridCol w:w="1037"/>
        <w:gridCol w:w="1037"/>
        <w:gridCol w:w="1037"/>
        <w:gridCol w:w="1037"/>
        <w:gridCol w:w="1037"/>
      </w:tblGrid>
      <w:tr>
        <w:tc>
          <w:tcPr>
            <w:tcW w:type="dxa" w:w="3312"/>
            <w:shd w:val="clear" w:color="auto" w:fill="EAF0EE"/>
          </w:tcPr>
          <w:p>
            <w:pPr>
              <w:spacing w:after="20"/>
            </w:pPr>
            <w:r>
              <w:rPr>
                <w:b/>
                <w:color w:val="1C3A36"/>
                <w:sz w:val="16"/>
              </w:rPr>
            </w:r>
          </w:p>
        </w:tc>
        <w:tc>
          <w:tcPr>
            <w:tcW w:type="dxa" w:w="1656"/>
            <w:shd w:val="clear" w:color="auto" w:fill="EAF0EE"/>
          </w:tcPr>
          <w:p>
            <w:pPr>
              <w:spacing w:after="20"/>
            </w:pPr>
            <w:r>
              <w:rPr>
                <w:b/>
                <w:color w:val="1C3A36"/>
                <w:sz w:val="16"/>
              </w:rPr>
              <w:t>Filed 31-Dec-2025</w:t>
            </w:r>
          </w:p>
        </w:tc>
        <w:tc>
          <w:tcPr>
            <w:tcW w:type="dxa" w:w="1037"/>
            <w:shd w:val="clear" w:color="auto" w:fill="EAF0EE"/>
          </w:tcPr>
          <w:p>
            <w:pPr>
              <w:spacing w:after="20"/>
            </w:pPr>
            <w:r>
              <w:rPr>
                <w:b/>
                <w:color w:val="1C3A36"/>
                <w:sz w:val="16"/>
              </w:rPr>
              <w:t>2026E</w:t>
            </w:r>
          </w:p>
        </w:tc>
        <w:tc>
          <w:tcPr>
            <w:tcW w:type="dxa" w:w="1037"/>
            <w:shd w:val="clear" w:color="auto" w:fill="EAF0EE"/>
          </w:tcPr>
          <w:p>
            <w:pPr>
              <w:spacing w:after="20"/>
            </w:pPr>
            <w:r>
              <w:rPr>
                <w:b/>
                <w:color w:val="1C3A36"/>
                <w:sz w:val="16"/>
              </w:rPr>
              <w:t>2027E</w:t>
            </w:r>
          </w:p>
        </w:tc>
        <w:tc>
          <w:tcPr>
            <w:tcW w:type="dxa" w:w="1037"/>
            <w:shd w:val="clear" w:color="auto" w:fill="EAF0EE"/>
          </w:tcPr>
          <w:p>
            <w:pPr>
              <w:spacing w:after="20"/>
            </w:pPr>
            <w:r>
              <w:rPr>
                <w:b/>
                <w:color w:val="1C3A36"/>
                <w:sz w:val="16"/>
              </w:rPr>
              <w:t>2028E</w:t>
            </w:r>
          </w:p>
        </w:tc>
        <w:tc>
          <w:tcPr>
            <w:tcW w:type="dxa" w:w="1037"/>
            <w:shd w:val="clear" w:color="auto" w:fill="EAF0EE"/>
          </w:tcPr>
          <w:p>
            <w:pPr>
              <w:spacing w:after="20"/>
            </w:pPr>
            <w:r>
              <w:rPr>
                <w:b/>
                <w:color w:val="1C3A36"/>
                <w:sz w:val="16"/>
              </w:rPr>
              <w:t>2029E</w:t>
            </w:r>
          </w:p>
        </w:tc>
        <w:tc>
          <w:tcPr>
            <w:tcW w:type="dxa" w:w="1037"/>
            <w:shd w:val="clear" w:color="auto" w:fill="EAF0EE"/>
          </w:tcPr>
          <w:p>
            <w:pPr>
              <w:spacing w:after="20"/>
            </w:pPr>
            <w:r>
              <w:rPr>
                <w:b/>
                <w:color w:val="1C3A36"/>
                <w:sz w:val="16"/>
              </w:rPr>
              <w:t>2030E</w:t>
            </w:r>
          </w:p>
        </w:tc>
      </w:tr>
      <w:tr>
        <w:tc>
          <w:tcPr>
            <w:tcW w:type="dxa" w:w="3312"/>
          </w:tcPr>
          <w:p>
            <w:pPr>
              <w:spacing w:after="20"/>
            </w:pPr>
            <w:r>
              <w:rPr>
                <w:color w:val="1C3A36"/>
                <w:sz w:val="16"/>
              </w:rPr>
              <w:t>Property, plant and equipment, net</w:t>
            </w:r>
          </w:p>
        </w:tc>
        <w:tc>
          <w:tcPr>
            <w:tcW w:type="dxa" w:w="1656"/>
          </w:tcPr>
          <w:p>
            <w:pPr>
              <w:spacing w:after="20"/>
              <w:jc w:val="right"/>
            </w:pPr>
            <w:r>
              <w:rPr>
                <w:color w:val="1C3A36"/>
                <w:sz w:val="16"/>
              </w:rPr>
              <w:t>1,300</w:t>
            </w:r>
          </w:p>
        </w:tc>
        <w:tc>
          <w:tcPr>
            <w:tcW w:type="dxa" w:w="1037"/>
          </w:tcPr>
          <w:p>
            <w:pPr>
              <w:spacing w:after="20"/>
              <w:jc w:val="right"/>
            </w:pPr>
            <w:r>
              <w:rPr>
                <w:color w:val="1C3A36"/>
                <w:sz w:val="16"/>
              </w:rPr>
              <w:t>1,407</w:t>
            </w:r>
          </w:p>
        </w:tc>
        <w:tc>
          <w:tcPr>
            <w:tcW w:type="dxa" w:w="1037"/>
          </w:tcPr>
          <w:p>
            <w:pPr>
              <w:spacing w:after="20"/>
              <w:jc w:val="right"/>
            </w:pPr>
            <w:r>
              <w:rPr>
                <w:color w:val="1C3A36"/>
                <w:sz w:val="16"/>
              </w:rPr>
              <w:t>1,526</w:t>
            </w:r>
          </w:p>
        </w:tc>
        <w:tc>
          <w:tcPr>
            <w:tcW w:type="dxa" w:w="1037"/>
          </w:tcPr>
          <w:p>
            <w:pPr>
              <w:spacing w:after="20"/>
              <w:jc w:val="right"/>
            </w:pPr>
            <w:r>
              <w:rPr>
                <w:color w:val="1C3A36"/>
                <w:sz w:val="16"/>
              </w:rPr>
              <w:t>1,648</w:t>
            </w:r>
          </w:p>
        </w:tc>
        <w:tc>
          <w:tcPr>
            <w:tcW w:type="dxa" w:w="1037"/>
          </w:tcPr>
          <w:p>
            <w:pPr>
              <w:spacing w:after="20"/>
              <w:jc w:val="right"/>
            </w:pPr>
            <w:r>
              <w:rPr>
                <w:color w:val="1C3A36"/>
                <w:sz w:val="16"/>
              </w:rPr>
              <w:t>1,775</w:t>
            </w:r>
          </w:p>
        </w:tc>
        <w:tc>
          <w:tcPr>
            <w:tcW w:type="dxa" w:w="1037"/>
          </w:tcPr>
          <w:p>
            <w:pPr>
              <w:spacing w:after="20"/>
              <w:jc w:val="right"/>
            </w:pPr>
            <w:r>
              <w:rPr>
                <w:color w:val="1C3A36"/>
                <w:sz w:val="16"/>
              </w:rPr>
              <w:t>1,906</w:t>
            </w:r>
          </w:p>
        </w:tc>
      </w:tr>
      <w:tr>
        <w:tc>
          <w:tcPr>
            <w:tcW w:type="dxa" w:w="3312"/>
          </w:tcPr>
          <w:p>
            <w:pPr>
              <w:spacing w:after="20"/>
            </w:pPr>
            <w:r>
              <w:rPr>
                <w:color w:val="1C3A36"/>
                <w:sz w:val="16"/>
              </w:rPr>
              <w:t>Net working capital</w:t>
            </w:r>
          </w:p>
        </w:tc>
        <w:tc>
          <w:tcPr>
            <w:tcW w:type="dxa" w:w="1656"/>
          </w:tcPr>
          <w:p>
            <w:pPr>
              <w:spacing w:after="20"/>
              <w:jc w:val="right"/>
            </w:pPr>
            <w:r>
              <w:rPr>
                <w:color w:val="1C3A36"/>
                <w:sz w:val="16"/>
              </w:rPr>
              <w:t>2,251</w:t>
            </w:r>
          </w:p>
        </w:tc>
        <w:tc>
          <w:tcPr>
            <w:tcW w:type="dxa" w:w="1037"/>
          </w:tcPr>
          <w:p>
            <w:pPr>
              <w:spacing w:after="20"/>
              <w:jc w:val="right"/>
            </w:pPr>
            <w:r>
              <w:rPr>
                <w:color w:val="1C3A36"/>
                <w:sz w:val="16"/>
              </w:rPr>
              <w:t>2,540</w:t>
            </w:r>
          </w:p>
        </w:tc>
        <w:tc>
          <w:tcPr>
            <w:tcW w:type="dxa" w:w="1037"/>
          </w:tcPr>
          <w:p>
            <w:pPr>
              <w:spacing w:after="20"/>
              <w:jc w:val="right"/>
            </w:pPr>
            <w:r>
              <w:rPr>
                <w:color w:val="1C3A36"/>
                <w:sz w:val="16"/>
              </w:rPr>
              <w:t>2,816</w:t>
            </w:r>
          </w:p>
        </w:tc>
        <w:tc>
          <w:tcPr>
            <w:tcW w:type="dxa" w:w="1037"/>
          </w:tcPr>
          <w:p>
            <w:pPr>
              <w:spacing w:after="20"/>
              <w:jc w:val="right"/>
            </w:pPr>
            <w:r>
              <w:rPr>
                <w:color w:val="1C3A36"/>
                <w:sz w:val="16"/>
              </w:rPr>
              <w:t>3,081</w:t>
            </w:r>
          </w:p>
        </w:tc>
        <w:tc>
          <w:tcPr>
            <w:tcW w:type="dxa" w:w="1037"/>
          </w:tcPr>
          <w:p>
            <w:pPr>
              <w:spacing w:after="20"/>
              <w:jc w:val="right"/>
            </w:pPr>
            <w:r>
              <w:rPr>
                <w:color w:val="1C3A36"/>
                <w:sz w:val="16"/>
              </w:rPr>
              <w:t>3,340</w:t>
            </w:r>
          </w:p>
        </w:tc>
        <w:tc>
          <w:tcPr>
            <w:tcW w:type="dxa" w:w="1037"/>
          </w:tcPr>
          <w:p>
            <w:pPr>
              <w:spacing w:after="20"/>
              <w:jc w:val="right"/>
            </w:pPr>
            <w:r>
              <w:rPr>
                <w:color w:val="1C3A36"/>
                <w:sz w:val="16"/>
              </w:rPr>
              <w:t>3,592</w:t>
            </w:r>
          </w:p>
        </w:tc>
      </w:tr>
      <w:tr>
        <w:tc>
          <w:tcPr>
            <w:tcW w:type="dxa" w:w="3312"/>
            <w:shd w:val="clear" w:color="auto" w:fill="F6F1E6"/>
          </w:tcPr>
          <w:p>
            <w:pPr>
              <w:spacing w:after="20"/>
            </w:pPr>
            <w:r>
              <w:rPr>
                <w:b/>
                <w:color w:val="1C3A36"/>
                <w:sz w:val="16"/>
              </w:rPr>
              <w:t>INVESTED CAPITAL</w:t>
            </w:r>
          </w:p>
        </w:tc>
        <w:tc>
          <w:tcPr>
            <w:tcW w:type="dxa" w:w="1656"/>
            <w:shd w:val="clear" w:color="auto" w:fill="F6F1E6"/>
          </w:tcPr>
          <w:p>
            <w:pPr>
              <w:spacing w:after="20"/>
              <w:jc w:val="right"/>
            </w:pPr>
            <w:r>
              <w:rPr>
                <w:b/>
                <w:color w:val="1C3A36"/>
                <w:sz w:val="16"/>
              </w:rPr>
              <w:t>3,552</w:t>
            </w:r>
          </w:p>
        </w:tc>
        <w:tc>
          <w:tcPr>
            <w:tcW w:type="dxa" w:w="1037"/>
            <w:shd w:val="clear" w:color="auto" w:fill="F6F1E6"/>
          </w:tcPr>
          <w:p>
            <w:pPr>
              <w:spacing w:after="20"/>
              <w:jc w:val="right"/>
            </w:pPr>
            <w:r>
              <w:rPr>
                <w:b/>
                <w:color w:val="1C3A36"/>
                <w:sz w:val="16"/>
              </w:rPr>
              <w:t>3,947</w:t>
            </w:r>
          </w:p>
        </w:tc>
        <w:tc>
          <w:tcPr>
            <w:tcW w:type="dxa" w:w="1037"/>
            <w:shd w:val="clear" w:color="auto" w:fill="F6F1E6"/>
          </w:tcPr>
          <w:p>
            <w:pPr>
              <w:spacing w:after="20"/>
              <w:jc w:val="right"/>
            </w:pPr>
            <w:r>
              <w:rPr>
                <w:b/>
                <w:color w:val="1C3A36"/>
                <w:sz w:val="16"/>
              </w:rPr>
              <w:t>4,342</w:t>
            </w:r>
          </w:p>
        </w:tc>
        <w:tc>
          <w:tcPr>
            <w:tcW w:type="dxa" w:w="1037"/>
            <w:shd w:val="clear" w:color="auto" w:fill="F6F1E6"/>
          </w:tcPr>
          <w:p>
            <w:pPr>
              <w:spacing w:after="20"/>
              <w:jc w:val="right"/>
            </w:pPr>
            <w:r>
              <w:rPr>
                <w:b/>
                <w:color w:val="1C3A36"/>
                <w:sz w:val="16"/>
              </w:rPr>
              <w:t>4,729</w:t>
            </w:r>
          </w:p>
        </w:tc>
        <w:tc>
          <w:tcPr>
            <w:tcW w:type="dxa" w:w="1037"/>
            <w:shd w:val="clear" w:color="auto" w:fill="F6F1E6"/>
          </w:tcPr>
          <w:p>
            <w:pPr>
              <w:spacing w:after="20"/>
              <w:jc w:val="right"/>
            </w:pPr>
            <w:r>
              <w:rPr>
                <w:b/>
                <w:color w:val="1C3A36"/>
                <w:sz w:val="16"/>
              </w:rPr>
              <w:t>5,114</w:t>
            </w:r>
          </w:p>
        </w:tc>
        <w:tc>
          <w:tcPr>
            <w:tcW w:type="dxa" w:w="1037"/>
            <w:shd w:val="clear" w:color="auto" w:fill="F6F1E6"/>
          </w:tcPr>
          <w:p>
            <w:pPr>
              <w:spacing w:after="20"/>
              <w:jc w:val="right"/>
            </w:pPr>
            <w:r>
              <w:rPr>
                <w:b/>
                <w:color w:val="1C3A36"/>
                <w:sz w:val="16"/>
              </w:rPr>
              <w:t>5,498</w:t>
            </w:r>
          </w:p>
        </w:tc>
      </w:tr>
      <w:tr>
        <w:tc>
          <w:tcPr>
            <w:tcW w:type="dxa" w:w="3312"/>
          </w:tcPr>
          <w:p>
            <w:pPr>
              <w:spacing w:after="20"/>
            </w:pPr>
            <w:r>
              <w:rPr>
                <w:color w:val="1C3A36"/>
                <w:sz w:val="16"/>
              </w:rPr>
              <w:t>Cash and equivalents, free</w:t>
            </w:r>
          </w:p>
        </w:tc>
        <w:tc>
          <w:tcPr>
            <w:tcW w:type="dxa" w:w="1656"/>
          </w:tcPr>
          <w:p>
            <w:pPr>
              <w:spacing w:after="20"/>
              <w:jc w:val="right"/>
            </w:pPr>
            <w:r>
              <w:rPr>
                <w:color w:val="1C3A36"/>
                <w:sz w:val="16"/>
              </w:rPr>
              <w:t>2,464</w:t>
            </w:r>
          </w:p>
        </w:tc>
        <w:tc>
          <w:tcPr>
            <w:tcW w:type="dxa" w:w="1037"/>
          </w:tcPr>
          <w:p>
            <w:pPr>
              <w:spacing w:after="20"/>
              <w:jc w:val="right"/>
            </w:pPr>
            <w:r>
              <w:rPr>
                <w:color w:val="1C3A36"/>
                <w:sz w:val="16"/>
              </w:rPr>
              <w:t>1,986</w:t>
            </w:r>
          </w:p>
        </w:tc>
        <w:tc>
          <w:tcPr>
            <w:tcW w:type="dxa" w:w="1037"/>
          </w:tcPr>
          <w:p>
            <w:pPr>
              <w:spacing w:after="20"/>
              <w:jc w:val="right"/>
            </w:pPr>
            <w:r>
              <w:rPr>
                <w:color w:val="1C3A36"/>
                <w:sz w:val="16"/>
              </w:rPr>
              <w:t>1,511</w:t>
            </w:r>
          </w:p>
        </w:tc>
        <w:tc>
          <w:tcPr>
            <w:tcW w:type="dxa" w:w="1037"/>
          </w:tcPr>
          <w:p>
            <w:pPr>
              <w:spacing w:after="20"/>
              <w:jc w:val="right"/>
            </w:pPr>
            <w:r>
              <w:rPr>
                <w:color w:val="1C3A36"/>
                <w:sz w:val="16"/>
              </w:rPr>
              <w:t>1,045</w:t>
            </w:r>
          </w:p>
        </w:tc>
        <w:tc>
          <w:tcPr>
            <w:tcW w:type="dxa" w:w="1037"/>
          </w:tcPr>
          <w:p>
            <w:pPr>
              <w:spacing w:after="20"/>
              <w:jc w:val="right"/>
            </w:pPr>
            <w:r>
              <w:rPr>
                <w:color w:val="1C3A36"/>
                <w:sz w:val="16"/>
              </w:rPr>
              <w:t>586</w:t>
            </w:r>
          </w:p>
        </w:tc>
        <w:tc>
          <w:tcPr>
            <w:tcW w:type="dxa" w:w="1037"/>
          </w:tcPr>
          <w:p>
            <w:pPr>
              <w:spacing w:after="20"/>
              <w:jc w:val="right"/>
            </w:pPr>
            <w:r>
              <w:rPr>
                <w:color w:val="1C3A36"/>
                <w:sz w:val="16"/>
              </w:rPr>
              <w:t>136</w:t>
            </w:r>
          </w:p>
        </w:tc>
      </w:tr>
      <w:tr>
        <w:tc>
          <w:tcPr>
            <w:tcW w:type="dxa" w:w="3312"/>
          </w:tcPr>
          <w:p>
            <w:pPr>
              <w:spacing w:after="20"/>
            </w:pPr>
            <w:r>
              <w:rPr>
                <w:color w:val="1C3A36"/>
                <w:sz w:val="16"/>
              </w:rPr>
              <w:t>Net debt (negative = net cash)</w:t>
            </w:r>
          </w:p>
        </w:tc>
        <w:tc>
          <w:tcPr>
            <w:tcW w:type="dxa" w:w="1656"/>
          </w:tcPr>
          <w:p>
            <w:pPr>
              <w:spacing w:after="20"/>
              <w:jc w:val="right"/>
            </w:pPr>
            <w:r>
              <w:rPr>
                <w:color w:val="1C3A36"/>
                <w:sz w:val="16"/>
              </w:rPr>
              <w:t>-2,443</w:t>
            </w:r>
          </w:p>
        </w:tc>
        <w:tc>
          <w:tcPr>
            <w:tcW w:type="dxa" w:w="1037"/>
          </w:tcPr>
          <w:p>
            <w:pPr>
              <w:spacing w:after="20"/>
              <w:jc w:val="right"/>
            </w:pPr>
            <w:r>
              <w:rPr>
                <w:color w:val="1C3A36"/>
                <w:sz w:val="16"/>
              </w:rPr>
              <w:t>-1,965</w:t>
            </w:r>
          </w:p>
        </w:tc>
        <w:tc>
          <w:tcPr>
            <w:tcW w:type="dxa" w:w="1037"/>
          </w:tcPr>
          <w:p>
            <w:pPr>
              <w:spacing w:after="20"/>
              <w:jc w:val="right"/>
            </w:pPr>
            <w:r>
              <w:rPr>
                <w:color w:val="1C3A36"/>
                <w:sz w:val="16"/>
              </w:rPr>
              <w:t>-1,490</w:t>
            </w:r>
          </w:p>
        </w:tc>
        <w:tc>
          <w:tcPr>
            <w:tcW w:type="dxa" w:w="1037"/>
          </w:tcPr>
          <w:p>
            <w:pPr>
              <w:spacing w:after="20"/>
              <w:jc w:val="right"/>
            </w:pPr>
            <w:r>
              <w:rPr>
                <w:color w:val="1C3A36"/>
                <w:sz w:val="16"/>
              </w:rPr>
              <w:t>-1,024</w:t>
            </w:r>
          </w:p>
        </w:tc>
        <w:tc>
          <w:tcPr>
            <w:tcW w:type="dxa" w:w="1037"/>
          </w:tcPr>
          <w:p>
            <w:pPr>
              <w:spacing w:after="20"/>
              <w:jc w:val="right"/>
            </w:pPr>
            <w:r>
              <w:rPr>
                <w:color w:val="1C3A36"/>
                <w:sz w:val="16"/>
              </w:rPr>
              <w:t>-565</w:t>
            </w:r>
          </w:p>
        </w:tc>
        <w:tc>
          <w:tcPr>
            <w:tcW w:type="dxa" w:w="1037"/>
          </w:tcPr>
          <w:p>
            <w:pPr>
              <w:spacing w:after="20"/>
              <w:jc w:val="right"/>
            </w:pPr>
            <w:r>
              <w:rPr>
                <w:color w:val="1C3A36"/>
                <w:sz w:val="16"/>
              </w:rPr>
              <w:t>-115</w:t>
            </w:r>
          </w:p>
        </w:tc>
      </w:tr>
      <w:tr>
        <w:tc>
          <w:tcPr>
            <w:tcW w:type="dxa" w:w="3312"/>
          </w:tcPr>
          <w:p>
            <w:pPr>
              <w:spacing w:after="20"/>
            </w:pPr>
            <w:r>
              <w:rPr>
                <w:color w:val="1C3A36"/>
                <w:sz w:val="16"/>
              </w:rPr>
              <w:t>Parent equity</w:t>
            </w:r>
          </w:p>
        </w:tc>
        <w:tc>
          <w:tcPr>
            <w:tcW w:type="dxa" w:w="1656"/>
          </w:tcPr>
          <w:p>
            <w:pPr>
              <w:spacing w:after="20"/>
              <w:jc w:val="right"/>
            </w:pPr>
            <w:r>
              <w:rPr>
                <w:color w:val="1C3A36"/>
                <w:sz w:val="16"/>
              </w:rPr>
              <w:t>4,791</w:t>
            </w:r>
          </w:p>
        </w:tc>
        <w:tc>
          <w:tcPr>
            <w:tcW w:type="dxa" w:w="1037"/>
          </w:tcPr>
          <w:p>
            <w:pPr>
              <w:spacing w:after="20"/>
              <w:jc w:val="right"/>
            </w:pPr>
            <w:r>
              <w:rPr>
                <w:color w:val="1C3A36"/>
                <w:sz w:val="16"/>
              </w:rPr>
              <w:t>4,714</w:t>
            </w:r>
          </w:p>
        </w:tc>
        <w:tc>
          <w:tcPr>
            <w:tcW w:type="dxa" w:w="1037"/>
          </w:tcPr>
          <w:p>
            <w:pPr>
              <w:spacing w:after="20"/>
              <w:jc w:val="right"/>
            </w:pPr>
            <w:r>
              <w:rPr>
                <w:color w:val="1C3A36"/>
                <w:sz w:val="16"/>
              </w:rPr>
              <w:t>4,642</w:t>
            </w:r>
          </w:p>
        </w:tc>
        <w:tc>
          <w:tcPr>
            <w:tcW w:type="dxa" w:w="1037"/>
          </w:tcPr>
          <w:p>
            <w:pPr>
              <w:spacing w:after="20"/>
              <w:jc w:val="right"/>
            </w:pPr>
            <w:r>
              <w:rPr>
                <w:color w:val="1C3A36"/>
                <w:sz w:val="16"/>
              </w:rPr>
              <w:t>4,575</w:t>
            </w:r>
          </w:p>
        </w:tc>
        <w:tc>
          <w:tcPr>
            <w:tcW w:type="dxa" w:w="1037"/>
          </w:tcPr>
          <w:p>
            <w:pPr>
              <w:spacing w:after="20"/>
              <w:jc w:val="right"/>
            </w:pPr>
            <w:r>
              <w:rPr>
                <w:color w:val="1C3A36"/>
                <w:sz w:val="16"/>
              </w:rPr>
              <w:t>4,515</w:t>
            </w:r>
          </w:p>
        </w:tc>
        <w:tc>
          <w:tcPr>
            <w:tcW w:type="dxa" w:w="1037"/>
          </w:tcPr>
          <w:p>
            <w:pPr>
              <w:spacing w:after="20"/>
              <w:jc w:val="right"/>
            </w:pPr>
            <w:r>
              <w:rPr>
                <w:color w:val="1C3A36"/>
                <w:sz w:val="16"/>
              </w:rPr>
              <w:t>4,462</w:t>
            </w:r>
          </w:p>
        </w:tc>
      </w:tr>
      <w:tr>
        <w:tc>
          <w:tcPr>
            <w:tcW w:type="dxa" w:w="3312"/>
          </w:tcPr>
          <w:p>
            <w:pPr>
              <w:spacing w:after="20"/>
            </w:pPr>
            <w:r>
              <w:rPr>
                <w:color w:val="1C3A36"/>
                <w:sz w:val="16"/>
              </w:rPr>
              <w:t>Total assets, as filed</w:t>
            </w:r>
          </w:p>
        </w:tc>
        <w:tc>
          <w:tcPr>
            <w:tcW w:type="dxa" w:w="1656"/>
          </w:tcPr>
          <w:p>
            <w:pPr>
              <w:spacing w:after="20"/>
              <w:jc w:val="right"/>
            </w:pPr>
            <w:r>
              <w:rPr>
                <w:color w:val="1C3A36"/>
                <w:sz w:val="16"/>
              </w:rPr>
              <w:t>8,136</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r>
        <w:tc>
          <w:tcPr>
            <w:tcW w:type="dxa" w:w="3312"/>
          </w:tcPr>
          <w:p>
            <w:pPr>
              <w:spacing w:after="20"/>
            </w:pPr>
            <w:r>
              <w:rPr>
                <w:color w:val="1C3A36"/>
                <w:sz w:val="16"/>
              </w:rPr>
              <w:t>Total liabilities, as filed</w:t>
            </w:r>
          </w:p>
        </w:tc>
        <w:tc>
          <w:tcPr>
            <w:tcW w:type="dxa" w:w="1656"/>
          </w:tcPr>
          <w:p>
            <w:pPr>
              <w:spacing w:after="20"/>
              <w:jc w:val="right"/>
            </w:pPr>
            <w:r>
              <w:rPr>
                <w:color w:val="1C3A36"/>
                <w:sz w:val="16"/>
              </w:rPr>
              <w:t>3,312</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r>
        <w:tc>
          <w:tcPr>
            <w:tcW w:type="dxa" w:w="3312"/>
          </w:tcPr>
          <w:p>
            <w:pPr>
              <w:spacing w:after="20"/>
            </w:pPr>
            <w:r>
              <w:rPr>
                <w:color w:val="1C3A36"/>
                <w:sz w:val="16"/>
              </w:rPr>
              <w:t>Non-controlling interest, carrying</w:t>
            </w:r>
          </w:p>
        </w:tc>
        <w:tc>
          <w:tcPr>
            <w:tcW w:type="dxa" w:w="1656"/>
          </w:tcPr>
          <w:p>
            <w:pPr>
              <w:spacing w:after="20"/>
              <w:jc w:val="right"/>
            </w:pPr>
            <w:r>
              <w:rPr>
                <w:color w:val="1C3A36"/>
                <w:sz w:val="16"/>
              </w:rPr>
              <w:t>34</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bl>
    <w:p>
      <w:pPr>
        <w:spacing w:after="40"/>
      </w:pPr>
    </w:p>
    <w:p>
      <w:pPr>
        <w:spacing w:after="200" w:before="0"/>
      </w:pPr>
      <w:r>
        <w:rPr>
          <w:b w:val="0"/>
          <w:i/>
          <w:color w:val="6E7B77"/>
          <w:sz w:val="17"/>
        </w:rPr>
        <w:t>Table A.2 — the filed column foots: total assets less total liabilities less parent equity less the non-controlling interest is zero, and that identity is asserted in the build. Working capital is stated NET of the declared dividend, which is carried in the bridge instead — the previous edition left a shareholder distribution inside the operating capital ratio that drives the change in working capital in every forecast year.</w:t>
      </w:r>
    </w:p>
    <w:p>
      <w:pPr>
        <w:spacing w:after="80" w:before="200"/>
      </w:pPr>
      <w:r>
        <w:rPr>
          <w:b/>
          <w:i w:val="0"/>
          <w:color w:val="1C3A36"/>
          <w:sz w:val="24"/>
        </w:rPr>
        <w:t>A.3  Cash flow — the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88"/>
        <w:gridCol w:w="1195"/>
        <w:gridCol w:w="1195"/>
        <w:gridCol w:w="1195"/>
        <w:gridCol w:w="1195"/>
        <w:gridCol w:w="1195"/>
      </w:tblGrid>
      <w:tr>
        <w:tc>
          <w:tcPr>
            <w:tcW w:type="dxa" w:w="3888"/>
            <w:shd w:val="clear" w:color="auto" w:fill="EAF0EE"/>
          </w:tcPr>
          <w:p>
            <w:pPr>
              <w:spacing w:after="20"/>
            </w:pPr>
            <w:r>
              <w:rPr>
                <w:b/>
                <w:color w:val="1C3A36"/>
                <w:sz w:val="16"/>
              </w:rPr>
            </w:r>
          </w:p>
        </w:tc>
        <w:tc>
          <w:tcPr>
            <w:tcW w:type="dxa" w:w="1195"/>
            <w:shd w:val="clear" w:color="auto" w:fill="EAF0EE"/>
          </w:tcPr>
          <w:p>
            <w:pPr>
              <w:spacing w:after="20"/>
            </w:pPr>
            <w:r>
              <w:rPr>
                <w:b/>
                <w:color w:val="1C3A36"/>
                <w:sz w:val="16"/>
              </w:rPr>
              <w:t>2026E</w:t>
            </w:r>
          </w:p>
        </w:tc>
        <w:tc>
          <w:tcPr>
            <w:tcW w:type="dxa" w:w="1195"/>
            <w:shd w:val="clear" w:color="auto" w:fill="EAF0EE"/>
          </w:tcPr>
          <w:p>
            <w:pPr>
              <w:spacing w:after="20"/>
            </w:pPr>
            <w:r>
              <w:rPr>
                <w:b/>
                <w:color w:val="1C3A36"/>
                <w:sz w:val="16"/>
              </w:rPr>
              <w:t>2027E</w:t>
            </w:r>
          </w:p>
        </w:tc>
        <w:tc>
          <w:tcPr>
            <w:tcW w:type="dxa" w:w="1195"/>
            <w:shd w:val="clear" w:color="auto" w:fill="EAF0EE"/>
          </w:tcPr>
          <w:p>
            <w:pPr>
              <w:spacing w:after="20"/>
            </w:pPr>
            <w:r>
              <w:rPr>
                <w:b/>
                <w:color w:val="1C3A36"/>
                <w:sz w:val="16"/>
              </w:rPr>
              <w:t>2028E</w:t>
            </w:r>
          </w:p>
        </w:tc>
        <w:tc>
          <w:tcPr>
            <w:tcW w:type="dxa" w:w="1195"/>
            <w:shd w:val="clear" w:color="auto" w:fill="EAF0EE"/>
          </w:tcPr>
          <w:p>
            <w:pPr>
              <w:spacing w:after="20"/>
            </w:pPr>
            <w:r>
              <w:rPr>
                <w:b/>
                <w:color w:val="1C3A36"/>
                <w:sz w:val="16"/>
              </w:rPr>
              <w:t>2029E</w:t>
            </w:r>
          </w:p>
        </w:tc>
        <w:tc>
          <w:tcPr>
            <w:tcW w:type="dxa" w:w="1195"/>
            <w:shd w:val="clear" w:color="auto" w:fill="EAF0EE"/>
          </w:tcPr>
          <w:p>
            <w:pPr>
              <w:spacing w:after="20"/>
            </w:pPr>
            <w:r>
              <w:rPr>
                <w:b/>
                <w:color w:val="1C3A36"/>
                <w:sz w:val="16"/>
              </w:rPr>
              <w:t>2030E</w:t>
            </w:r>
          </w:p>
        </w:tc>
      </w:tr>
      <w:tr>
        <w:tc>
          <w:tcPr>
            <w:tcW w:type="dxa" w:w="3888"/>
          </w:tcPr>
          <w:p>
            <w:pPr>
              <w:spacing w:after="20"/>
            </w:pPr>
            <w:r>
              <w:rPr>
                <w:color w:val="1C3A36"/>
                <w:sz w:val="16"/>
              </w:rPr>
              <w:t>NOPAT, after the employees’ profit share</w:t>
            </w:r>
          </w:p>
        </w:tc>
        <w:tc>
          <w:tcPr>
            <w:tcW w:type="dxa" w:w="1195"/>
          </w:tcPr>
          <w:p>
            <w:pPr>
              <w:spacing w:after="20"/>
              <w:jc w:val="right"/>
            </w:pPr>
            <w:r>
              <w:rPr>
                <w:color w:val="1C3A36"/>
                <w:sz w:val="16"/>
              </w:rPr>
              <w:t>1,739</w:t>
            </w:r>
          </w:p>
        </w:tc>
        <w:tc>
          <w:tcPr>
            <w:tcW w:type="dxa" w:w="1195"/>
          </w:tcPr>
          <w:p>
            <w:pPr>
              <w:spacing w:after="20"/>
              <w:jc w:val="right"/>
            </w:pPr>
            <w:r>
              <w:rPr>
                <w:color w:val="1C3A36"/>
                <w:sz w:val="16"/>
              </w:rPr>
              <w:t>1,702</w:t>
            </w:r>
          </w:p>
        </w:tc>
        <w:tc>
          <w:tcPr>
            <w:tcW w:type="dxa" w:w="1195"/>
          </w:tcPr>
          <w:p>
            <w:pPr>
              <w:spacing w:after="20"/>
              <w:jc w:val="right"/>
            </w:pPr>
            <w:r>
              <w:rPr>
                <w:color w:val="1C3A36"/>
                <w:sz w:val="16"/>
              </w:rPr>
              <w:t>1,619</w:t>
            </w:r>
          </w:p>
        </w:tc>
        <w:tc>
          <w:tcPr>
            <w:tcW w:type="dxa" w:w="1195"/>
          </w:tcPr>
          <w:p>
            <w:pPr>
              <w:spacing w:after="20"/>
              <w:jc w:val="right"/>
            </w:pPr>
            <w:r>
              <w:rPr>
                <w:color w:val="1C3A36"/>
                <w:sz w:val="16"/>
              </w:rPr>
              <w:t>1,521</w:t>
            </w:r>
          </w:p>
        </w:tc>
        <w:tc>
          <w:tcPr>
            <w:tcW w:type="dxa" w:w="1195"/>
          </w:tcPr>
          <w:p>
            <w:pPr>
              <w:spacing w:after="20"/>
              <w:jc w:val="right"/>
            </w:pPr>
            <w:r>
              <w:rPr>
                <w:color w:val="1C3A36"/>
                <w:sz w:val="16"/>
              </w:rPr>
              <w:t>1,362</w:t>
            </w:r>
          </w:p>
        </w:tc>
      </w:tr>
      <w:tr>
        <w:tc>
          <w:tcPr>
            <w:tcW w:type="dxa" w:w="3888"/>
          </w:tcPr>
          <w:p>
            <w:pPr>
              <w:spacing w:after="20"/>
            </w:pPr>
            <w:r>
              <w:rPr>
                <w:color w:val="1C3A36"/>
                <w:sz w:val="16"/>
              </w:rPr>
              <w:t>plus depreciation</w:t>
            </w:r>
          </w:p>
        </w:tc>
        <w:tc>
          <w:tcPr>
            <w:tcW w:type="dxa" w:w="1195"/>
          </w:tcPr>
          <w:p>
            <w:pPr>
              <w:spacing w:after="20"/>
              <w:jc w:val="right"/>
            </w:pPr>
            <w:r>
              <w:rPr>
                <w:color w:val="1C3A36"/>
                <w:sz w:val="16"/>
              </w:rPr>
              <w:t>174</w:t>
            </w:r>
          </w:p>
        </w:tc>
        <w:tc>
          <w:tcPr>
            <w:tcW w:type="dxa" w:w="1195"/>
          </w:tcPr>
          <w:p>
            <w:pPr>
              <w:spacing w:after="20"/>
              <w:jc w:val="right"/>
            </w:pPr>
            <w:r>
              <w:rPr>
                <w:color w:val="1C3A36"/>
                <w:sz w:val="16"/>
              </w:rPr>
              <w:t>189</w:t>
            </w:r>
          </w:p>
        </w:tc>
        <w:tc>
          <w:tcPr>
            <w:tcW w:type="dxa" w:w="1195"/>
          </w:tcPr>
          <w:p>
            <w:pPr>
              <w:spacing w:after="20"/>
              <w:jc w:val="right"/>
            </w:pPr>
            <w:r>
              <w:rPr>
                <w:color w:val="1C3A36"/>
                <w:sz w:val="16"/>
              </w:rPr>
              <w:t>206</w:t>
            </w:r>
          </w:p>
        </w:tc>
        <w:tc>
          <w:tcPr>
            <w:tcW w:type="dxa" w:w="1195"/>
          </w:tcPr>
          <w:p>
            <w:pPr>
              <w:spacing w:after="20"/>
              <w:jc w:val="right"/>
            </w:pPr>
            <w:r>
              <w:rPr>
                <w:color w:val="1C3A36"/>
                <w:sz w:val="16"/>
              </w:rPr>
              <w:t>224</w:t>
            </w:r>
          </w:p>
        </w:tc>
        <w:tc>
          <w:tcPr>
            <w:tcW w:type="dxa" w:w="1195"/>
          </w:tcPr>
          <w:p>
            <w:pPr>
              <w:spacing w:after="20"/>
              <w:jc w:val="right"/>
            </w:pPr>
            <w:r>
              <w:rPr>
                <w:color w:val="1C3A36"/>
                <w:sz w:val="16"/>
              </w:rPr>
              <w:t>244</w:t>
            </w:r>
          </w:p>
        </w:tc>
      </w:tr>
      <w:tr>
        <w:tc>
          <w:tcPr>
            <w:tcW w:type="dxa" w:w="3888"/>
          </w:tcPr>
          <w:p>
            <w:pPr>
              <w:spacing w:after="20"/>
            </w:pPr>
            <w:r>
              <w:rPr>
                <w:color w:val="1C3A36"/>
                <w:sz w:val="16"/>
              </w:rPr>
              <w:t>less capital expenditure</w:t>
            </w:r>
          </w:p>
        </w:tc>
        <w:tc>
          <w:tcPr>
            <w:tcW w:type="dxa" w:w="1195"/>
          </w:tcPr>
          <w:p>
            <w:pPr>
              <w:spacing w:after="20"/>
              <w:jc w:val="right"/>
            </w:pPr>
            <w:r>
              <w:rPr>
                <w:color w:val="1C3A36"/>
                <w:sz w:val="16"/>
              </w:rPr>
              <w:t>(281)</w:t>
            </w:r>
          </w:p>
        </w:tc>
        <w:tc>
          <w:tcPr>
            <w:tcW w:type="dxa" w:w="1195"/>
          </w:tcPr>
          <w:p>
            <w:pPr>
              <w:spacing w:after="20"/>
              <w:jc w:val="right"/>
            </w:pPr>
            <w:r>
              <w:rPr>
                <w:color w:val="1C3A36"/>
                <w:sz w:val="16"/>
              </w:rPr>
              <w:t>(307)</w:t>
            </w:r>
          </w:p>
        </w:tc>
        <w:tc>
          <w:tcPr>
            <w:tcW w:type="dxa" w:w="1195"/>
          </w:tcPr>
          <w:p>
            <w:pPr>
              <w:spacing w:after="20"/>
              <w:jc w:val="right"/>
            </w:pPr>
            <w:r>
              <w:rPr>
                <w:color w:val="1C3A36"/>
                <w:sz w:val="16"/>
              </w:rPr>
              <w:t>(329)</w:t>
            </w:r>
          </w:p>
        </w:tc>
        <w:tc>
          <w:tcPr>
            <w:tcW w:type="dxa" w:w="1195"/>
          </w:tcPr>
          <w:p>
            <w:pPr>
              <w:spacing w:after="20"/>
              <w:jc w:val="right"/>
            </w:pPr>
            <w:r>
              <w:rPr>
                <w:color w:val="1C3A36"/>
                <w:sz w:val="16"/>
              </w:rPr>
              <w:t>(351)</w:t>
            </w:r>
          </w:p>
        </w:tc>
        <w:tc>
          <w:tcPr>
            <w:tcW w:type="dxa" w:w="1195"/>
          </w:tcPr>
          <w:p>
            <w:pPr>
              <w:spacing w:after="20"/>
              <w:jc w:val="right"/>
            </w:pPr>
            <w:r>
              <w:rPr>
                <w:color w:val="1C3A36"/>
                <w:sz w:val="16"/>
              </w:rPr>
              <w:t>(375)</w:t>
            </w:r>
          </w:p>
        </w:tc>
      </w:tr>
      <w:tr>
        <w:tc>
          <w:tcPr>
            <w:tcW w:type="dxa" w:w="3888"/>
          </w:tcPr>
          <w:p>
            <w:pPr>
              <w:spacing w:after="20"/>
            </w:pPr>
            <w:r>
              <w:rPr>
                <w:color w:val="1C3A36"/>
                <w:sz w:val="16"/>
              </w:rPr>
              <w:t>less change in working capital</w:t>
            </w:r>
          </w:p>
        </w:tc>
        <w:tc>
          <w:tcPr>
            <w:tcW w:type="dxa" w:w="1195"/>
          </w:tcPr>
          <w:p>
            <w:pPr>
              <w:spacing w:after="20"/>
              <w:jc w:val="right"/>
            </w:pPr>
            <w:r>
              <w:rPr>
                <w:color w:val="1C3A36"/>
                <w:sz w:val="16"/>
              </w:rPr>
              <w:t>(288)</w:t>
            </w:r>
          </w:p>
        </w:tc>
        <w:tc>
          <w:tcPr>
            <w:tcW w:type="dxa" w:w="1195"/>
          </w:tcPr>
          <w:p>
            <w:pPr>
              <w:spacing w:after="20"/>
              <w:jc w:val="right"/>
            </w:pPr>
            <w:r>
              <w:rPr>
                <w:color w:val="1C3A36"/>
                <w:sz w:val="16"/>
              </w:rPr>
              <w:t>(276)</w:t>
            </w:r>
          </w:p>
        </w:tc>
        <w:tc>
          <w:tcPr>
            <w:tcW w:type="dxa" w:w="1195"/>
          </w:tcPr>
          <w:p>
            <w:pPr>
              <w:spacing w:after="20"/>
              <w:jc w:val="right"/>
            </w:pPr>
            <w:r>
              <w:rPr>
                <w:color w:val="1C3A36"/>
                <w:sz w:val="16"/>
              </w:rPr>
              <w:t>(265)</w:t>
            </w:r>
          </w:p>
        </w:tc>
        <w:tc>
          <w:tcPr>
            <w:tcW w:type="dxa" w:w="1195"/>
          </w:tcPr>
          <w:p>
            <w:pPr>
              <w:spacing w:after="20"/>
              <w:jc w:val="right"/>
            </w:pPr>
            <w:r>
              <w:rPr>
                <w:color w:val="1C3A36"/>
                <w:sz w:val="16"/>
              </w:rPr>
              <w:t>(258)</w:t>
            </w:r>
          </w:p>
        </w:tc>
        <w:tc>
          <w:tcPr>
            <w:tcW w:type="dxa" w:w="1195"/>
          </w:tcPr>
          <w:p>
            <w:pPr>
              <w:spacing w:after="20"/>
              <w:jc w:val="right"/>
            </w:pPr>
            <w:r>
              <w:rPr>
                <w:color w:val="1C3A36"/>
                <w:sz w:val="16"/>
              </w:rPr>
              <w:t>(253)</w:t>
            </w:r>
          </w:p>
        </w:tc>
      </w:tr>
      <w:tr>
        <w:tc>
          <w:tcPr>
            <w:tcW w:type="dxa" w:w="3888"/>
            <w:shd w:val="clear" w:color="auto" w:fill="F6F1E6"/>
          </w:tcPr>
          <w:p>
            <w:pPr>
              <w:spacing w:after="20"/>
            </w:pPr>
            <w:r>
              <w:rPr>
                <w:b/>
                <w:color w:val="1C3A36"/>
                <w:sz w:val="16"/>
              </w:rPr>
              <w:t>FREE CASH FLOW TO THE FIRM</w:t>
            </w:r>
          </w:p>
        </w:tc>
        <w:tc>
          <w:tcPr>
            <w:tcW w:type="dxa" w:w="1195"/>
            <w:shd w:val="clear" w:color="auto" w:fill="F6F1E6"/>
          </w:tcPr>
          <w:p>
            <w:pPr>
              <w:spacing w:after="20"/>
              <w:jc w:val="right"/>
            </w:pPr>
            <w:r>
              <w:rPr>
                <w:b/>
                <w:color w:val="1C3A36"/>
                <w:sz w:val="16"/>
              </w:rPr>
              <w:t>1,343</w:t>
            </w:r>
          </w:p>
        </w:tc>
        <w:tc>
          <w:tcPr>
            <w:tcW w:type="dxa" w:w="1195"/>
            <w:shd w:val="clear" w:color="auto" w:fill="F6F1E6"/>
          </w:tcPr>
          <w:p>
            <w:pPr>
              <w:spacing w:after="20"/>
              <w:jc w:val="right"/>
            </w:pPr>
            <w:r>
              <w:rPr>
                <w:b/>
                <w:color w:val="1C3A36"/>
                <w:sz w:val="16"/>
              </w:rPr>
              <w:t>1,308</w:t>
            </w:r>
          </w:p>
        </w:tc>
        <w:tc>
          <w:tcPr>
            <w:tcW w:type="dxa" w:w="1195"/>
            <w:shd w:val="clear" w:color="auto" w:fill="F6F1E6"/>
          </w:tcPr>
          <w:p>
            <w:pPr>
              <w:spacing w:after="20"/>
              <w:jc w:val="right"/>
            </w:pPr>
            <w:r>
              <w:rPr>
                <w:b/>
                <w:color w:val="1C3A36"/>
                <w:sz w:val="16"/>
              </w:rPr>
              <w:t>1,231</w:t>
            </w:r>
          </w:p>
        </w:tc>
        <w:tc>
          <w:tcPr>
            <w:tcW w:type="dxa" w:w="1195"/>
            <w:shd w:val="clear" w:color="auto" w:fill="F6F1E6"/>
          </w:tcPr>
          <w:p>
            <w:pPr>
              <w:spacing w:after="20"/>
              <w:jc w:val="right"/>
            </w:pPr>
            <w:r>
              <w:rPr>
                <w:b/>
                <w:color w:val="1C3A36"/>
                <w:sz w:val="16"/>
              </w:rPr>
              <w:t>1,137</w:t>
            </w:r>
          </w:p>
        </w:tc>
        <w:tc>
          <w:tcPr>
            <w:tcW w:type="dxa" w:w="1195"/>
            <w:shd w:val="clear" w:color="auto" w:fill="F6F1E6"/>
          </w:tcPr>
          <w:p>
            <w:pPr>
              <w:spacing w:after="20"/>
              <w:jc w:val="right"/>
            </w:pPr>
            <w:r>
              <w:rPr>
                <w:b/>
                <w:color w:val="1C3A36"/>
                <w:sz w:val="16"/>
              </w:rPr>
              <w:t>978</w:t>
            </w:r>
          </w:p>
        </w:tc>
      </w:tr>
      <w:tr>
        <w:tc>
          <w:tcPr>
            <w:tcW w:type="dxa" w:w="3888"/>
          </w:tcPr>
          <w:p>
            <w:pPr>
              <w:spacing w:after="20"/>
            </w:pPr>
            <w:r>
              <w:rPr>
                <w:color w:val="1C3A36"/>
                <w:sz w:val="16"/>
              </w:rPr>
              <w:t>Memo: return on invested capital</w:t>
            </w:r>
          </w:p>
        </w:tc>
        <w:tc>
          <w:tcPr>
            <w:tcW w:type="dxa" w:w="1195"/>
          </w:tcPr>
          <w:p>
            <w:pPr>
              <w:spacing w:after="20"/>
              <w:jc w:val="right"/>
            </w:pPr>
            <w:r>
              <w:rPr>
                <w:color w:val="1C3A36"/>
                <w:sz w:val="16"/>
              </w:rPr>
              <w:t>44.0%</w:t>
            </w:r>
          </w:p>
        </w:tc>
        <w:tc>
          <w:tcPr>
            <w:tcW w:type="dxa" w:w="1195"/>
          </w:tcPr>
          <w:p>
            <w:pPr>
              <w:spacing w:after="20"/>
              <w:jc w:val="right"/>
            </w:pPr>
            <w:r>
              <w:rPr>
                <w:color w:val="1C3A36"/>
                <w:sz w:val="16"/>
              </w:rPr>
              <w:t>39.2%</w:t>
            </w:r>
          </w:p>
        </w:tc>
        <w:tc>
          <w:tcPr>
            <w:tcW w:type="dxa" w:w="1195"/>
          </w:tcPr>
          <w:p>
            <w:pPr>
              <w:spacing w:after="20"/>
              <w:jc w:val="right"/>
            </w:pPr>
            <w:r>
              <w:rPr>
                <w:color w:val="1C3A36"/>
                <w:sz w:val="16"/>
              </w:rPr>
              <w:t>34.2%</w:t>
            </w:r>
          </w:p>
        </w:tc>
        <w:tc>
          <w:tcPr>
            <w:tcW w:type="dxa" w:w="1195"/>
          </w:tcPr>
          <w:p>
            <w:pPr>
              <w:spacing w:after="20"/>
              <w:jc w:val="right"/>
            </w:pPr>
            <w:r>
              <w:rPr>
                <w:color w:val="1C3A36"/>
                <w:sz w:val="16"/>
              </w:rPr>
              <w:t>29.7%</w:t>
            </w:r>
          </w:p>
        </w:tc>
        <w:tc>
          <w:tcPr>
            <w:tcW w:type="dxa" w:w="1195"/>
          </w:tcPr>
          <w:p>
            <w:pPr>
              <w:spacing w:after="20"/>
              <w:jc w:val="right"/>
            </w:pPr>
            <w:r>
              <w:rPr>
                <w:color w:val="1C3A36"/>
                <w:sz w:val="16"/>
              </w:rPr>
              <w:t>24.8%</w:t>
            </w:r>
          </w:p>
        </w:tc>
      </w:tr>
      <w:tr>
        <w:tc>
          <w:tcPr>
            <w:tcW w:type="dxa" w:w="3888"/>
          </w:tcPr>
          <w:p>
            <w:pPr>
              <w:spacing w:after="20"/>
            </w:pPr>
            <w:r>
              <w:rPr>
                <w:color w:val="1C3A36"/>
                <w:sz w:val="16"/>
              </w:rPr>
              <w:t>Memo: capital expenditure / depreciation</w:t>
            </w:r>
          </w:p>
        </w:tc>
        <w:tc>
          <w:tcPr>
            <w:tcW w:type="dxa" w:w="1195"/>
          </w:tcPr>
          <w:p>
            <w:pPr>
              <w:spacing w:after="20"/>
              <w:jc w:val="right"/>
            </w:pPr>
            <w:r>
              <w:rPr>
                <w:color w:val="1C3A36"/>
                <w:sz w:val="16"/>
              </w:rPr>
              <w:t>1.62x</w:t>
            </w:r>
          </w:p>
        </w:tc>
        <w:tc>
          <w:tcPr>
            <w:tcW w:type="dxa" w:w="1195"/>
          </w:tcPr>
          <w:p>
            <w:pPr>
              <w:spacing w:after="20"/>
              <w:jc w:val="right"/>
            </w:pPr>
            <w:r>
              <w:rPr>
                <w:color w:val="1C3A36"/>
                <w:sz w:val="16"/>
              </w:rPr>
              <w:t>1.62x</w:t>
            </w:r>
          </w:p>
        </w:tc>
        <w:tc>
          <w:tcPr>
            <w:tcW w:type="dxa" w:w="1195"/>
          </w:tcPr>
          <w:p>
            <w:pPr>
              <w:spacing w:after="20"/>
              <w:jc w:val="right"/>
            </w:pPr>
            <w:r>
              <w:rPr>
                <w:color w:val="1C3A36"/>
                <w:sz w:val="16"/>
              </w:rPr>
              <w:t>1.59x</w:t>
            </w:r>
          </w:p>
        </w:tc>
        <w:tc>
          <w:tcPr>
            <w:tcW w:type="dxa" w:w="1195"/>
          </w:tcPr>
          <w:p>
            <w:pPr>
              <w:spacing w:after="20"/>
              <w:jc w:val="right"/>
            </w:pPr>
            <w:r>
              <w:rPr>
                <w:color w:val="1C3A36"/>
                <w:sz w:val="16"/>
              </w:rPr>
              <w:t>1.56x</w:t>
            </w:r>
          </w:p>
        </w:tc>
        <w:tc>
          <w:tcPr>
            <w:tcW w:type="dxa" w:w="1195"/>
          </w:tcPr>
          <w:p>
            <w:pPr>
              <w:spacing w:after="20"/>
              <w:jc w:val="right"/>
            </w:pPr>
            <w:r>
              <w:rPr>
                <w:color w:val="1C3A36"/>
                <w:sz w:val="16"/>
              </w:rPr>
              <w:t>1.54x</w:t>
            </w:r>
          </w:p>
        </w:tc>
      </w:tr>
    </w:tbl>
    <w:p>
      <w:pPr>
        <w:spacing w:after="40"/>
      </w:pPr>
    </w:p>
    <w:p>
      <w:pPr>
        <w:spacing w:after="200" w:before="0"/>
      </w:pPr>
      <w:r>
        <w:rPr>
          <w:b w:val="0"/>
          <w:i/>
          <w:color w:val="6E7B77"/>
          <w:sz w:val="17"/>
        </w:rPr>
        <w:t>Table A.3 — note the last row. Capital expenditure EXCEEDS depreciation in every forecast year. The previous edition stated, twice, that free cash flow was overstated by "roughly EGP 2mn a year" because capital expenditure sat below depreciation; that held in the first forecast year only and reversed sign in every year after it, so the stated correction would have RAISED the valuation rather than lowered it.</w:t>
      </w:r>
    </w:p>
    <w:p>
      <w:pPr>
        <w:spacing w:after="120" w:before="280"/>
      </w:pPr>
      <w:r>
        <w:rPr>
          <w:b/>
          <w:i w:val="0"/>
          <w:color w:val="1C3A36"/>
          <w:sz w:val="30"/>
        </w:rPr>
        <w:t>Appendix B  The cost of capital in detail</w:t>
      </w:r>
    </w:p>
    <w:p>
      <w:pPr>
        <w:spacing w:after="80" w:before="200"/>
      </w:pPr>
      <w:r>
        <w:rPr>
          <w:b/>
          <w:i w:val="0"/>
          <w:color w:val="1C3A36"/>
          <w:sz w:val="24"/>
        </w:rPr>
        <w:t>B.1  Beta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160"/>
        <w:gridCol w:w="4824"/>
      </w:tblGrid>
      <w:tr>
        <w:tc>
          <w:tcPr>
            <w:tcW w:type="dxa" w:w="2520"/>
            <w:shd w:val="clear" w:color="auto" w:fill="EAF0EE"/>
          </w:tcPr>
          <w:p>
            <w:pPr>
              <w:spacing w:after="20"/>
            </w:pPr>
            <w:r>
              <w:rPr>
                <w:b/>
                <w:color w:val="1C3A36"/>
                <w:sz w:val="17"/>
              </w:rPr>
              <w:t>Statistic</w:t>
            </w:r>
          </w:p>
        </w:tc>
        <w:tc>
          <w:tcPr>
            <w:tcW w:type="dxa" w:w="2160"/>
            <w:shd w:val="clear" w:color="auto" w:fill="EAF0EE"/>
          </w:tcPr>
          <w:p>
            <w:pPr>
              <w:spacing w:after="20"/>
            </w:pPr>
            <w:r>
              <w:rPr>
                <w:b/>
                <w:color w:val="1C3A36"/>
                <w:sz w:val="17"/>
              </w:rPr>
              <w:t>Value</w:t>
            </w:r>
          </w:p>
        </w:tc>
        <w:tc>
          <w:tcPr>
            <w:tcW w:type="dxa" w:w="4824"/>
            <w:shd w:val="clear" w:color="auto" w:fill="EAF0EE"/>
          </w:tcPr>
          <w:p>
            <w:pPr>
              <w:spacing w:after="20"/>
            </w:pPr>
            <w:r>
              <w:rPr>
                <w:b/>
                <w:color w:val="1C3A36"/>
                <w:sz w:val="17"/>
              </w:rPr>
              <w:t>Test</w:t>
            </w:r>
          </w:p>
        </w:tc>
      </w:tr>
      <w:tr>
        <w:tc>
          <w:tcPr>
            <w:tcW w:type="dxa" w:w="2520"/>
          </w:tcPr>
          <w:p>
            <w:pPr>
              <w:spacing w:after="20"/>
            </w:pPr>
            <w:r>
              <w:rPr>
                <w:color w:val="1C3A36"/>
                <w:sz w:val="17"/>
              </w:rPr>
              <w:t>Point estimate</w:t>
            </w:r>
          </w:p>
        </w:tc>
        <w:tc>
          <w:tcPr>
            <w:tcW w:type="dxa" w:w="2160"/>
          </w:tcPr>
          <w:p>
            <w:pPr>
              <w:spacing w:after="20"/>
              <w:jc w:val="right"/>
            </w:pPr>
            <w:r>
              <w:rPr>
                <w:color w:val="1C3A36"/>
                <w:sz w:val="17"/>
              </w:rPr>
              <w:t>0.940</w:t>
            </w:r>
          </w:p>
        </w:tc>
        <w:tc>
          <w:tcPr>
            <w:tcW w:type="dxa" w:w="4824"/>
          </w:tcPr>
          <w:p>
            <w:pPr>
              <w:spacing w:after="20"/>
            </w:pPr>
            <w:r>
              <w:rPr>
                <w:color w:val="1C3A36"/>
                <w:sz w:val="17"/>
              </w:rPr>
              <w:t>—</w:t>
            </w:r>
          </w:p>
        </w:tc>
      </w:tr>
      <w:tr>
        <w:tc>
          <w:tcPr>
            <w:tcW w:type="dxa" w:w="2520"/>
          </w:tcPr>
          <w:p>
            <w:pPr>
              <w:spacing w:after="20"/>
            </w:pPr>
            <w:r>
              <w:rPr>
                <w:color w:val="1C3A36"/>
                <w:sz w:val="17"/>
              </w:rPr>
              <w:t>Observations</w:t>
            </w:r>
          </w:p>
        </w:tc>
        <w:tc>
          <w:tcPr>
            <w:tcW w:type="dxa" w:w="2160"/>
          </w:tcPr>
          <w:p>
            <w:pPr>
              <w:spacing w:after="20"/>
              <w:jc w:val="right"/>
            </w:pPr>
            <w:r>
              <w:rPr>
                <w:color w:val="1C3A36"/>
                <w:sz w:val="17"/>
              </w:rPr>
              <w:t>257</w:t>
            </w:r>
          </w:p>
        </w:tc>
        <w:tc>
          <w:tcPr>
            <w:tcW w:type="dxa" w:w="4824"/>
          </w:tcPr>
          <w:p>
            <w:pPr>
              <w:spacing w:after="20"/>
            </w:pPr>
            <w:r>
              <w:rPr>
                <w:color w:val="1C3A36"/>
                <w:sz w:val="17"/>
              </w:rPr>
              <w:t>5-year window, weekly returns</w:t>
            </w:r>
          </w:p>
        </w:tc>
      </w:tr>
      <w:tr>
        <w:tc>
          <w:tcPr>
            <w:tcW w:type="dxa" w:w="2520"/>
          </w:tcPr>
          <w:p>
            <w:pPr>
              <w:spacing w:after="20"/>
            </w:pPr>
            <w:r>
              <w:rPr>
                <w:color w:val="1C3A36"/>
                <w:sz w:val="17"/>
              </w:rPr>
              <w:t>R-squared</w:t>
            </w:r>
          </w:p>
        </w:tc>
        <w:tc>
          <w:tcPr>
            <w:tcW w:type="dxa" w:w="2160"/>
          </w:tcPr>
          <w:p>
            <w:pPr>
              <w:spacing w:after="20"/>
              <w:jc w:val="right"/>
            </w:pPr>
            <w:r>
              <w:rPr>
                <w:color w:val="1C3A36"/>
                <w:sz w:val="17"/>
              </w:rPr>
              <w:t>31.2%</w:t>
            </w:r>
          </w:p>
        </w:tc>
        <w:tc>
          <w:tcPr>
            <w:tcW w:type="dxa" w:w="4824"/>
          </w:tcPr>
          <w:p>
            <w:pPr>
              <w:spacing w:after="20"/>
            </w:pPr>
            <w:r>
              <w:rPr>
                <w:color w:val="1C3A36"/>
                <w:sz w:val="17"/>
              </w:rPr>
              <w:t>above the usability floor</w:t>
            </w:r>
          </w:p>
        </w:tc>
      </w:tr>
      <w:tr>
        <w:tc>
          <w:tcPr>
            <w:tcW w:type="dxa" w:w="2520"/>
          </w:tcPr>
          <w:p>
            <w:pPr>
              <w:spacing w:after="20"/>
            </w:pPr>
            <w:r>
              <w:rPr>
                <w:color w:val="1C3A36"/>
                <w:sz w:val="17"/>
              </w:rPr>
              <w:t>Standard error</w:t>
            </w:r>
          </w:p>
        </w:tc>
        <w:tc>
          <w:tcPr>
            <w:tcW w:type="dxa" w:w="2160"/>
          </w:tcPr>
          <w:p>
            <w:pPr>
              <w:spacing w:after="20"/>
              <w:jc w:val="right"/>
            </w:pPr>
            <w:r>
              <w:rPr>
                <w:color w:val="1C3A36"/>
                <w:sz w:val="17"/>
              </w:rPr>
              <w:t>0.087</w:t>
            </w:r>
          </w:p>
        </w:tc>
        <w:tc>
          <w:tcPr>
            <w:tcW w:type="dxa" w:w="4824"/>
          </w:tcPr>
          <w:p>
            <w:pPr>
              <w:spacing w:after="20"/>
            </w:pPr>
            <w:r>
              <w:rPr>
                <w:color w:val="1C3A36"/>
                <w:sz w:val="17"/>
              </w:rPr>
              <w:t>0.09 of the point estimate — not a weak instrument</w:t>
            </w:r>
          </w:p>
        </w:tc>
      </w:tr>
      <w:tr>
        <w:tc>
          <w:tcPr>
            <w:tcW w:type="dxa" w:w="2520"/>
          </w:tcPr>
          <w:p>
            <w:pPr>
              <w:spacing w:after="20"/>
            </w:pPr>
            <w:r>
              <w:rPr>
                <w:color w:val="1C3A36"/>
                <w:sz w:val="17"/>
              </w:rPr>
              <w:t>90% confidence interval</w:t>
            </w:r>
          </w:p>
        </w:tc>
        <w:tc>
          <w:tcPr>
            <w:tcW w:type="dxa" w:w="2160"/>
          </w:tcPr>
          <w:p>
            <w:pPr>
              <w:spacing w:after="20"/>
              <w:jc w:val="right"/>
            </w:pPr>
            <w:r>
              <w:rPr>
                <w:color w:val="1C3A36"/>
                <w:sz w:val="17"/>
              </w:rPr>
              <w:t>[0.797, 1.084]</w:t>
            </w:r>
          </w:p>
        </w:tc>
        <w:tc>
          <w:tcPr>
            <w:tcW w:type="dxa" w:w="4824"/>
          </w:tcPr>
          <w:p>
            <w:pPr>
              <w:spacing w:after="20"/>
            </w:pPr>
            <w:r>
              <w:rPr>
                <w:color w:val="1C3A36"/>
                <w:sz w:val="17"/>
              </w:rPr>
              <w:t>spans 0.31x the estimate, inside the 2x flag</w:t>
            </w:r>
          </w:p>
        </w:tc>
      </w:tr>
      <w:tr>
        <w:tc>
          <w:tcPr>
            <w:tcW w:type="dxa" w:w="2520"/>
          </w:tcPr>
          <w:p>
            <w:pPr>
              <w:spacing w:after="20"/>
            </w:pPr>
            <w:r>
              <w:rPr>
                <w:color w:val="1C3A36"/>
                <w:sz w:val="17"/>
              </w:rPr>
              <w:t>Benchmark</w:t>
            </w:r>
          </w:p>
        </w:tc>
        <w:tc>
          <w:tcPr>
            <w:tcW w:type="dxa" w:w="2160"/>
          </w:tcPr>
          <w:p>
            <w:pPr>
              <w:spacing w:after="20"/>
              <w:jc w:val="right"/>
            </w:pPr>
            <w:r>
              <w:rPr>
                <w:color w:val="1C3A36"/>
                <w:sz w:val="17"/>
              </w:rPr>
              <w:t>33-name composite</w:t>
            </w:r>
          </w:p>
        </w:tc>
        <w:tc>
          <w:tcPr>
            <w:tcW w:type="dxa" w:w="4824"/>
          </w:tcPr>
          <w:p>
            <w:pPr>
              <w:spacing w:after="20"/>
            </w:pPr>
            <w:r>
              <w:rPr>
                <w:color w:val="1C3A36"/>
                <w:sz w:val="17"/>
              </w:rPr>
              <w:t>equal-weight Egyptian Exchange basket from the covered library</w:t>
            </w:r>
          </w:p>
        </w:tc>
      </w:tr>
    </w:tbl>
    <w:p>
      <w:pPr>
        <w:spacing w:after="40"/>
      </w:pPr>
    </w:p>
    <w:p>
      <w:pPr>
        <w:spacing w:after="200" w:before="0"/>
      </w:pPr>
      <w:r>
        <w:rPr>
          <w:b w:val="0"/>
          <w:i/>
          <w:color w:val="6E7B77"/>
          <w:sz w:val="17"/>
        </w:rPr>
        <w:t>Table B.1 — the regression passes its usability gate on every limb. ONE WEAKNESS IS RECORDED AGAINST IT: the benchmark is a house composite rather than a published index, so a reader cannot reproduce the regression from public data. Two reviewers raised this independently and both are right. The beta sensitivity in Table 15 bounds what it can cost: across the whole plausible range the cash-flow lens moves from EGP 6.33 to 4.87, and neither end reaches the market price.</w:t>
      </w:r>
    </w:p>
    <w:p>
      <w:pPr>
        <w:spacing w:after="80" w:before="200"/>
      </w:pPr>
      <w:r>
        <w:rPr>
          <w:b/>
          <w:i w:val="0"/>
          <w:color w:val="1C3A36"/>
          <w:sz w:val="24"/>
        </w:rPr>
        <w:t>B.2  The cost of debt, and why it does not matter here</w:t>
      </w:r>
    </w:p>
    <w:p>
      <w:pPr>
        <w:spacing w:after="120" w:before="0"/>
      </w:pPr>
      <w:r>
        <w:rPr>
          <w:b w:val="0"/>
          <w:i w:val="0"/>
          <w:color w:val="1C3A36"/>
          <w:sz w:val="21"/>
        </w:rPr>
        <w:t>Gross borrowings are EGP 21mn against a market capitalisation of EGP 11,753mn — 0.1782% of the capital structure. A 500 basis-point error in the cost of debt moves the weighted cost of capital by 0.69 basis points. The input cannot move the answer, and the study says so rather than dressing an immaterial input as a precise one. That immateriality is asserted in the build, so if the capital structure ever changes the assertion fails rather than the claim quietly going stale.</w:t>
      </w:r>
    </w:p>
    <w:p>
      <w:pPr>
        <w:spacing w:after="80" w:before="200"/>
      </w:pPr>
      <w:r>
        <w:rPr>
          <w:b/>
          <w:i w:val="0"/>
          <w:color w:val="1C3A36"/>
          <w:sz w:val="24"/>
        </w:rPr>
        <w:t>B.3  Explicit against terminal cost of capital</w:t>
      </w:r>
    </w:p>
    <w:p>
      <w:pPr>
        <w:spacing w:after="120" w:before="0"/>
      </w:pPr>
      <w:r>
        <w:rPr>
          <w:b w:val="0"/>
          <w:i w:val="0"/>
          <w:color w:val="1C3A36"/>
          <w:sz w:val="21"/>
        </w:rPr>
        <w:t>The explicit rate of 31.58% is not a normal corporate discount rate and is not meant to be. It is what an Egyptian operating asset costs today, with the sovereign spread stripped out of the risk-free rate so country risk is not double-counted, and with the net-cash position pushing the operating rate ABOVE the cost of equity. The terminal rate of 18.34% is norm-built: the central bank’s inflation target in force plus a real convention, a normalised equity premium, and a terminal capital structure carrying 10% debt rather than capitalising today’s zero-leverage position into perpetuity. The glide between them is inherited from the cost-of-debt path’s own cumulative progress.</w:t>
      </w:r>
    </w:p>
    <w:p>
      <w:pPr>
        <w:spacing w:after="120" w:before="0"/>
      </w:pPr>
      <w:r>
        <w:rPr>
          <w:b w:val="0"/>
          <w:i w:val="0"/>
          <w:color w:val="1C3A36"/>
          <w:sz w:val="21"/>
        </w:rPr>
        <w:t>Two alternatives are computed rather than argued. On the RATING-BASIS premium the explicit rate is 32.18% and the cash-flow lens is EGP 5.72. On GROSS rather than net debt weights — the construction this study rejects, because it counts the cash pile twice — the lens is EGP 6.70. Both are published so the choice is visible.</w:t>
      </w:r>
    </w:p>
    <w:p>
      <w:pPr>
        <w:spacing w:after="120" w:before="280"/>
      </w:pPr>
      <w:r>
        <w:rPr>
          <w:b/>
          <w:i w:val="0"/>
          <w:color w:val="1C3A36"/>
          <w:sz w:val="30"/>
        </w:rPr>
        <w:t>Appendix C  The expert appendix</w:t>
      </w:r>
    </w:p>
    <w:p>
      <w:pPr>
        <w:spacing w:after="120" w:before="0"/>
      </w:pPr>
      <w:r>
        <w:rPr>
          <w:b w:val="0"/>
          <w:i w:val="0"/>
          <w:color w:val="1C3A36"/>
          <w:sz w:val="21"/>
        </w:rPr>
        <w:t>Three independent methods, cast by approach rather than by personality, each run on the same audited inputs and each free to disagree with the primary lens.</w:t>
      </w:r>
    </w:p>
    <w:p>
      <w:pPr>
        <w:spacing w:after="80" w:before="200"/>
      </w:pPr>
      <w:r>
        <w:rPr>
          <w:b/>
          <w:i w:val="0"/>
          <w:color w:val="1C3A36"/>
          <w:sz w:val="24"/>
        </w:rPr>
        <w:t>Expert 1 — earnings power at a justified multiple</w:t>
      </w:r>
    </w:p>
    <w:p>
      <w:pPr>
        <w:spacing w:after="120" w:before="0"/>
      </w:pPr>
      <w:r>
        <w:rPr>
          <w:b w:val="0"/>
          <w:i w:val="0"/>
          <w:color w:val="1C3A36"/>
          <w:sz w:val="21"/>
        </w:rPr>
        <w:t>Takes 2028E operating profit, adds the finance income the cash pile actually earns, taxes the sum, strikes the minority, and applies a justified multiple struck BELOW the primary lens deliberately — this is an independent opinion, not a restatement of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0"/>
        <w:gridCol w:w="2880"/>
      </w:tblGrid>
      <w:tr>
        <w:tc>
          <w:tcPr>
            <w:tcW w:type="dxa" w:w="5760"/>
            <w:shd w:val="clear" w:color="auto" w:fill="EAF0EE"/>
          </w:tcPr>
          <w:p>
            <w:pPr>
              <w:spacing w:after="20"/>
            </w:pPr>
            <w:r>
              <w:rPr>
                <w:b/>
                <w:color w:val="1C3A36"/>
                <w:sz w:val="17"/>
              </w:rPr>
              <w:t>Step</w:t>
            </w:r>
          </w:p>
        </w:tc>
        <w:tc>
          <w:tcPr>
            <w:tcW w:type="dxa" w:w="2880"/>
            <w:shd w:val="clear" w:color="auto" w:fill="EAF0EE"/>
          </w:tcPr>
          <w:p>
            <w:pPr>
              <w:spacing w:after="20"/>
            </w:pPr>
            <w:r>
              <w:rPr>
                <w:b/>
                <w:color w:val="1C3A36"/>
                <w:sz w:val="17"/>
              </w:rPr>
              <w:t>EGP mn unless stated</w:t>
            </w:r>
          </w:p>
        </w:tc>
      </w:tr>
      <w:tr>
        <w:tc>
          <w:tcPr>
            <w:tcW w:type="dxa" w:w="5760"/>
          </w:tcPr>
          <w:p>
            <w:pPr>
              <w:spacing w:after="20"/>
            </w:pPr>
            <w:r>
              <w:rPr>
                <w:color w:val="1C3A36"/>
                <w:sz w:val="17"/>
              </w:rPr>
              <w:t>Operating profit, 2028E</w:t>
            </w:r>
          </w:p>
        </w:tc>
        <w:tc>
          <w:tcPr>
            <w:tcW w:type="dxa" w:w="2880"/>
          </w:tcPr>
          <w:p>
            <w:pPr>
              <w:spacing w:after="20"/>
              <w:jc w:val="right"/>
            </w:pPr>
            <w:r>
              <w:rPr>
                <w:color w:val="1C3A36"/>
                <w:sz w:val="17"/>
              </w:rPr>
              <w:t>2,205</w:t>
            </w:r>
          </w:p>
        </w:tc>
      </w:tr>
      <w:tr>
        <w:tc>
          <w:tcPr>
            <w:tcW w:type="dxa" w:w="5760"/>
          </w:tcPr>
          <w:p>
            <w:pPr>
              <w:spacing w:after="20"/>
            </w:pPr>
            <w:r>
              <w:rPr>
                <w:color w:val="1C3A36"/>
                <w:sz w:val="17"/>
              </w:rPr>
              <w:t>plus net finance income</w:t>
            </w:r>
          </w:p>
        </w:tc>
        <w:tc>
          <w:tcPr>
            <w:tcW w:type="dxa" w:w="2880"/>
          </w:tcPr>
          <w:p>
            <w:pPr>
              <w:spacing w:after="20"/>
              <w:jc w:val="right"/>
            </w:pPr>
            <w:r>
              <w:rPr>
                <w:color w:val="1C3A36"/>
                <w:sz w:val="17"/>
              </w:rPr>
              <w:t>200</w:t>
            </w:r>
          </w:p>
        </w:tc>
      </w:tr>
      <w:tr>
        <w:tc>
          <w:tcPr>
            <w:tcW w:type="dxa" w:w="5760"/>
          </w:tcPr>
          <w:p>
            <w:pPr>
              <w:spacing w:after="20"/>
            </w:pPr>
            <w:r>
              <w:rPr>
                <w:color w:val="1C3A36"/>
                <w:sz w:val="17"/>
              </w:rPr>
              <w:t>taxed at the statutory 22.5% and after the minority</w:t>
            </w:r>
          </w:p>
        </w:tc>
        <w:tc>
          <w:tcPr>
            <w:tcW w:type="dxa" w:w="2880"/>
          </w:tcPr>
          <w:p>
            <w:pPr>
              <w:spacing w:after="20"/>
              <w:jc w:val="right"/>
            </w:pPr>
            <w:r>
              <w:rPr>
                <w:color w:val="1C3A36"/>
                <w:sz w:val="17"/>
              </w:rPr>
            </w:r>
          </w:p>
        </w:tc>
      </w:tr>
      <w:tr>
        <w:tc>
          <w:tcPr>
            <w:tcW w:type="dxa" w:w="5760"/>
          </w:tcPr>
          <w:p>
            <w:pPr>
              <w:spacing w:after="20"/>
            </w:pPr>
            <w:r>
              <w:rPr>
                <w:color w:val="1C3A36"/>
                <w:sz w:val="17"/>
              </w:rPr>
              <w:t>Attributable earnings per share, EGP</w:t>
            </w:r>
          </w:p>
        </w:tc>
        <w:tc>
          <w:tcPr>
            <w:tcW w:type="dxa" w:w="2880"/>
          </w:tcPr>
          <w:p>
            <w:pPr>
              <w:spacing w:after="20"/>
              <w:jc w:val="right"/>
            </w:pPr>
            <w:r>
              <w:rPr>
                <w:color w:val="1C3A36"/>
                <w:sz w:val="17"/>
              </w:rPr>
              <w:t>1.383</w:t>
            </w:r>
          </w:p>
        </w:tc>
      </w:tr>
      <w:tr>
        <w:tc>
          <w:tcPr>
            <w:tcW w:type="dxa" w:w="5760"/>
          </w:tcPr>
          <w:p>
            <w:pPr>
              <w:spacing w:after="20"/>
            </w:pPr>
            <w:r>
              <w:rPr>
                <w:color w:val="1C3A36"/>
                <w:sz w:val="17"/>
              </w:rPr>
              <w:t>Justified price / earnings</w:t>
            </w:r>
          </w:p>
        </w:tc>
        <w:tc>
          <w:tcPr>
            <w:tcW w:type="dxa" w:w="2880"/>
          </w:tcPr>
          <w:p>
            <w:pPr>
              <w:spacing w:after="20"/>
              <w:jc w:val="right"/>
            </w:pPr>
            <w:r>
              <w:rPr>
                <w:color w:val="1C3A36"/>
                <w:sz w:val="17"/>
              </w:rPr>
              <w:t>7.0x</w:t>
            </w:r>
          </w:p>
        </w:tc>
      </w:tr>
      <w:tr>
        <w:tc>
          <w:tcPr>
            <w:tcW w:type="dxa" w:w="5760"/>
            <w:shd w:val="clear" w:color="auto" w:fill="F6F1E6"/>
          </w:tcPr>
          <w:p>
            <w:pPr>
              <w:spacing w:after="20"/>
            </w:pPr>
            <w:r>
              <w:rPr>
                <w:b/>
                <w:color w:val="1C3A36"/>
                <w:sz w:val="17"/>
              </w:rPr>
              <w:t>VALUE PER SHARE, EGP</w:t>
            </w:r>
          </w:p>
        </w:tc>
        <w:tc>
          <w:tcPr>
            <w:tcW w:type="dxa" w:w="2880"/>
            <w:shd w:val="clear" w:color="auto" w:fill="F6F1E6"/>
          </w:tcPr>
          <w:p>
            <w:pPr>
              <w:spacing w:after="20"/>
              <w:jc w:val="right"/>
            </w:pPr>
            <w:r>
              <w:rPr>
                <w:b/>
                <w:color w:val="1C3A36"/>
                <w:sz w:val="17"/>
              </w:rPr>
              <w:t>9.68</w:t>
            </w:r>
          </w:p>
        </w:tc>
      </w:tr>
    </w:tbl>
    <w:p>
      <w:pPr>
        <w:spacing w:after="40"/>
      </w:pPr>
    </w:p>
    <w:p>
      <w:pPr>
        <w:spacing w:after="200" w:before="0"/>
      </w:pPr>
      <w:r>
        <w:rPr>
          <w:b w:val="0"/>
          <w:i/>
          <w:color w:val="6E7B77"/>
          <w:sz w:val="17"/>
        </w:rPr>
        <w:t>Table C.1 — Expert 1. Range EGP 6.92 to 13.14 on a 5.0x to 9.5x multiple band. This is the HIGHEST of the three and it is still 6.4% against the market price. Note that it is an undiscounted 2028E number, which is why it sits above the primary lens.</w:t>
      </w:r>
    </w:p>
    <w:p>
      <w:pPr>
        <w:spacing w:after="80" w:before="200"/>
      </w:pPr>
      <w:r>
        <w:rPr>
          <w:b/>
          <w:i w:val="0"/>
          <w:color w:val="1C3A36"/>
          <w:sz w:val="24"/>
        </w:rPr>
        <w:t>Expert 2 — free cash flow to equity, discounted</w:t>
      </w:r>
    </w:p>
    <w:p>
      <w:pPr>
        <w:spacing w:after="120" w:before="0"/>
      </w:pPr>
      <w:r>
        <w:rPr>
          <w:b w:val="0"/>
          <w:i w:val="0"/>
          <w:color w:val="1C3A36"/>
          <w:sz w:val="21"/>
        </w:rPr>
        <w:t>Discounts cash flow to the EQUITY holder rather than to the firm: free cash flow to the firm less after-tax finance costs plus after-tax finance income, discounted at the COST OF EQUITY on its own glide rather than at the weighted rate. It is the cleanest independent check on the primary lens, because it changes both the numerator and the discount rate together.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296"/>
        <w:gridCol w:w="1296"/>
        <w:gridCol w:w="1296"/>
        <w:gridCol w:w="1296"/>
        <w:gridCol w:w="1296"/>
      </w:tblGrid>
      <w:tr>
        <w:tc>
          <w:tcPr>
            <w:tcW w:type="dxa" w:w="3168"/>
            <w:shd w:val="clear" w:color="auto" w:fill="EAF0EE"/>
          </w:tcPr>
          <w:p>
            <w:pPr>
              <w:spacing w:after="20"/>
            </w:pPr>
            <w:r>
              <w:rPr>
                <w:b/>
                <w:color w:val="1C3A36"/>
                <w:sz w:val="16"/>
              </w:rPr>
              <w:t>Step</w:t>
            </w:r>
          </w:p>
        </w:tc>
        <w:tc>
          <w:tcPr>
            <w:tcW w:type="dxa" w:w="1296"/>
            <w:shd w:val="clear" w:color="auto" w:fill="EAF0EE"/>
          </w:tcPr>
          <w:p>
            <w:pPr>
              <w:spacing w:after="20"/>
            </w:pPr>
            <w:r>
              <w:rPr>
                <w:b/>
                <w:color w:val="1C3A36"/>
                <w:sz w:val="16"/>
              </w:rPr>
              <w:t>2026E</w:t>
            </w:r>
          </w:p>
        </w:tc>
        <w:tc>
          <w:tcPr>
            <w:tcW w:type="dxa" w:w="1296"/>
            <w:shd w:val="clear" w:color="auto" w:fill="EAF0EE"/>
          </w:tcPr>
          <w:p>
            <w:pPr>
              <w:spacing w:after="20"/>
            </w:pPr>
            <w:r>
              <w:rPr>
                <w:b/>
                <w:color w:val="1C3A36"/>
                <w:sz w:val="16"/>
              </w:rPr>
              <w:t>2027E</w:t>
            </w:r>
          </w:p>
        </w:tc>
        <w:tc>
          <w:tcPr>
            <w:tcW w:type="dxa" w:w="1296"/>
            <w:shd w:val="clear" w:color="auto" w:fill="EAF0EE"/>
          </w:tcPr>
          <w:p>
            <w:pPr>
              <w:spacing w:after="20"/>
            </w:pPr>
            <w:r>
              <w:rPr>
                <w:b/>
                <w:color w:val="1C3A36"/>
                <w:sz w:val="16"/>
              </w:rPr>
              <w:t>2028E</w:t>
            </w:r>
          </w:p>
        </w:tc>
        <w:tc>
          <w:tcPr>
            <w:tcW w:type="dxa" w:w="1296"/>
            <w:shd w:val="clear" w:color="auto" w:fill="EAF0EE"/>
          </w:tcPr>
          <w:p>
            <w:pPr>
              <w:spacing w:after="20"/>
            </w:pPr>
            <w:r>
              <w:rPr>
                <w:b/>
                <w:color w:val="1C3A36"/>
                <w:sz w:val="16"/>
              </w:rPr>
              <w:t>2029E</w:t>
            </w:r>
          </w:p>
        </w:tc>
        <w:tc>
          <w:tcPr>
            <w:tcW w:type="dxa" w:w="1296"/>
            <w:shd w:val="clear" w:color="auto" w:fill="EAF0EE"/>
          </w:tcPr>
          <w:p>
            <w:pPr>
              <w:spacing w:after="20"/>
            </w:pPr>
            <w:r>
              <w:rPr>
                <w:b/>
                <w:color w:val="1C3A36"/>
                <w:sz w:val="16"/>
              </w:rPr>
              <w:t>2030E</w:t>
            </w:r>
          </w:p>
        </w:tc>
      </w:tr>
      <w:tr>
        <w:tc>
          <w:tcPr>
            <w:tcW w:type="dxa" w:w="3168"/>
          </w:tcPr>
          <w:p>
            <w:pPr>
              <w:spacing w:after="20"/>
            </w:pPr>
            <w:r>
              <w:rPr>
                <w:color w:val="1C3A36"/>
                <w:sz w:val="16"/>
              </w:rPr>
              <w:t>Free cash flow to equity</w:t>
            </w:r>
          </w:p>
        </w:tc>
        <w:tc>
          <w:tcPr>
            <w:tcW w:type="dxa" w:w="1296"/>
          </w:tcPr>
          <w:p>
            <w:pPr>
              <w:spacing w:after="20"/>
              <w:jc w:val="right"/>
            </w:pPr>
            <w:r>
              <w:rPr>
                <w:color w:val="1C3A36"/>
                <w:sz w:val="16"/>
              </w:rPr>
              <w:t>1,588</w:t>
            </w:r>
          </w:p>
        </w:tc>
        <w:tc>
          <w:tcPr>
            <w:tcW w:type="dxa" w:w="1296"/>
          </w:tcPr>
          <w:p>
            <w:pPr>
              <w:spacing w:after="20"/>
              <w:jc w:val="right"/>
            </w:pPr>
            <w:r>
              <w:rPr>
                <w:color w:val="1C3A36"/>
                <w:sz w:val="16"/>
              </w:rPr>
              <w:t>1,465</w:t>
            </w:r>
          </w:p>
        </w:tc>
        <w:tc>
          <w:tcPr>
            <w:tcW w:type="dxa" w:w="1296"/>
          </w:tcPr>
          <w:p>
            <w:pPr>
              <w:spacing w:after="20"/>
              <w:jc w:val="right"/>
            </w:pPr>
            <w:r>
              <w:rPr>
                <w:color w:val="1C3A36"/>
                <w:sz w:val="16"/>
              </w:rPr>
              <w:t>1,323</w:t>
            </w:r>
          </w:p>
        </w:tc>
        <w:tc>
          <w:tcPr>
            <w:tcW w:type="dxa" w:w="1296"/>
          </w:tcPr>
          <w:p>
            <w:pPr>
              <w:spacing w:after="20"/>
              <w:jc w:val="right"/>
            </w:pPr>
            <w:r>
              <w:rPr>
                <w:color w:val="1C3A36"/>
                <w:sz w:val="16"/>
              </w:rPr>
              <w:t>1,178</w:t>
            </w:r>
          </w:p>
        </w:tc>
        <w:tc>
          <w:tcPr>
            <w:tcW w:type="dxa" w:w="1296"/>
          </w:tcPr>
          <w:p>
            <w:pPr>
              <w:spacing w:after="20"/>
              <w:jc w:val="right"/>
            </w:pPr>
            <w:r>
              <w:rPr>
                <w:color w:val="1C3A36"/>
                <w:sz w:val="16"/>
              </w:rPr>
              <w:t>981</w:t>
            </w:r>
          </w:p>
        </w:tc>
      </w:tr>
      <w:tr>
        <w:tc>
          <w:tcPr>
            <w:tcW w:type="dxa" w:w="3168"/>
          </w:tcPr>
          <w:p>
            <w:pPr>
              <w:spacing w:after="20"/>
            </w:pPr>
            <w:r>
              <w:rPr>
                <w:color w:val="1C3A36"/>
                <w:sz w:val="16"/>
              </w:rPr>
              <w:t>Cost of equity, glided</w:t>
            </w:r>
          </w:p>
        </w:tc>
        <w:tc>
          <w:tcPr>
            <w:tcW w:type="dxa" w:w="1296"/>
          </w:tcPr>
          <w:p>
            <w:pPr>
              <w:spacing w:after="20"/>
              <w:jc w:val="right"/>
            </w:pPr>
            <w:r>
              <w:rPr>
                <w:color w:val="1C3A36"/>
                <w:sz w:val="16"/>
              </w:rPr>
              <w:t>27.76%</w:t>
            </w:r>
          </w:p>
        </w:tc>
        <w:tc>
          <w:tcPr>
            <w:tcW w:type="dxa" w:w="1296"/>
          </w:tcPr>
          <w:p>
            <w:pPr>
              <w:spacing w:after="20"/>
              <w:jc w:val="right"/>
            </w:pPr>
            <w:r>
              <w:rPr>
                <w:color w:val="1C3A36"/>
                <w:sz w:val="16"/>
              </w:rPr>
              <w:t>24.66%</w:t>
            </w:r>
          </w:p>
        </w:tc>
        <w:tc>
          <w:tcPr>
            <w:tcW w:type="dxa" w:w="1296"/>
          </w:tcPr>
          <w:p>
            <w:pPr>
              <w:spacing w:after="20"/>
              <w:jc w:val="right"/>
            </w:pPr>
            <w:r>
              <w:rPr>
                <w:color w:val="1C3A36"/>
                <w:sz w:val="16"/>
              </w:rPr>
              <w:t>22.18%</w:t>
            </w:r>
          </w:p>
        </w:tc>
        <w:tc>
          <w:tcPr>
            <w:tcW w:type="dxa" w:w="1296"/>
          </w:tcPr>
          <w:p>
            <w:pPr>
              <w:spacing w:after="20"/>
              <w:jc w:val="right"/>
            </w:pPr>
            <w:r>
              <w:rPr>
                <w:color w:val="1C3A36"/>
                <w:sz w:val="16"/>
              </w:rPr>
              <w:t>20.32%</w:t>
            </w:r>
          </w:p>
        </w:tc>
        <w:tc>
          <w:tcPr>
            <w:tcW w:type="dxa" w:w="1296"/>
          </w:tcPr>
          <w:p>
            <w:pPr>
              <w:spacing w:after="20"/>
              <w:jc w:val="right"/>
            </w:pPr>
            <w:r>
              <w:rPr>
                <w:color w:val="1C3A36"/>
                <w:sz w:val="16"/>
              </w:rPr>
              <w:t>19.08%</w:t>
            </w:r>
          </w:p>
        </w:tc>
      </w:tr>
      <w:tr>
        <w:tc>
          <w:tcPr>
            <w:tcW w:type="dxa" w:w="3168"/>
          </w:tcPr>
          <w:p>
            <w:pPr>
              <w:spacing w:after="20"/>
            </w:pPr>
            <w:r>
              <w:rPr>
                <w:color w:val="1C3A36"/>
                <w:sz w:val="16"/>
              </w:rPr>
              <w:t>Discount factor</w:t>
            </w:r>
          </w:p>
        </w:tc>
        <w:tc>
          <w:tcPr>
            <w:tcW w:type="dxa" w:w="1296"/>
          </w:tcPr>
          <w:p>
            <w:pPr>
              <w:spacing w:after="20"/>
              <w:jc w:val="right"/>
            </w:pPr>
            <w:r>
              <w:rPr>
                <w:color w:val="1C3A36"/>
                <w:sz w:val="16"/>
              </w:rPr>
              <w:t>0.7827</w:t>
            </w:r>
          </w:p>
        </w:tc>
        <w:tc>
          <w:tcPr>
            <w:tcW w:type="dxa" w:w="1296"/>
          </w:tcPr>
          <w:p>
            <w:pPr>
              <w:spacing w:after="20"/>
              <w:jc w:val="right"/>
            </w:pPr>
            <w:r>
              <w:rPr>
                <w:color w:val="1C3A36"/>
                <w:sz w:val="16"/>
              </w:rPr>
              <w:t>0.6279</w:t>
            </w:r>
          </w:p>
        </w:tc>
        <w:tc>
          <w:tcPr>
            <w:tcW w:type="dxa" w:w="1296"/>
          </w:tcPr>
          <w:p>
            <w:pPr>
              <w:spacing w:after="20"/>
              <w:jc w:val="right"/>
            </w:pPr>
            <w:r>
              <w:rPr>
                <w:color w:val="1C3A36"/>
                <w:sz w:val="16"/>
              </w:rPr>
              <w:t>0.5139</w:t>
            </w:r>
          </w:p>
        </w:tc>
        <w:tc>
          <w:tcPr>
            <w:tcW w:type="dxa" w:w="1296"/>
          </w:tcPr>
          <w:p>
            <w:pPr>
              <w:spacing w:after="20"/>
              <w:jc w:val="right"/>
            </w:pPr>
            <w:r>
              <w:rPr>
                <w:color w:val="1C3A36"/>
                <w:sz w:val="16"/>
              </w:rPr>
              <w:t>0.4271</w:t>
            </w:r>
          </w:p>
        </w:tc>
        <w:tc>
          <w:tcPr>
            <w:tcW w:type="dxa" w:w="1296"/>
          </w:tcPr>
          <w:p>
            <w:pPr>
              <w:spacing w:after="20"/>
              <w:jc w:val="right"/>
            </w:pPr>
            <w:r>
              <w:rPr>
                <w:color w:val="1C3A36"/>
                <w:sz w:val="16"/>
              </w:rPr>
              <w:t>0.3586</w:t>
            </w:r>
          </w:p>
        </w:tc>
      </w:tr>
      <w:tr>
        <w:tc>
          <w:tcPr>
            <w:tcW w:type="dxa" w:w="3168"/>
          </w:tcPr>
          <w:p>
            <w:pPr>
              <w:spacing w:after="20"/>
            </w:pPr>
            <w:r>
              <w:rPr>
                <w:color w:val="1C3A36"/>
                <w:sz w:val="16"/>
              </w:rPr>
              <w:t>Present value</w:t>
            </w:r>
          </w:p>
        </w:tc>
        <w:tc>
          <w:tcPr>
            <w:tcW w:type="dxa" w:w="1296"/>
          </w:tcPr>
          <w:p>
            <w:pPr>
              <w:spacing w:after="20"/>
              <w:jc w:val="right"/>
            </w:pPr>
            <w:r>
              <w:rPr>
                <w:color w:val="1C3A36"/>
                <w:sz w:val="16"/>
              </w:rPr>
              <w:t>1,243</w:t>
            </w:r>
          </w:p>
        </w:tc>
        <w:tc>
          <w:tcPr>
            <w:tcW w:type="dxa" w:w="1296"/>
          </w:tcPr>
          <w:p>
            <w:pPr>
              <w:spacing w:after="20"/>
              <w:jc w:val="right"/>
            </w:pPr>
            <w:r>
              <w:rPr>
                <w:color w:val="1C3A36"/>
                <w:sz w:val="16"/>
              </w:rPr>
              <w:t>920</w:t>
            </w:r>
          </w:p>
        </w:tc>
        <w:tc>
          <w:tcPr>
            <w:tcW w:type="dxa" w:w="1296"/>
          </w:tcPr>
          <w:p>
            <w:pPr>
              <w:spacing w:after="20"/>
              <w:jc w:val="right"/>
            </w:pPr>
            <w:r>
              <w:rPr>
                <w:color w:val="1C3A36"/>
                <w:sz w:val="16"/>
              </w:rPr>
              <w:t>680</w:t>
            </w:r>
          </w:p>
        </w:tc>
        <w:tc>
          <w:tcPr>
            <w:tcW w:type="dxa" w:w="1296"/>
          </w:tcPr>
          <w:p>
            <w:pPr>
              <w:spacing w:after="20"/>
              <w:jc w:val="right"/>
            </w:pPr>
            <w:r>
              <w:rPr>
                <w:color w:val="1C3A36"/>
                <w:sz w:val="16"/>
              </w:rPr>
              <w:t>503</w:t>
            </w:r>
          </w:p>
        </w:tc>
        <w:tc>
          <w:tcPr>
            <w:tcW w:type="dxa" w:w="1296"/>
          </w:tcPr>
          <w:p>
            <w:pPr>
              <w:spacing w:after="20"/>
              <w:jc w:val="right"/>
            </w:pPr>
            <w:r>
              <w:rPr>
                <w:color w:val="1C3A36"/>
                <w:sz w:val="16"/>
              </w:rPr>
              <w:t>352</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0"/>
        <w:gridCol w:w="2880"/>
      </w:tblGrid>
      <w:tr>
        <w:tc>
          <w:tcPr>
            <w:tcW w:type="dxa" w:w="5760"/>
            <w:shd w:val="clear" w:color="auto" w:fill="EAF0EE"/>
          </w:tcPr>
          <w:p>
            <w:pPr>
              <w:spacing w:after="20"/>
            </w:pPr>
            <w:r>
              <w:rPr>
                <w:b/>
                <w:color w:val="1C3A36"/>
                <w:sz w:val="17"/>
              </w:rPr>
              <w:t>Step</w:t>
            </w:r>
          </w:p>
        </w:tc>
        <w:tc>
          <w:tcPr>
            <w:tcW w:type="dxa" w:w="2880"/>
            <w:shd w:val="clear" w:color="auto" w:fill="EAF0EE"/>
          </w:tcPr>
          <w:p>
            <w:pPr>
              <w:spacing w:after="20"/>
            </w:pPr>
            <w:r>
              <w:rPr>
                <w:b/>
                <w:color w:val="1C3A36"/>
                <w:sz w:val="17"/>
              </w:rPr>
              <w:t>EGP mn</w:t>
            </w:r>
          </w:p>
        </w:tc>
      </w:tr>
      <w:tr>
        <w:tc>
          <w:tcPr>
            <w:tcW w:type="dxa" w:w="5760"/>
          </w:tcPr>
          <w:p>
            <w:pPr>
              <w:spacing w:after="20"/>
            </w:pPr>
            <w:r>
              <w:rPr>
                <w:color w:val="1C3A36"/>
                <w:sz w:val="17"/>
              </w:rPr>
              <w:t>Present value of the explicit window</w:t>
            </w:r>
          </w:p>
        </w:tc>
        <w:tc>
          <w:tcPr>
            <w:tcW w:type="dxa" w:w="2880"/>
          </w:tcPr>
          <w:p>
            <w:pPr>
              <w:spacing w:after="20"/>
              <w:jc w:val="right"/>
            </w:pPr>
            <w:r>
              <w:rPr>
                <w:color w:val="1C3A36"/>
                <w:sz w:val="17"/>
              </w:rPr>
              <w:t>3,698</w:t>
            </w:r>
          </w:p>
        </w:tc>
      </w:tr>
      <w:tr>
        <w:tc>
          <w:tcPr>
            <w:tcW w:type="dxa" w:w="5760"/>
          </w:tcPr>
          <w:p>
            <w:pPr>
              <w:spacing w:after="20"/>
            </w:pPr>
            <w:r>
              <w:rPr>
                <w:color w:val="1C3A36"/>
                <w:sz w:val="17"/>
              </w:rPr>
              <w:t>Present value of the terminal block</w:t>
            </w:r>
          </w:p>
        </w:tc>
        <w:tc>
          <w:tcPr>
            <w:tcW w:type="dxa" w:w="2880"/>
          </w:tcPr>
          <w:p>
            <w:pPr>
              <w:spacing w:after="20"/>
              <w:jc w:val="right"/>
            </w:pPr>
            <w:r>
              <w:rPr>
                <w:color w:val="1C3A36"/>
                <w:sz w:val="17"/>
              </w:rPr>
              <w:t>1,854</w:t>
            </w:r>
          </w:p>
        </w:tc>
      </w:tr>
      <w:tr>
        <w:tc>
          <w:tcPr>
            <w:tcW w:type="dxa" w:w="5760"/>
          </w:tcPr>
          <w:p>
            <w:pPr>
              <w:spacing w:after="20"/>
            </w:pPr>
            <w:r>
              <w:rPr>
                <w:color w:val="1C3A36"/>
                <w:sz w:val="17"/>
              </w:rPr>
              <w:t>less the disclosed claims carried in the bridge</w:t>
            </w:r>
          </w:p>
        </w:tc>
        <w:tc>
          <w:tcPr>
            <w:tcW w:type="dxa" w:w="2880"/>
          </w:tcPr>
          <w:p>
            <w:pPr>
              <w:spacing w:after="20"/>
              <w:jc w:val="right"/>
            </w:pPr>
            <w:r>
              <w:rPr>
                <w:color w:val="1C3A36"/>
                <w:sz w:val="17"/>
              </w:rPr>
              <w:t>(1,439)</w:t>
            </w:r>
          </w:p>
        </w:tc>
      </w:tr>
      <w:tr>
        <w:tc>
          <w:tcPr>
            <w:tcW w:type="dxa" w:w="5760"/>
          </w:tcPr>
          <w:p>
            <w:pPr>
              <w:spacing w:after="20"/>
            </w:pPr>
            <w:r>
              <w:rPr>
                <w:color w:val="1C3A36"/>
                <w:sz w:val="17"/>
              </w:rPr>
              <w:t>EQUITY VALUE</w:t>
            </w:r>
          </w:p>
        </w:tc>
        <w:tc>
          <w:tcPr>
            <w:tcW w:type="dxa" w:w="2880"/>
          </w:tcPr>
          <w:p>
            <w:pPr>
              <w:spacing w:after="20"/>
              <w:jc w:val="right"/>
            </w:pPr>
            <w:r>
              <w:rPr>
                <w:color w:val="1C3A36"/>
                <w:sz w:val="17"/>
              </w:rPr>
              <w:t>5,552</w:t>
            </w:r>
          </w:p>
        </w:tc>
      </w:tr>
      <w:tr>
        <w:tc>
          <w:tcPr>
            <w:tcW w:type="dxa" w:w="5760"/>
            <w:shd w:val="clear" w:color="auto" w:fill="F6F1E6"/>
          </w:tcPr>
          <w:p>
            <w:pPr>
              <w:spacing w:after="20"/>
            </w:pPr>
            <w:r>
              <w:rPr>
                <w:b/>
                <w:color w:val="1C3A36"/>
                <w:sz w:val="17"/>
              </w:rPr>
              <w:t>VALUE PER SHARE, EGP</w:t>
            </w:r>
          </w:p>
        </w:tc>
        <w:tc>
          <w:tcPr>
            <w:tcW w:type="dxa" w:w="2880"/>
            <w:shd w:val="clear" w:color="auto" w:fill="F6F1E6"/>
          </w:tcPr>
          <w:p>
            <w:pPr>
              <w:spacing w:after="20"/>
              <w:jc w:val="right"/>
            </w:pPr>
            <w:r>
              <w:rPr>
                <w:b/>
                <w:color w:val="1C3A36"/>
                <w:sz w:val="17"/>
              </w:rPr>
              <w:t>4.30</w:t>
            </w:r>
          </w:p>
        </w:tc>
      </w:tr>
    </w:tbl>
    <w:p>
      <w:pPr>
        <w:spacing w:after="40"/>
      </w:pPr>
    </w:p>
    <w:p>
      <w:pPr>
        <w:spacing w:after="200" w:before="0"/>
      </w:pPr>
      <w:r>
        <w:rPr>
          <w:b w:val="0"/>
          <w:i/>
          <w:color w:val="6E7B77"/>
          <w:sz w:val="17"/>
        </w:rPr>
        <w:t>Table C.2 — Expert 2. Range EGP 3.90 to 4.42. This is the LOWEST of the three at -52.8% against the price, and the reason is the discount rate: an equity claim discounted on the equity glide from 27.8% to 19.1% is punished harder in the near years than an unlevered claim on the weighted rate.</w:t>
      </w:r>
    </w:p>
    <w:p>
      <w:pPr>
        <w:spacing w:after="80" w:before="200"/>
      </w:pPr>
      <w:r>
        <w:rPr>
          <w:b/>
          <w:i w:val="0"/>
          <w:color w:val="1C3A36"/>
          <w:sz w:val="24"/>
        </w:rPr>
        <w:t>Expert 3 — cash returns against the cost of capital</w:t>
      </w:r>
    </w:p>
    <w:p>
      <w:pPr>
        <w:spacing w:after="120" w:before="0"/>
      </w:pPr>
      <w:r>
        <w:rPr>
          <w:b w:val="0"/>
          <w:i w:val="0"/>
          <w:color w:val="1C3A36"/>
          <w:sz w:val="21"/>
        </w:rPr>
        <w:t>Values the business as invested capital plus the present value of the ECONOMIC PROFIT it earns above its cost of capital, rather than as a stream of cash. Arithmetically it must reconcile to the primary lens on the same inputs — that is the point of including it. Where it differs is that it makes the SPREAD visible: how much of the value is capital already in the ground, and how much is return above the cost of that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0"/>
        <w:gridCol w:w="2880"/>
      </w:tblGrid>
      <w:tr>
        <w:tc>
          <w:tcPr>
            <w:tcW w:type="dxa" w:w="5760"/>
            <w:shd w:val="clear" w:color="auto" w:fill="EAF0EE"/>
          </w:tcPr>
          <w:p>
            <w:pPr>
              <w:spacing w:after="20"/>
            </w:pPr>
            <w:r>
              <w:rPr>
                <w:b/>
                <w:color w:val="1C3A36"/>
                <w:sz w:val="17"/>
              </w:rPr>
              <w:t>Step</w:t>
            </w:r>
          </w:p>
        </w:tc>
        <w:tc>
          <w:tcPr>
            <w:tcW w:type="dxa" w:w="2880"/>
            <w:shd w:val="clear" w:color="auto" w:fill="EAF0EE"/>
          </w:tcPr>
          <w:p>
            <w:pPr>
              <w:spacing w:after="20"/>
            </w:pPr>
            <w:r>
              <w:rPr>
                <w:b/>
                <w:color w:val="1C3A36"/>
                <w:sz w:val="17"/>
              </w:rPr>
              <w:t>EGP mn</w:t>
            </w:r>
          </w:p>
        </w:tc>
      </w:tr>
      <w:tr>
        <w:tc>
          <w:tcPr>
            <w:tcW w:type="dxa" w:w="5760"/>
          </w:tcPr>
          <w:p>
            <w:pPr>
              <w:spacing w:after="20"/>
            </w:pPr>
            <w:r>
              <w:rPr>
                <w:color w:val="1C3A36"/>
                <w:sz w:val="17"/>
              </w:rPr>
              <w:t>Invested capital at the valuation date</w:t>
            </w:r>
          </w:p>
        </w:tc>
        <w:tc>
          <w:tcPr>
            <w:tcW w:type="dxa" w:w="2880"/>
          </w:tcPr>
          <w:p>
            <w:pPr>
              <w:spacing w:after="20"/>
              <w:jc w:val="right"/>
            </w:pPr>
            <w:r>
              <w:rPr>
                <w:color w:val="1C3A36"/>
                <w:sz w:val="17"/>
              </w:rPr>
              <w:t>3,552</w:t>
            </w:r>
          </w:p>
        </w:tc>
      </w:tr>
      <w:tr>
        <w:tc>
          <w:tcPr>
            <w:tcW w:type="dxa" w:w="5760"/>
          </w:tcPr>
          <w:p>
            <w:pPr>
              <w:spacing w:after="20"/>
            </w:pPr>
            <w:r>
              <w:rPr>
                <w:color w:val="1C3A36"/>
                <w:sz w:val="17"/>
              </w:rPr>
              <w:t>plus present value of economic profit, explicit window</w:t>
            </w:r>
          </w:p>
        </w:tc>
        <w:tc>
          <w:tcPr>
            <w:tcW w:type="dxa" w:w="2880"/>
          </w:tcPr>
          <w:p>
            <w:pPr>
              <w:spacing w:after="20"/>
              <w:jc w:val="right"/>
            </w:pPr>
            <w:r>
              <w:rPr>
                <w:color w:val="1C3A36"/>
                <w:sz w:val="17"/>
              </w:rPr>
              <w:t>1,528</w:t>
            </w:r>
          </w:p>
        </w:tc>
      </w:tr>
      <w:tr>
        <w:tc>
          <w:tcPr>
            <w:tcW w:type="dxa" w:w="5760"/>
          </w:tcPr>
          <w:p>
            <w:pPr>
              <w:spacing w:after="20"/>
            </w:pPr>
            <w:r>
              <w:rPr>
                <w:color w:val="1C3A36"/>
                <w:sz w:val="17"/>
              </w:rPr>
              <w:t>plus present value of economic profit, terminal</w:t>
            </w:r>
          </w:p>
        </w:tc>
        <w:tc>
          <w:tcPr>
            <w:tcW w:type="dxa" w:w="2880"/>
          </w:tcPr>
          <w:p>
            <w:pPr>
              <w:spacing w:after="20"/>
              <w:jc w:val="right"/>
            </w:pPr>
            <w:r>
              <w:rPr>
                <w:color w:val="1C3A36"/>
                <w:sz w:val="17"/>
              </w:rPr>
              <w:t>1,080</w:t>
            </w:r>
          </w:p>
        </w:tc>
      </w:tr>
      <w:tr>
        <w:tc>
          <w:tcPr>
            <w:tcW w:type="dxa" w:w="5760"/>
            <w:shd w:val="clear" w:color="auto" w:fill="F6F1E6"/>
          </w:tcPr>
          <w:p>
            <w:pPr>
              <w:spacing w:after="20"/>
            </w:pPr>
            <w:r>
              <w:rPr>
                <w:b/>
                <w:color w:val="1C3A36"/>
                <w:sz w:val="17"/>
              </w:rPr>
              <w:t>ENTERPRISE VALUE</w:t>
            </w:r>
          </w:p>
        </w:tc>
        <w:tc>
          <w:tcPr>
            <w:tcW w:type="dxa" w:w="2880"/>
            <w:shd w:val="clear" w:color="auto" w:fill="F6F1E6"/>
          </w:tcPr>
          <w:p>
            <w:pPr>
              <w:spacing w:after="20"/>
              <w:jc w:val="right"/>
            </w:pPr>
            <w:r>
              <w:rPr>
                <w:b/>
                <w:color w:val="1C3A36"/>
                <w:sz w:val="17"/>
              </w:rPr>
              <w:t>6,159</w:t>
            </w:r>
          </w:p>
        </w:tc>
      </w:tr>
      <w:tr>
        <w:tc>
          <w:tcPr>
            <w:tcW w:type="dxa" w:w="5760"/>
          </w:tcPr>
          <w:p>
            <w:pPr>
              <w:spacing w:after="20"/>
            </w:pPr>
            <w:r>
              <w:rPr>
                <w:color w:val="1C3A36"/>
                <w:sz w:val="17"/>
              </w:rPr>
              <w:t>VALUE PER SHARE after the bridge, EGP</w:t>
            </w:r>
          </w:p>
        </w:tc>
        <w:tc>
          <w:tcPr>
            <w:tcW w:type="dxa" w:w="2880"/>
          </w:tcPr>
          <w:p>
            <w:pPr>
              <w:spacing w:after="20"/>
              <w:jc w:val="right"/>
            </w:pPr>
            <w:r>
              <w:rPr>
                <w:color w:val="1C3A36"/>
                <w:sz w:val="17"/>
              </w:rPr>
              <w:t>6.44</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24"/>
        <w:gridCol w:w="1224"/>
        <w:gridCol w:w="1224"/>
        <w:gridCol w:w="1224"/>
        <w:gridCol w:w="1224"/>
      </w:tblGrid>
      <w:tr>
        <w:tc>
          <w:tcPr>
            <w:tcW w:type="dxa" w:w="3600"/>
            <w:shd w:val="clear" w:color="auto" w:fill="EAF0EE"/>
          </w:tcPr>
          <w:p>
            <w:pPr>
              <w:spacing w:after="20"/>
            </w:pPr>
            <w:r>
              <w:rPr>
                <w:b/>
                <w:color w:val="1C3A36"/>
                <w:sz w:val="17"/>
              </w:rPr>
            </w:r>
          </w:p>
        </w:tc>
        <w:tc>
          <w:tcPr>
            <w:tcW w:type="dxa" w:w="1224"/>
            <w:shd w:val="clear" w:color="auto" w:fill="EAF0EE"/>
          </w:tcPr>
          <w:p>
            <w:pPr>
              <w:spacing w:after="20"/>
            </w:pPr>
            <w:r>
              <w:rPr>
                <w:b/>
                <w:color w:val="1C3A36"/>
                <w:sz w:val="17"/>
              </w:rPr>
              <w:t>2026E</w:t>
            </w:r>
          </w:p>
        </w:tc>
        <w:tc>
          <w:tcPr>
            <w:tcW w:type="dxa" w:w="1224"/>
            <w:shd w:val="clear" w:color="auto" w:fill="EAF0EE"/>
          </w:tcPr>
          <w:p>
            <w:pPr>
              <w:spacing w:after="20"/>
            </w:pPr>
            <w:r>
              <w:rPr>
                <w:b/>
                <w:color w:val="1C3A36"/>
                <w:sz w:val="17"/>
              </w:rPr>
              <w:t>2027E</w:t>
            </w:r>
          </w:p>
        </w:tc>
        <w:tc>
          <w:tcPr>
            <w:tcW w:type="dxa" w:w="1224"/>
            <w:shd w:val="clear" w:color="auto" w:fill="EAF0EE"/>
          </w:tcPr>
          <w:p>
            <w:pPr>
              <w:spacing w:after="20"/>
            </w:pPr>
            <w:r>
              <w:rPr>
                <w:b/>
                <w:color w:val="1C3A36"/>
                <w:sz w:val="17"/>
              </w:rPr>
              <w:t>2028E</w:t>
            </w:r>
          </w:p>
        </w:tc>
        <w:tc>
          <w:tcPr>
            <w:tcW w:type="dxa" w:w="1224"/>
            <w:shd w:val="clear" w:color="auto" w:fill="EAF0EE"/>
          </w:tcPr>
          <w:p>
            <w:pPr>
              <w:spacing w:after="20"/>
            </w:pPr>
            <w:r>
              <w:rPr>
                <w:b/>
                <w:color w:val="1C3A36"/>
                <w:sz w:val="17"/>
              </w:rPr>
              <w:t>2029E</w:t>
            </w:r>
          </w:p>
        </w:tc>
        <w:tc>
          <w:tcPr>
            <w:tcW w:type="dxa" w:w="1224"/>
            <w:shd w:val="clear" w:color="auto" w:fill="EAF0EE"/>
          </w:tcPr>
          <w:p>
            <w:pPr>
              <w:spacing w:after="20"/>
            </w:pPr>
            <w:r>
              <w:rPr>
                <w:b/>
                <w:color w:val="1C3A36"/>
                <w:sz w:val="17"/>
              </w:rPr>
              <w:t>2030E</w:t>
            </w:r>
          </w:p>
        </w:tc>
      </w:tr>
      <w:tr>
        <w:tc>
          <w:tcPr>
            <w:tcW w:type="dxa" w:w="3600"/>
          </w:tcPr>
          <w:p>
            <w:pPr>
              <w:spacing w:after="20"/>
            </w:pPr>
            <w:r>
              <w:rPr>
                <w:color w:val="1C3A36"/>
                <w:sz w:val="17"/>
              </w:rPr>
              <w:t>Economic profit</w:t>
            </w:r>
          </w:p>
        </w:tc>
        <w:tc>
          <w:tcPr>
            <w:tcW w:type="dxa" w:w="1224"/>
          </w:tcPr>
          <w:p>
            <w:pPr>
              <w:spacing w:after="20"/>
              <w:jc w:val="right"/>
            </w:pPr>
            <w:r>
              <w:rPr>
                <w:color w:val="1C3A36"/>
                <w:sz w:val="17"/>
              </w:rPr>
              <w:t>617</w:t>
            </w:r>
          </w:p>
        </w:tc>
        <w:tc>
          <w:tcPr>
            <w:tcW w:type="dxa" w:w="1224"/>
          </w:tcPr>
          <w:p>
            <w:pPr>
              <w:spacing w:after="20"/>
              <w:jc w:val="right"/>
            </w:pPr>
            <w:r>
              <w:rPr>
                <w:color w:val="1C3A36"/>
                <w:sz w:val="17"/>
              </w:rPr>
              <w:t>642</w:t>
            </w:r>
          </w:p>
        </w:tc>
        <w:tc>
          <w:tcPr>
            <w:tcW w:type="dxa" w:w="1224"/>
          </w:tcPr>
          <w:p>
            <w:pPr>
              <w:spacing w:after="20"/>
              <w:jc w:val="right"/>
            </w:pPr>
            <w:r>
              <w:rPr>
                <w:color w:val="1C3A36"/>
                <w:sz w:val="17"/>
              </w:rPr>
              <w:t>617</w:t>
            </w:r>
          </w:p>
        </w:tc>
        <w:tc>
          <w:tcPr>
            <w:tcW w:type="dxa" w:w="1224"/>
          </w:tcPr>
          <w:p>
            <w:pPr>
              <w:spacing w:after="20"/>
              <w:jc w:val="right"/>
            </w:pPr>
            <w:r>
              <w:rPr>
                <w:color w:val="1C3A36"/>
                <w:sz w:val="17"/>
              </w:rPr>
              <w:t>564</w:t>
            </w:r>
          </w:p>
        </w:tc>
        <w:tc>
          <w:tcPr>
            <w:tcW w:type="dxa" w:w="1224"/>
          </w:tcPr>
          <w:p>
            <w:pPr>
              <w:spacing w:after="20"/>
              <w:jc w:val="right"/>
            </w:pPr>
            <w:r>
              <w:rPr>
                <w:color w:val="1C3A36"/>
                <w:sz w:val="17"/>
              </w:rPr>
              <w:t>423</w:t>
            </w:r>
          </w:p>
        </w:tc>
      </w:tr>
      <w:tr>
        <w:tc>
          <w:tcPr>
            <w:tcW w:type="dxa" w:w="3600"/>
          </w:tcPr>
          <w:p>
            <w:pPr>
              <w:spacing w:after="20"/>
            </w:pPr>
            <w:r>
              <w:rPr>
                <w:color w:val="1C3A36"/>
                <w:sz w:val="17"/>
              </w:rPr>
              <w:t>Return spread over the cost of capital</w:t>
            </w:r>
          </w:p>
        </w:tc>
        <w:tc>
          <w:tcPr>
            <w:tcW w:type="dxa" w:w="1224"/>
          </w:tcPr>
          <w:p>
            <w:pPr>
              <w:spacing w:after="20"/>
              <w:jc w:val="right"/>
            </w:pPr>
            <w:r>
              <w:rPr>
                <w:color w:val="1C3A36"/>
                <w:sz w:val="17"/>
              </w:rPr>
              <w:t>12.47%</w:t>
            </w:r>
          </w:p>
        </w:tc>
        <w:tc>
          <w:tcPr>
            <w:tcW w:type="dxa" w:w="1224"/>
          </w:tcPr>
          <w:p>
            <w:pPr>
              <w:spacing w:after="20"/>
              <w:jc w:val="right"/>
            </w:pPr>
            <w:r>
              <w:rPr>
                <w:color w:val="1C3A36"/>
                <w:sz w:val="17"/>
              </w:rPr>
              <w:t>12.35%</w:t>
            </w:r>
          </w:p>
        </w:tc>
        <w:tc>
          <w:tcPr>
            <w:tcW w:type="dxa" w:w="1224"/>
          </w:tcPr>
          <w:p>
            <w:pPr>
              <w:spacing w:after="20"/>
              <w:jc w:val="right"/>
            </w:pPr>
            <w:r>
              <w:rPr>
                <w:color w:val="1C3A36"/>
                <w:sz w:val="17"/>
              </w:rPr>
              <w:t>11.16%</w:t>
            </w:r>
          </w:p>
        </w:tc>
        <w:tc>
          <w:tcPr>
            <w:tcW w:type="dxa" w:w="1224"/>
          </w:tcPr>
          <w:p>
            <w:pPr>
              <w:spacing w:after="20"/>
              <w:jc w:val="right"/>
            </w:pPr>
            <w:r>
              <w:rPr>
                <w:color w:val="1C3A36"/>
                <w:sz w:val="17"/>
              </w:rPr>
              <w:t>9.52%</w:t>
            </w:r>
          </w:p>
        </w:tc>
        <w:tc>
          <w:tcPr>
            <w:tcW w:type="dxa" w:w="1224"/>
          </w:tcPr>
          <w:p>
            <w:pPr>
              <w:spacing w:after="20"/>
              <w:jc w:val="right"/>
            </w:pPr>
            <w:r>
              <w:rPr>
                <w:color w:val="1C3A36"/>
                <w:sz w:val="17"/>
              </w:rPr>
              <w:t>6.42%</w:t>
            </w:r>
          </w:p>
        </w:tc>
      </w:tr>
    </w:tbl>
    <w:p>
      <w:pPr>
        <w:spacing w:after="40"/>
      </w:pPr>
    </w:p>
    <w:p>
      <w:pPr>
        <w:spacing w:after="200" w:before="0"/>
      </w:pPr>
      <w:r>
        <w:rPr>
          <w:b w:val="0"/>
          <w:i/>
          <w:color w:val="6E7B77"/>
          <w:sz w:val="17"/>
        </w:rPr>
        <w:t>Table C.3 — Expert 3. Range EGP 5.63 to 6.50. The spread row is the finding: this business earns a POSITIVE return over its cost of capital in every forecast year, which is why it is worth more than its invested capital — and it is still worth materially less than the market price. Cheap capital is not the question here; the question is how much spread 9.0% of gross margin can support.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224"/>
        <w:gridCol w:w="3744"/>
        <w:gridCol w:w="1224"/>
        <w:gridCol w:w="1728"/>
        <w:gridCol w:w="1296"/>
      </w:tblGrid>
      <w:tr>
        <w:tc>
          <w:tcPr>
            <w:tcW w:type="dxa" w:w="1224"/>
            <w:shd w:val="clear" w:color="auto" w:fill="EAF0EE"/>
          </w:tcPr>
          <w:p>
            <w:pPr>
              <w:spacing w:after="20"/>
            </w:pPr>
            <w:r>
              <w:rPr>
                <w:b/>
                <w:color w:val="1C3A36"/>
                <w:sz w:val="17"/>
              </w:rPr>
              <w:t>Expert</w:t>
            </w:r>
          </w:p>
        </w:tc>
        <w:tc>
          <w:tcPr>
            <w:tcW w:type="dxa" w:w="3744"/>
            <w:shd w:val="clear" w:color="auto" w:fill="EAF0EE"/>
          </w:tcPr>
          <w:p>
            <w:pPr>
              <w:spacing w:after="20"/>
            </w:pPr>
            <w:r>
              <w:rPr>
                <w:b/>
                <w:color w:val="1C3A36"/>
                <w:sz w:val="17"/>
              </w:rPr>
              <w:t>Method</w:t>
            </w:r>
          </w:p>
        </w:tc>
        <w:tc>
          <w:tcPr>
            <w:tcW w:type="dxa" w:w="1224"/>
            <w:shd w:val="clear" w:color="auto" w:fill="EAF0EE"/>
          </w:tcPr>
          <w:p>
            <w:pPr>
              <w:spacing w:after="20"/>
            </w:pPr>
            <w:r>
              <w:rPr>
                <w:b/>
                <w:color w:val="1C3A36"/>
                <w:sz w:val="17"/>
              </w:rPr>
              <w:t>Central</w:t>
            </w:r>
          </w:p>
        </w:tc>
        <w:tc>
          <w:tcPr>
            <w:tcW w:type="dxa" w:w="1728"/>
            <w:shd w:val="clear" w:color="auto" w:fill="EAF0EE"/>
          </w:tcPr>
          <w:p>
            <w:pPr>
              <w:spacing w:after="20"/>
            </w:pPr>
            <w:r>
              <w:rPr>
                <w:b/>
                <w:color w:val="1C3A36"/>
                <w:sz w:val="17"/>
              </w:rPr>
              <w:t>Range</w:t>
            </w:r>
          </w:p>
        </w:tc>
        <w:tc>
          <w:tcPr>
            <w:tcW w:type="dxa" w:w="1296"/>
            <w:shd w:val="clear" w:color="auto" w:fill="EAF0EE"/>
          </w:tcPr>
          <w:p>
            <w:pPr>
              <w:spacing w:after="20"/>
            </w:pPr>
            <w:r>
              <w:rPr>
                <w:b/>
                <w:color w:val="1C3A36"/>
                <w:sz w:val="17"/>
              </w:rPr>
              <w:t>vs price</w:t>
            </w:r>
          </w:p>
        </w:tc>
      </w:tr>
      <w:tr>
        <w:tc>
          <w:tcPr>
            <w:tcW w:type="dxa" w:w="1224"/>
          </w:tcPr>
          <w:p>
            <w:pPr>
              <w:spacing w:after="20"/>
            </w:pPr>
            <w:r>
              <w:rPr>
                <w:color w:val="1C3A36"/>
                <w:sz w:val="17"/>
              </w:rPr>
              <w:t>E1</w:t>
            </w:r>
          </w:p>
        </w:tc>
        <w:tc>
          <w:tcPr>
            <w:tcW w:type="dxa" w:w="3744"/>
          </w:tcPr>
          <w:p>
            <w:pPr>
              <w:spacing w:after="20"/>
            </w:pPr>
            <w:r>
              <w:rPr>
                <w:color w:val="1C3A36"/>
                <w:sz w:val="17"/>
              </w:rPr>
              <w:t>earnings power at a justified multiple</w:t>
            </w:r>
          </w:p>
        </w:tc>
        <w:tc>
          <w:tcPr>
            <w:tcW w:type="dxa" w:w="1224"/>
          </w:tcPr>
          <w:p>
            <w:pPr>
              <w:spacing w:after="20"/>
              <w:jc w:val="right"/>
            </w:pPr>
            <w:r>
              <w:rPr>
                <w:color w:val="1C3A36"/>
                <w:sz w:val="17"/>
              </w:rPr>
              <w:t>9.68</w:t>
            </w:r>
          </w:p>
        </w:tc>
        <w:tc>
          <w:tcPr>
            <w:tcW w:type="dxa" w:w="1728"/>
          </w:tcPr>
          <w:p>
            <w:pPr>
              <w:spacing w:after="20"/>
              <w:jc w:val="right"/>
            </w:pPr>
            <w:r>
              <w:rPr>
                <w:color w:val="1C3A36"/>
                <w:sz w:val="17"/>
              </w:rPr>
              <w:t>6.92–13.14</w:t>
            </w:r>
          </w:p>
        </w:tc>
        <w:tc>
          <w:tcPr>
            <w:tcW w:type="dxa" w:w="1296"/>
          </w:tcPr>
          <w:p>
            <w:pPr>
              <w:spacing w:after="20"/>
              <w:jc w:val="right"/>
            </w:pPr>
            <w:r>
              <w:rPr>
                <w:color w:val="1C3A36"/>
                <w:sz w:val="17"/>
              </w:rPr>
              <w:t>6.4%</w:t>
            </w:r>
          </w:p>
        </w:tc>
      </w:tr>
      <w:tr>
        <w:tc>
          <w:tcPr>
            <w:tcW w:type="dxa" w:w="1224"/>
          </w:tcPr>
          <w:p>
            <w:pPr>
              <w:spacing w:after="20"/>
            </w:pPr>
            <w:r>
              <w:rPr>
                <w:color w:val="1C3A36"/>
                <w:sz w:val="17"/>
              </w:rPr>
              <w:t>E2</w:t>
            </w:r>
          </w:p>
        </w:tc>
        <w:tc>
          <w:tcPr>
            <w:tcW w:type="dxa" w:w="3744"/>
          </w:tcPr>
          <w:p>
            <w:pPr>
              <w:spacing w:after="20"/>
            </w:pPr>
            <w:r>
              <w:rPr>
                <w:color w:val="1C3A36"/>
                <w:sz w:val="17"/>
              </w:rPr>
              <w:t>free cash flow to equity, discounted</w:t>
            </w:r>
          </w:p>
        </w:tc>
        <w:tc>
          <w:tcPr>
            <w:tcW w:type="dxa" w:w="1224"/>
          </w:tcPr>
          <w:p>
            <w:pPr>
              <w:spacing w:after="20"/>
              <w:jc w:val="right"/>
            </w:pPr>
            <w:r>
              <w:rPr>
                <w:color w:val="1C3A36"/>
                <w:sz w:val="17"/>
              </w:rPr>
              <w:t>4.30</w:t>
            </w:r>
          </w:p>
        </w:tc>
        <w:tc>
          <w:tcPr>
            <w:tcW w:type="dxa" w:w="1728"/>
          </w:tcPr>
          <w:p>
            <w:pPr>
              <w:spacing w:after="20"/>
              <w:jc w:val="right"/>
            </w:pPr>
            <w:r>
              <w:rPr>
                <w:color w:val="1C3A36"/>
                <w:sz w:val="17"/>
              </w:rPr>
              <w:t>3.90–4.42</w:t>
            </w:r>
          </w:p>
        </w:tc>
        <w:tc>
          <w:tcPr>
            <w:tcW w:type="dxa" w:w="1296"/>
          </w:tcPr>
          <w:p>
            <w:pPr>
              <w:spacing w:after="20"/>
              <w:jc w:val="right"/>
            </w:pPr>
            <w:r>
              <w:rPr>
                <w:color w:val="1C3A36"/>
                <w:sz w:val="17"/>
              </w:rPr>
              <w:t>-52.8%</w:t>
            </w:r>
          </w:p>
        </w:tc>
      </w:tr>
      <w:tr>
        <w:tc>
          <w:tcPr>
            <w:tcW w:type="dxa" w:w="1224"/>
          </w:tcPr>
          <w:p>
            <w:pPr>
              <w:spacing w:after="20"/>
            </w:pPr>
            <w:r>
              <w:rPr>
                <w:color w:val="1C3A36"/>
                <w:sz w:val="17"/>
              </w:rPr>
              <w:t>E3</w:t>
            </w:r>
          </w:p>
        </w:tc>
        <w:tc>
          <w:tcPr>
            <w:tcW w:type="dxa" w:w="3744"/>
          </w:tcPr>
          <w:p>
            <w:pPr>
              <w:spacing w:after="20"/>
            </w:pPr>
            <w:r>
              <w:rPr>
                <w:color w:val="1C3A36"/>
                <w:sz w:val="17"/>
              </w:rPr>
              <w:t>cash returns against the cost of capital</w:t>
            </w:r>
          </w:p>
        </w:tc>
        <w:tc>
          <w:tcPr>
            <w:tcW w:type="dxa" w:w="1224"/>
          </w:tcPr>
          <w:p>
            <w:pPr>
              <w:spacing w:after="20"/>
              <w:jc w:val="right"/>
            </w:pPr>
            <w:r>
              <w:rPr>
                <w:color w:val="1C3A36"/>
                <w:sz w:val="17"/>
              </w:rPr>
              <w:t>6.44</w:t>
            </w:r>
          </w:p>
        </w:tc>
        <w:tc>
          <w:tcPr>
            <w:tcW w:type="dxa" w:w="1728"/>
          </w:tcPr>
          <w:p>
            <w:pPr>
              <w:spacing w:after="20"/>
              <w:jc w:val="right"/>
            </w:pPr>
            <w:r>
              <w:rPr>
                <w:color w:val="1C3A36"/>
                <w:sz w:val="17"/>
              </w:rPr>
              <w:t>5.63–6.50</w:t>
            </w:r>
          </w:p>
        </w:tc>
        <w:tc>
          <w:tcPr>
            <w:tcW w:type="dxa" w:w="1296"/>
          </w:tcPr>
          <w:p>
            <w:pPr>
              <w:spacing w:after="20"/>
              <w:jc w:val="right"/>
            </w:pPr>
            <w:r>
              <w:rPr>
                <w:color w:val="1C3A36"/>
                <w:sz w:val="17"/>
              </w:rPr>
              <w:t>-29.2%</w:t>
            </w:r>
          </w:p>
        </w:tc>
      </w:tr>
      <w:tr>
        <w:tc>
          <w:tcPr>
            <w:tcW w:type="dxa" w:w="1224"/>
            <w:shd w:val="clear" w:color="auto" w:fill="F6F1E6"/>
          </w:tcPr>
          <w:p>
            <w:pPr>
              <w:spacing w:after="20"/>
            </w:pPr>
            <w:r>
              <w:rPr>
                <w:b/>
                <w:color w:val="1C3A36"/>
                <w:sz w:val="17"/>
              </w:rPr>
              <w:t>PANEL</w:t>
            </w:r>
          </w:p>
        </w:tc>
        <w:tc>
          <w:tcPr>
            <w:tcW w:type="dxa" w:w="3744"/>
            <w:shd w:val="clear" w:color="auto" w:fill="F6F1E6"/>
          </w:tcPr>
          <w:p>
            <w:pPr>
              <w:spacing w:after="20"/>
            </w:pPr>
            <w:r>
              <w:rPr>
                <w:b/>
                <w:color w:val="1C3A36"/>
                <w:sz w:val="17"/>
              </w:rPr>
              <w:t>median of the three</w:t>
            </w:r>
          </w:p>
        </w:tc>
        <w:tc>
          <w:tcPr>
            <w:tcW w:type="dxa" w:w="1224"/>
            <w:shd w:val="clear" w:color="auto" w:fill="F6F1E6"/>
          </w:tcPr>
          <w:p>
            <w:pPr>
              <w:spacing w:after="20"/>
              <w:jc w:val="right"/>
            </w:pPr>
            <w:r>
              <w:rPr>
                <w:b/>
                <w:color w:val="1C3A36"/>
                <w:sz w:val="17"/>
              </w:rPr>
              <w:t>6.44</w:t>
            </w:r>
          </w:p>
        </w:tc>
        <w:tc>
          <w:tcPr>
            <w:tcW w:type="dxa" w:w="1728"/>
            <w:shd w:val="clear" w:color="auto" w:fill="F6F1E6"/>
          </w:tcPr>
          <w:p>
            <w:pPr>
              <w:spacing w:after="20"/>
              <w:jc w:val="right"/>
            </w:pPr>
            <w:r>
              <w:rPr>
                <w:b/>
                <w:color w:val="1C3A36"/>
                <w:sz w:val="17"/>
              </w:rPr>
            </w:r>
          </w:p>
        </w:tc>
        <w:tc>
          <w:tcPr>
            <w:tcW w:type="dxa" w:w="1296"/>
            <w:shd w:val="clear" w:color="auto" w:fill="F6F1E6"/>
          </w:tcPr>
          <w:p>
            <w:pPr>
              <w:spacing w:after="20"/>
              <w:jc w:val="right"/>
            </w:pPr>
            <w:r>
              <w:rPr>
                <w:b/>
                <w:color w:val="1C3A36"/>
                <w:sz w:val="17"/>
              </w:rPr>
              <w:t>-29.2%</w:t>
            </w:r>
          </w:p>
        </w:tc>
      </w:tr>
    </w:tbl>
    <w:p>
      <w:pPr>
        <w:spacing w:after="40"/>
      </w:pPr>
    </w:p>
    <w:p>
      <w:pPr>
        <w:spacing w:after="200" w:before="0"/>
      </w:pPr>
      <w:r>
        <w:rPr>
          <w:b w:val="0"/>
          <w:i/>
          <w:color w:val="6E7B77"/>
          <w:sz w:val="17"/>
        </w:rPr>
        <w:t>Table C.4 — the panel. The three methods disagree with each other by more than any of them disagrees with the primary lens, which is the honest reading of a company whose margin is administered. All three land below the market price.</w:t>
      </w:r>
    </w:p>
    <w:p>
      <w:pPr>
        <w:spacing w:after="120" w:before="280"/>
      </w:pPr>
      <w:r>
        <w:rPr>
          <w:b/>
          <w:i w:val="0"/>
          <w:color w:val="1C3A36"/>
          <w:sz w:val="30"/>
        </w:rPr>
        <w:t>About this study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study. It is NOT investment advice, and it issues no buy, sell or hold recommendation. It publishes a fair-value range, a probability distribution for the price, and the model behind both, and it grades its own forecasts publicly when they resolve.</w:t>
            </w:r>
          </w:p>
          <w:p>
            <w:pPr>
              <w:spacing w:after="100"/>
            </w:pPr>
            <w:r>
              <w:rPr>
                <w:b/>
                <w:color w:val="1C3A36"/>
                <w:sz w:val="19"/>
              </w:rPr>
              <w:t xml:space="preserve">WHAT IT RESTS ON.  </w:t>
            </w:r>
            <w:r>
              <w:rPr>
                <w:color w:val="1C3A36"/>
                <w:sz w:val="19"/>
              </w:rPr>
              <w:t>Audited consolidated statements for the transition period 1 July to 31 December 2025 (Crowe — Dr A. M. Hegazy &amp; Co, unqualified, signed at Giza 18 February 2026); reviewed statements for the three months to 31 March 2026; and the half-year results disclosed to the Egyptian Exchange on 29-30 July 2026, which are REPORTED and not audited. Every input carries a value, a source, a date and a research ring in the companion source register.</w:t>
            </w:r>
          </w:p>
          <w:p>
            <w:pPr>
              <w:spacing w:after="100"/>
            </w:pPr>
            <w:r>
              <w:rPr>
                <w:b/>
                <w:color w:val="1C3A36"/>
                <w:sz w:val="19"/>
              </w:rPr>
              <w:t xml:space="preserve">THE COMPANION FILES.  </w:t>
            </w:r>
            <w:r>
              <w:rPr>
                <w:color w:val="1C3A36"/>
                <w:sz w:val="19"/>
              </w:rPr>
              <w:t>The workbook recalculates this entire study live: 5,775 formulas against 198 pasted filing values, with all thirty sensitivity grid points written out as complete formula engines and every formula cell verified against the model by an independent evaluator — 0 unresolvable, 0 unchecked, 0 disagreements. The bibliography lists all 152 registered inputs with their sources, the triangulations, and the negative results.</w:t>
            </w:r>
          </w:p>
          <w:p>
            <w:pPr>
              <w:spacing w:after="100"/>
            </w:pPr>
            <w:r>
              <w:rPr>
                <w:b/>
                <w:color w:val="1C3A36"/>
                <w:sz w:val="19"/>
              </w:rPr>
              <w:t xml:space="preserve">WHAT CHANGED IN THIS EDITION.  </w:t>
            </w:r>
            <w:r>
              <w:rPr>
                <w:color w:val="1C3A36"/>
                <w:sz w:val="19"/>
              </w:rPr>
              <w:t>The base year moved from nine annualised months to the twelve contiguous months to 30 June 2026; the cost side is now built per product line; capital expenditure, depreciation and working capital are built rather than extrapolated; and the equity bridge now carries three disclosed claims it previously omitted. The fair-value estimate moved from EGP 9.38 (before the filings) to 7.16 (on the audited nine months) to EGP 5.95. Each restatement is part of the record and none is silently overwritten.</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