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of EGP 10,032 million stands against an enterprise value of EGP 11,085 million that the cash flows support, so the equity in the carried-through column is the thin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3.58</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0.75 at 25.0% to EGP 12.57 at 12.0%; what moves is how far below the price it sits. Reaching the traded price needs about 11.5%, which is 11.5%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2.3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25.76%</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2.31</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2.31 to 2.31</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