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prices and probabilities computed 7 Jul 2026 from the attached daily history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the multiples and the Monte-Carlo factor probabilities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The floor-setter</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Closest to spot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(§3.5-F5 considered and set aside): stc does own a captive-finance-flavoured arm — stc bank — but at SAR 2.0 bn of revenue (2.5% of group) and an early-stage loan book it does not yet warrant the split-legs operating-co-plus-lender treatment; it is carried inside the subsidiaries line with a justified N/A, to be revisited once SAMA-reported bank financials give it a book worth marking separately. Throughout, the cost of equity is published explicitly as Ke = rf + β × ERP = 5.50% + 0.48 × 5.01% = 7.90% (rating basis; 8.25% on the CDS basis), with the beta a genuine — if short-window — regression against TASI rather than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(top-down: stc discloses unit revenue, not subscriber × ARPU detail, so per the house data-discipline gate we forecast disclosed segment lines rather than manufacture a bottom-up split). Group revenue compounds ~3.0% — consumer +2.0–3.0%, enterprise recovering to ~4% as mega-project phasing normalizes, wholesale mid-single-digit on hosting and FWA backhaul, subsidiaries ~5–6% led by solutions, stc bank and center3. The EBITDA margin glides from 31.4% (FY25) to 32.5% by FY30E — Q1-26 already printed 32.9% — as the subsidiary mix matures. Capex intensity follows management’s own band: 16.5% of revenue in FY26–27E (the “edge up slightly” guidance for the mission-critical and data-centre build), fading to 15.0% by FY30E; the long-term guided range is 15–17.5%. A working-capital/OCF-conversion drag of 0.4–0.8% of revenue reflects the receivables-heavy government business. Zakat and income tax at the normalized effective ~9.7% (statutory zakat is 2.5% of the zakat base; FY25’s net credit was a one-off).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(1 − 9.7%)</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(Gordon, g = 2.5%)</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a touch above spot: at a 7.9% cost of equity a locked 5.0% yield growing at ~3% is worth slightly more than the market pays, and any repeat of a special distribution (the quarterly-assessment clause) is free upside to this lens.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a one-off SAR 466 mn zakat credit (prior-year provision reversals), and FY24 before it carried the SAR 12.9 bn TAWAL disposal gain, a SAR 1.5 bn withholding-tax reversal and a SAR 2.6 bn early-retirement charge. Margins sit mid-cycle: EBITDA margin 31.4% is on the guided path (Q1-26: 32.9%), enterprise revenue is at the soft point of the government mega-project phasing, and the subsidiary portfolio (stc bank, center3) is still in its investment phase — 2–3 subsidiaries are guided to turn contribution-positive from 2026. Normalized attributable profit is therefore ~SAR 14.4 bn (reported FY25 14.8 bn less the zakat credit), or EPS ≈ 2.89, capitalized at a through-cycle 15× — the stock’s own multi-year median area and the peer-set mid.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the floor of the set: it pays nothing for growth beyond today’s earnings power and treats the AI-infrastructure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spot. The bear–bull span (37–48) is driven almost entirely by the DCF’s terminal arithmetic — the bear case is WACC +100 bp with margins 50 bp lighter and capex 100 bp heavier; the bull is the mirror image. Note what the spread is NOT about: revenue. A ±1 pp change to every growth rate moves the central by only ~SAR 2 — this is a margin, capex and discount-rate story, which is exactly what §1.7 and §1.9 sensitize.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management guides capex to 15–17.5% of revenue with 2026–27 “edging up.” The cover table below is the whole tension in one place — at the top of the guided band the dividend is only 0.86× covered by model FY26E free cash flow and the balance sheet funds the rest; at the bottom it is fully covered. Each percentage point of capex intensity is worth ≈SAR 0.8 bn of annual FCF and ≈SAR 1.6 of DCF fair value per share. Second: the discount rate. This is a 90%-equity-weighted WACC built on a 0.48 regressed beta from a nine-week window (§1.8) — at β = 1.0 the DCF falls from ~50 to ~34, below spot, so §1.9 publishes the full beta grid rather than letting one regression settle it. Third: the SAMA/Fed path — the rf is 5.5% today; each 50 bp off the Saudi curve adds ≈SAR 4–5 to the DCF and directly lowers the funding cost of the AI-infrastructure build. A fourth, slower variable: KSA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FX factor in the Monte Carlo. Every input in the cost-of-capital build is sourced and named (house rule §3.5-G):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(raw_indices/SA/TASI.csv,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DCF across the two real-unit operating levers (EBITDA margin and capex intensity); the second across WACC × terminal growth; the third across the beta — the single input most likely to move the answer, given the short regression window.</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DCF fair value (SAR/share) across EBITDA-margin and capex-intensity shifts. Bold cells sit nearest spot (SAR 43.86).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DCF fair value (SAR/share) across WACC × terminal growth. Base cell 8.13% × 2.5% = 38.1.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Ke (rating ERP)</w:t>
            </w:r>
          </w:p>
        </w:tc>
        <w:tc>
          <w:tcPr>
            <w:tcW w:type="dxa" w:w="1584"/>
            <w:shd w:val="clear" w:color="auto" w:fill="EAF0EE"/>
          </w:tcPr>
          <w:p>
            <w:pPr>
              <w:spacing w:after="20"/>
            </w:pPr>
            <w:r>
              <w:rPr>
                <w:b/>
                <w:color w:val="1C3A36"/>
                <w:sz w:val="17"/>
              </w:rPr>
              <w:t>WACC</w:t>
            </w:r>
          </w:p>
        </w:tc>
        <w:tc>
          <w:tcPr>
            <w:tcW w:type="dxa" w:w="1872"/>
            <w:shd w:val="clear" w:color="auto" w:fill="EAF0EE"/>
          </w:tcPr>
          <w:p>
            <w:pPr>
              <w:spacing w:after="20"/>
            </w:pPr>
            <w:r>
              <w:rPr>
                <w:b/>
                <w:color w:val="1C3A36"/>
                <w:sz w:val="17"/>
              </w:rPr>
              <w:t>DCF value/sh</w:t>
            </w:r>
          </w:p>
        </w:tc>
        <w:tc>
          <w:tcPr>
            <w:tcW w:type="dxa" w:w="3456"/>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7.00%</w:t>
            </w:r>
          </w:p>
        </w:tc>
        <w:tc>
          <w:tcPr>
            <w:tcW w:type="dxa" w:w="1584"/>
          </w:tcPr>
          <w:p>
            <w:pPr>
              <w:spacing w:after="20"/>
              <w:jc w:val="right"/>
            </w:pPr>
            <w:r>
              <w:rPr>
                <w:color w:val="1C3A36"/>
                <w:sz w:val="17"/>
              </w:rPr>
              <w:t>7.05%</w:t>
            </w:r>
          </w:p>
        </w:tc>
        <w:tc>
          <w:tcPr>
            <w:tcW w:type="dxa" w:w="1872"/>
          </w:tcPr>
          <w:p>
            <w:pPr>
              <w:spacing w:after="20"/>
              <w:jc w:val="right"/>
            </w:pPr>
            <w:r>
              <w:rPr>
                <w:color w:val="1C3A36"/>
                <w:sz w:val="17"/>
              </w:rPr>
              <w:t>59.8</w:t>
            </w:r>
          </w:p>
        </w:tc>
        <w:tc>
          <w:tcPr>
            <w:tcW w:type="dxa" w:w="3456"/>
          </w:tcPr>
          <w:p>
            <w:pPr>
              <w:spacing w:after="20"/>
              <w:jc w:val="right"/>
            </w:pPr>
            <w:r>
              <w:rPr>
                <w:color w:val="1C3A36"/>
                <w:sz w:val="17"/>
              </w:rPr>
            </w:r>
          </w:p>
        </w:tc>
      </w:tr>
      <w:tr>
        <w:tc>
          <w:tcPr>
            <w:tcW w:type="dxa" w:w="1440"/>
          </w:tcPr>
          <w:p>
            <w:pPr>
              <w:spacing w:after="20"/>
            </w:pPr>
            <w:r>
              <w:rPr>
                <w:b/>
                <w:color w:val="1C3A36"/>
                <w:sz w:val="17"/>
              </w:rPr>
              <w:t>0.48</w:t>
            </w:r>
          </w:p>
        </w:tc>
        <w:tc>
          <w:tcPr>
            <w:tcW w:type="dxa" w:w="2016"/>
          </w:tcPr>
          <w:p>
            <w:pPr>
              <w:spacing w:after="20"/>
              <w:jc w:val="right"/>
            </w:pPr>
            <w:r>
              <w:rPr>
                <w:color w:val="1C3A36"/>
                <w:sz w:val="17"/>
              </w:rPr>
              <w:t>7.90%</w:t>
            </w:r>
          </w:p>
        </w:tc>
        <w:tc>
          <w:tcPr>
            <w:tcW w:type="dxa" w:w="1584"/>
          </w:tcPr>
          <w:p>
            <w:pPr>
              <w:spacing w:after="20"/>
              <w:jc w:val="right"/>
            </w:pPr>
            <w:r>
              <w:rPr>
                <w:color w:val="1C3A36"/>
                <w:sz w:val="17"/>
              </w:rPr>
              <w:t>7.59%</w:t>
            </w:r>
          </w:p>
        </w:tc>
        <w:tc>
          <w:tcPr>
            <w:tcW w:type="dxa" w:w="1872"/>
          </w:tcPr>
          <w:p>
            <w:pPr>
              <w:spacing w:after="20"/>
              <w:jc w:val="right"/>
            </w:pPr>
            <w:r>
              <w:rPr>
                <w:color w:val="1C3A36"/>
                <w:sz w:val="17"/>
              </w:rPr>
              <w:t>38.1</w:t>
            </w:r>
          </w:p>
        </w:tc>
        <w:tc>
          <w:tcPr>
            <w:tcW w:type="dxa" w:w="3456"/>
          </w:tcPr>
          <w:p>
            <w:pPr>
              <w:spacing w:after="20"/>
              <w:jc w:val="right"/>
            </w:pPr>
            <w:r>
              <w:rPr>
                <w:color w:val="1C3A36"/>
                <w:sz w:val="17"/>
              </w:rPr>
              <w:t>regressed base (n=40, R² 14%)</w:t>
            </w:r>
          </w:p>
        </w:tc>
      </w:tr>
      <w:tr>
        <w:tc>
          <w:tcPr>
            <w:tcW w:type="dxa" w:w="1440"/>
          </w:tcPr>
          <w:p>
            <w:pPr>
              <w:spacing w:after="20"/>
            </w:pPr>
            <w:r>
              <w:rPr>
                <w:b/>
                <w:color w:val="1C3A36"/>
                <w:sz w:val="17"/>
              </w:rPr>
              <w:t>0.70</w:t>
            </w:r>
          </w:p>
        </w:tc>
        <w:tc>
          <w:tcPr>
            <w:tcW w:type="dxa" w:w="2016"/>
          </w:tcPr>
          <w:p>
            <w:pPr>
              <w:spacing w:after="20"/>
              <w:jc w:val="right"/>
            </w:pPr>
            <w:r>
              <w:rPr>
                <w:color w:val="1C3A36"/>
                <w:sz w:val="17"/>
              </w:rPr>
              <w:t>9.01%</w:t>
            </w:r>
          </w:p>
        </w:tc>
        <w:tc>
          <w:tcPr>
            <w:tcW w:type="dxa" w:w="1584"/>
          </w:tcPr>
          <w:p>
            <w:pPr>
              <w:spacing w:after="20"/>
              <w:jc w:val="right"/>
            </w:pPr>
            <w:r>
              <w:rPr>
                <w:color w:val="1C3A36"/>
                <w:sz w:val="17"/>
              </w:rPr>
              <w:t>8.59%</w:t>
            </w:r>
          </w:p>
        </w:tc>
        <w:tc>
          <w:tcPr>
            <w:tcW w:type="dxa" w:w="1872"/>
          </w:tcPr>
          <w:p>
            <w:pPr>
              <w:spacing w:after="20"/>
              <w:jc w:val="right"/>
            </w:pPr>
            <w:r>
              <w:rPr>
                <w:color w:val="1C3A36"/>
                <w:sz w:val="17"/>
              </w:rPr>
              <w:t>41.8</w:t>
            </w:r>
          </w:p>
        </w:tc>
        <w:tc>
          <w:tcPr>
            <w:tcW w:type="dxa" w:w="3456"/>
          </w:tcPr>
          <w:p>
            <w:pPr>
              <w:spacing w:after="20"/>
              <w:jc w:val="right"/>
            </w:pPr>
            <w:r>
              <w:rPr>
                <w:color w:val="1C3A36"/>
                <w:sz w:val="17"/>
              </w:rPr>
            </w:r>
          </w:p>
        </w:tc>
      </w:tr>
      <w:tr>
        <w:tc>
          <w:tcPr>
            <w:tcW w:type="dxa" w:w="1440"/>
          </w:tcPr>
          <w:p>
            <w:pPr>
              <w:spacing w:after="20"/>
            </w:pPr>
            <w:r>
              <w:rPr>
                <w:b/>
                <w:color w:val="1C3A36"/>
                <w:sz w:val="17"/>
              </w:rPr>
              <w:t>0.85</w:t>
            </w:r>
          </w:p>
        </w:tc>
        <w:tc>
          <w:tcPr>
            <w:tcW w:type="dxa" w:w="2016"/>
          </w:tcPr>
          <w:p>
            <w:pPr>
              <w:spacing w:after="20"/>
              <w:jc w:val="right"/>
            </w:pPr>
            <w:r>
              <w:rPr>
                <w:color w:val="1C3A36"/>
                <w:sz w:val="17"/>
              </w:rPr>
              <w:t>9.76%</w:t>
            </w:r>
          </w:p>
        </w:tc>
        <w:tc>
          <w:tcPr>
            <w:tcW w:type="dxa" w:w="1584"/>
          </w:tcPr>
          <w:p>
            <w:pPr>
              <w:spacing w:after="20"/>
              <w:jc w:val="right"/>
            </w:pPr>
            <w:r>
              <w:rPr>
                <w:color w:val="1C3A36"/>
                <w:sz w:val="17"/>
              </w:rPr>
              <w:t>9.27%</w:t>
            </w:r>
          </w:p>
        </w:tc>
        <w:tc>
          <w:tcPr>
            <w:tcW w:type="dxa" w:w="1872"/>
          </w:tcPr>
          <w:p>
            <w:pPr>
              <w:spacing w:after="20"/>
              <w:jc w:val="right"/>
            </w:pPr>
            <w:r>
              <w:rPr>
                <w:color w:val="1C3A36"/>
                <w:sz w:val="17"/>
              </w:rPr>
              <w:t>37.6</w:t>
            </w:r>
          </w:p>
        </w:tc>
        <w:tc>
          <w:tcPr>
            <w:tcW w:type="dxa" w:w="3456"/>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10.51%</w:t>
            </w:r>
          </w:p>
        </w:tc>
        <w:tc>
          <w:tcPr>
            <w:tcW w:type="dxa" w:w="1584"/>
          </w:tcPr>
          <w:p>
            <w:pPr>
              <w:spacing w:after="20"/>
              <w:jc w:val="right"/>
            </w:pPr>
            <w:r>
              <w:rPr>
                <w:color w:val="1C3A36"/>
                <w:sz w:val="17"/>
              </w:rPr>
              <w:t>9.95%</w:t>
            </w:r>
          </w:p>
        </w:tc>
        <w:tc>
          <w:tcPr>
            <w:tcW w:type="dxa" w:w="1872"/>
          </w:tcPr>
          <w:p>
            <w:pPr>
              <w:spacing w:after="20"/>
              <w:jc w:val="right"/>
            </w:pPr>
            <w:r>
              <w:rPr>
                <w:color w:val="1C3A36"/>
                <w:sz w:val="17"/>
              </w:rPr>
              <w:t>34.2</w:t>
            </w:r>
          </w:p>
        </w:tc>
        <w:tc>
          <w:tcPr>
            <w:tcW w:type="dxa" w:w="3456"/>
          </w:tcPr>
          <w:p>
            <w:pPr>
              <w:spacing w:after="20"/>
              <w:jc w:val="right"/>
            </w:pPr>
            <w:r>
              <w:rPr>
                <w:color w:val="1C3A36"/>
                <w:sz w:val="17"/>
              </w:rPr>
              <w:t>house fallback had the regression failed</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11.51%</w:t>
            </w:r>
          </w:p>
        </w:tc>
        <w:tc>
          <w:tcPr>
            <w:tcW w:type="dxa" w:w="1584"/>
          </w:tcPr>
          <w:p>
            <w:pPr>
              <w:spacing w:after="20"/>
              <w:jc w:val="right"/>
            </w:pPr>
            <w:r>
              <w:rPr>
                <w:color w:val="1C3A36"/>
                <w:sz w:val="17"/>
              </w:rPr>
              <w:t>10.86%</w:t>
            </w:r>
          </w:p>
        </w:tc>
        <w:tc>
          <w:tcPr>
            <w:tcW w:type="dxa" w:w="1872"/>
          </w:tcPr>
          <w:p>
            <w:pPr>
              <w:spacing w:after="20"/>
              <w:jc w:val="right"/>
            </w:pPr>
            <w:r>
              <w:rPr>
                <w:color w:val="1C3A36"/>
                <w:sz w:val="17"/>
              </w:rPr>
              <w:t>30.4</w:t>
            </w:r>
          </w:p>
        </w:tc>
        <w:tc>
          <w:tcPr>
            <w:tcW w:type="dxa" w:w="3456"/>
          </w:tcPr>
          <w:p>
            <w:pPr>
              <w:spacing w:after="20"/>
              <w:jc w:val="right"/>
            </w:pPr>
            <w:r>
              <w:rPr>
                <w:color w:val="1C3A36"/>
                <w:sz w:val="17"/>
              </w:rPr>
            </w:r>
          </w:p>
        </w:tc>
      </w:tr>
    </w:tbl>
    <w:p>
      <w:pPr>
        <w:spacing w:after="40"/>
      </w:pPr>
    </w:p>
    <w:p>
      <w:pPr>
        <w:spacing w:after="200" w:before="0"/>
      </w:pPr>
      <w:r>
        <w:rPr>
          <w:b w:val="0"/>
          <w:i/>
          <w:color w:val="6E7B77"/>
          <w:sz w:val="17"/>
        </w:rPr>
        <w:t>The beta grid is mandatory disclosure here (house rule): a nine-week regression passes the usability gate but is not a settled estimate. Even at β = 0.70 the DCF only converges to spot — the undervaluation read survives moderate beta doubt but not a full reversion to 1.0.</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4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71th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FY26E cover of 0.86–1.04× is an estimate built on management’s own capex band and our margin glide; two consecutive quarters of FCF below the SAR 2.74 bn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KSA mobile — three players, one regulator, heavy 5G capacity — is the scenario in which the margin glide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margin glide to 32.5% is wrong by construction.</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0.86× bear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20"/>
        <w:gridCol w:w="1120"/>
        <w:gridCol w:w="1120"/>
        <w:gridCol w:w="1120"/>
        <w:gridCol w:w="1120"/>
        <w:gridCol w:w="1120"/>
        <w:gridCol w:w="1120"/>
        <w:gridCol w:w="1120"/>
        <w:gridCol w:w="1120"/>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r>
        <w:tc>
          <w:tcPr>
            <w:tcW w:type="dxa" w:w="2736"/>
          </w:tcPr>
          <w:p>
            <w:pPr>
              <w:spacing w:after="20"/>
            </w:pPr>
            <w:r>
              <w:rPr>
                <w:b/>
                <w:color w:val="1C3A36"/>
                <w:sz w:val="17"/>
              </w:rPr>
              <w:t>Stress check</w:t>
            </w:r>
          </w:p>
        </w:tc>
        <w:tc>
          <w:tcPr>
            <w:tcW w:type="dxa" w:w="1224"/>
          </w:tcPr>
          <w:p>
            <w:pPr>
              <w:spacing w:after="20"/>
              <w:jc w:val="right"/>
            </w:pPr>
            <w:r>
              <w:rPr>
                <w:color w:val="1C3A36"/>
                <w:sz w:val="17"/>
              </w:rPr>
              <w:t>At the 17.5% top of the capex band, FY26E cover is 0.86× — the SAR 15.4 bn core cash pile funds the gap for &gt;3 years before leverage exceeds 1× EBITDA; the policy is safe to Q3-2027 barring a margin break.</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the margin glide is the model</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margin glide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Negative search. </w:t>
      </w:r>
      <w:r>
        <w:rPr>
          <w:color w:val="1C3A36"/>
          <w:sz w:val="21"/>
        </w:rPr>
        <w:t>Negative search — nothing found (Searched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Negative search. </w:t>
      </w:r>
      <w:r>
        <w:rPr>
          <w:color w:val="1C3A36"/>
          <w:sz w:val="21"/>
        </w:rPr>
        <w:t>Negative search — nothing found (Searched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Negative search. </w:t>
      </w:r>
      <w:r>
        <w:rPr>
          <w:color w:val="1C3A36"/>
          <w:sz w:val="21"/>
        </w:rPr>
        <w:t>Negative search — nothing found (Searched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Negative search. </w:t>
      </w:r>
      <w:r>
        <w:rPr>
          <w:color w:val="1C3A36"/>
          <w:sz w:val="21"/>
        </w:rPr>
        <w:t>Negative search — nothing found (The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(equity 83.4 bn + net debt 7.1 bn)</w:t>
            </w:r>
          </w:p>
        </w:tc>
        <w:tc>
          <w:tcPr>
            <w:tcW w:type="dxa" w:w="2448"/>
          </w:tcPr>
          <w:p>
            <w:pPr>
              <w:spacing w:after="20"/>
              <w:jc w:val="right"/>
            </w:pPr>
            <w:r>
              <w:rPr>
                <w:color w:val="1C3A36"/>
                <w:sz w:val="18"/>
              </w:rPr>
              <w:t>SAR 90.5 bn</w:t>
            </w:r>
          </w:p>
        </w:tc>
      </w:tr>
      <w:tr>
        <w:tc>
          <w:tcPr>
            <w:tcW w:type="dxa" w:w="6336"/>
          </w:tcPr>
          <w:p>
            <w:pPr>
              <w:spacing w:after="20"/>
            </w:pPr>
            <w:r>
              <w:rPr>
                <w:b/>
                <w:color w:val="1C3A36"/>
                <w:sz w:val="18"/>
              </w:rPr>
              <w:t>FY26E NOPAT → ROIC</w:t>
            </w:r>
          </w:p>
        </w:tc>
        <w:tc>
          <w:tcPr>
            <w:tcW w:type="dxa" w:w="2448"/>
          </w:tcPr>
          <w:p>
            <w:pPr>
              <w:spacing w:after="20"/>
              <w:jc w:val="right"/>
            </w:pPr>
            <w:r>
              <w:rPr>
                <w:color w:val="1C3A36"/>
                <w:sz w:val="18"/>
              </w:rPr>
              <w:t>SAR 13.9 bn → 15.3%</w:t>
            </w:r>
          </w:p>
        </w:tc>
      </w:tr>
      <w:tr>
        <w:tc>
          <w:tcPr>
            <w:tcW w:type="dxa" w:w="6336"/>
          </w:tcPr>
          <w:p>
            <w:pPr>
              <w:spacing w:after="20"/>
            </w:pPr>
            <w:r>
              <w:rPr>
                <w:b/>
                <w:color w:val="1C3A36"/>
                <w:sz w:val="18"/>
              </w:rPr>
              <w:t>WACC (accepts the §1.8 build)</w:t>
            </w:r>
          </w:p>
        </w:tc>
        <w:tc>
          <w:tcPr>
            <w:tcW w:type="dxa" w:w="2448"/>
          </w:tcPr>
          <w:p>
            <w:pPr>
              <w:spacing w:after="20"/>
              <w:jc w:val="right"/>
            </w:pPr>
            <w:r>
              <w:rPr>
                <w:color w:val="1C3A36"/>
                <w:sz w:val="18"/>
              </w:rPr>
              <w:t>7.59%</w:t>
            </w:r>
          </w:p>
        </w:tc>
      </w:tr>
      <w:tr>
        <w:tc>
          <w:tcPr>
            <w:tcW w:type="dxa" w:w="6336"/>
          </w:tcPr>
          <w:p>
            <w:pPr>
              <w:spacing w:after="20"/>
            </w:pPr>
            <w:r>
              <w:rPr>
                <w:b/>
                <w:color w:val="1C3A36"/>
                <w:sz w:val="18"/>
              </w:rPr>
              <w:t>Economic profit = (ROIC − WACC) × IC</w:t>
            </w:r>
          </w:p>
        </w:tc>
        <w:tc>
          <w:tcPr>
            <w:tcW w:type="dxa" w:w="2448"/>
          </w:tcPr>
          <w:p>
            <w:pPr>
              <w:spacing w:after="20"/>
              <w:jc w:val="right"/>
            </w:pPr>
            <w:r>
              <w:rPr>
                <w:color w:val="1C3A36"/>
                <w:sz w:val="18"/>
              </w:rPr>
              <w:t>SAR ~7.0 bn/yr</w:t>
            </w:r>
          </w:p>
        </w:tc>
      </w:tr>
      <w:tr>
        <w:tc>
          <w:tcPr>
            <w:tcW w:type="dxa" w:w="6336"/>
          </w:tcPr>
          <w:p>
            <w:pPr>
              <w:spacing w:after="20"/>
            </w:pPr>
            <w:r>
              <w:rPr>
                <w:b/>
                <w:color w:val="1C3A36"/>
                <w:sz w:val="18"/>
              </w:rPr>
              <w:t>Fade: excess returns decay 2.5%/yr toward WACC</w:t>
            </w:r>
          </w:p>
        </w:tc>
        <w:tc>
          <w:tcPr>
            <w:tcW w:type="dxa" w:w="2448"/>
          </w:tcPr>
          <w:p>
            <w:pPr>
              <w:spacing w:after="20"/>
              <w:jc w:val="right"/>
            </w:pPr>
            <w:r>
              <w:rPr>
                <w:color w:val="1C3A36"/>
                <w:sz w:val="18"/>
              </w:rPr>
              <w:t>EP multiple ≈ 13.2×</w:t>
            </w:r>
          </w:p>
        </w:tc>
      </w:tr>
      <w:tr>
        <w:tc>
          <w:tcPr>
            <w:tcW w:type="dxa" w:w="6336"/>
          </w:tcPr>
          <w:p>
            <w:pPr>
              <w:spacing w:after="20"/>
            </w:pPr>
            <w:r>
              <w:rPr>
                <w:b/>
                <w:color w:val="1C3A36"/>
                <w:sz w:val="18"/>
              </w:rPr>
              <w:t>Core EV = IC + PV(fading EP)</w:t>
            </w:r>
          </w:p>
        </w:tc>
        <w:tc>
          <w:tcPr>
            <w:tcW w:type="dxa" w:w="2448"/>
          </w:tcPr>
          <w:p>
            <w:pPr>
              <w:spacing w:after="20"/>
              <w:jc w:val="right"/>
            </w:pPr>
            <w:r>
              <w:rPr>
                <w:color w:val="1C3A36"/>
                <w:sz w:val="18"/>
              </w:rPr>
              <w:t>SAR ~183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36.8 per share</w:t>
            </w:r>
          </w:p>
        </w:tc>
      </w:tr>
    </w:tbl>
    <w:p>
      <w:pPr>
        <w:spacing w:after="40"/>
      </w:pPr>
    </w:p>
    <w:p>
      <w:pPr>
        <w:spacing w:after="120" w:before="0"/>
      </w:pPr>
      <w:r>
        <w:rPr>
          <w:b w:val="0"/>
          <w:i w:val="0"/>
          <w:color w:val="1C3A36"/>
          <w:sz w:val="19"/>
        </w:rPr>
        <w:t>Sensitivity (swing = the fade rate): at a 1%/yr fade (a durable moat) his value rises to ≈SAR 43; at 4%/yr (competition and technology churn eat the spread) it falls to ≈SAR 33.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36.8 (range 33–43)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fade of roughly 1.5%/yr — gentler than his 2.5%, i.e. the market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(swing = the multiple): at 13.5× SAR 36.8; at 16.5× SAR 50.3; each 1× of P/E ≈ SAR 2.9. Cross-examination: he tells Expert 1 that a fade model is just a multiple wearing a lab coat — the honest disagreement is the number, and 15× for a zero-net-debt incumbent yielding 5% is not heroic when du trades at 17.6×. He tells Expert 3 that the dividend lens undervalues whatever the board chooses not to distribute — the same retained cash the specials keep proving exists.</w:t>
      </w:r>
    </w:p>
    <w:p>
      <w:pPr>
        <w:spacing w:after="120" w:before="0"/>
      </w:pPr>
      <w:r>
        <w:rPr>
          <w:b/>
          <w:i w:val="0"/>
          <w:color w:val="1C3A36"/>
          <w:sz w:val="21"/>
        </w:rPr>
        <w:t xml:space="preserve">Verdict, falsification, market-implied. </w:t>
      </w:r>
      <w:r>
        <w:rPr>
          <w:b w:val="0"/>
          <w:i w:val="0"/>
          <w:color w:val="1C3A36"/>
          <w:sz w:val="21"/>
        </w:rPr>
        <w:t>Fair SAR 39.8 (range 37–50) — a whisker below spot: on clean current earnings the stock is fully priced, and everything above 15× is paying for growth not yet printed. Falsified by two consecutive years of double-digit adjusted EPS growth (his base would be stale), or by the margin glide reversing. The market pays 15.1× his normalized EPS — it agrees with him almost exactly.</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essentially the DDM with eyes open, and the panel value closest to spot.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“Fifteen percent returns on ninety billion of capital, fading as every telecom’s returns have always faded. The data centres are capex with a press release until someone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SAMA’s next moves are the Fed’s, and the sovereign has made this company its digital-infrastructure champion. Price the policy, not the physics — SAR 46.”</w:t>
      </w:r>
    </w:p>
    <w:p>
      <w:pPr>
        <w:spacing w:after="120" w:before="0"/>
      </w:pPr>
      <w:r>
        <w:rPr>
          <w:b w:val="0"/>
          <w:i w:val="0"/>
          <w:color w:val="1C3A36"/>
          <w:sz w:val="19"/>
        </w:rPr>
        <w:t>Expert 2: “You are both reaching. Clean earnings are SAR 2.89 a share, growing high single digits; the market pays 15× for that across the Gulf. Everything else — fades, scenario trees, gigawatts — is a story about the sixteenth multiple point. SAR 43, and the market agrees with me to the decimal.”</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36.8</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37 to 40, about 23% of the low — is narrow by this series’ standards, and it measures one thing cleanly: how much of stc’s current 15% return on capital survives the next decade of competition, technology churn and nation-scale capex. Expert 1 charges for the erosion explicitly and lands below spot; Expert 2 freezes today’s clean earnings at a market multiple and lands at spot; Expert 3 prices the policy floor and lands above it. The house lenses (§1.5) sit above the panel because the DCF credits the margin glide and capex fade the experts decline to pre-pay for — that gap, ~SAR 4, is the price of believing management’s own guidance. An investor’s position on this stock reduces to a position on that one axis: if the AI-infrastructure build earns telecom-plus returns, the house DCF is right and the stock is cheap; if it earns telecom-minus, Expert 1 is right and today’s price already flatters it.</w:t>
      </w:r>
    </w:p>
    <w:p>
      <w:pPr>
        <w:spacing w:after="200" w:before="0"/>
      </w:pPr>
      <w:r>
        <w:rPr>
          <w:b w:val="0"/>
          <w:i/>
          <w:color w:val="6E7B77"/>
          <w:sz w:val="17"/>
        </w:rPr>
        <w:t>Each expert’s point fair value (and bull/base/bear where applicable) is logged with the study date (9 Jul 2026) and spot (SAR 43.86).</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Spot price and market data are as of 7 July 2026 and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