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2E5E4E"/>
          <w:sz w:val="34"/>
        </w:rPr>
        <w:t>TALAAT MOUSTAFA GROUP HOLDING</w:t>
      </w:r>
    </w:p>
    <w:p>
      <w:pPr>
        <w:spacing w:after="280"/>
      </w:pPr>
      <w:r>
        <w:rPr>
          <w:b w:val="0"/>
          <w:i w:val="0"/>
          <w:color w:val="5B6570"/>
          <w:sz w:val="20"/>
        </w:rPr>
        <w:t>Sources, inputs and judgements · 1 September 2026</w:t>
      </w:r>
    </w:p>
    <w:p>
      <w:pPr>
        <w:spacing w:after="140"/>
      </w:pPr>
      <w:r>
        <w:rPr>
          <w:b w:val="0"/>
          <w:i w:val="0"/>
          <w:color w:val="1A1D21"/>
          <w:sz w:val="20"/>
        </w:rPr>
        <w:t>This document lists every number the accompanying study uses, where it came from, when it was published and how reliable it is. It also lists what was looked for and not found, because an absence is a finding.</w:t>
      </w:r>
    </w:p>
    <w:p>
      <w:pPr>
        <w:pStyle w:val="Heading1"/>
      </w:pPr>
      <w:r>
        <w:t>Primary documents</w:t>
      </w:r>
    </w:p>
    <w:tbl>
      <w:tblPr>
        <w:tblStyle w:val="TableGrid"/>
        <w:tblW w:type="auto" w:w="0"/>
        <w:jc w:val="center"/>
        <w:tblLayout w:type="fixed"/>
        <w:tblLook w:firstColumn="1" w:firstRow="1" w:lastColumn="0" w:lastRow="0" w:noHBand="0" w:noVBand="1" w:val="04A0"/>
        <w:tblLayout w:type="fixed"/>
      </w:tblPr>
      <w:tblGrid>
        <w:gridCol w:w="7144"/>
        <w:gridCol w:w="1928"/>
      </w:tblGrid>
      <w:tr>
        <w:trPr>
          <w:tblHeader w:val="true"/>
        </w:trPr>
        <w:tc>
          <w:tcPr>
            <w:tcW w:type="dxa" w:w="7143"/>
          </w:tcPr>
          <w:p>
            <w:r/>
            <w:r>
              <w:rPr>
                <w:b/>
                <w:color w:val="5B6570"/>
                <w:sz w:val="17"/>
              </w:rPr>
              <w:t>Document</w:t>
            </w:r>
          </w:p>
        </w:tc>
        <w:tc>
          <w:tcPr>
            <w:tcW w:type="dxa" w:w="1928"/>
          </w:tcPr>
          <w:p>
            <w:r/>
            <w:r>
              <w:rPr>
                <w:b/>
                <w:color w:val="5B6570"/>
                <w:sz w:val="17"/>
              </w:rPr>
              <w:t>Period it reports</w:t>
            </w:r>
          </w:p>
        </w:tc>
      </w:tr>
      <w:tr>
        <w:trPr>
          <w:cantSplit/>
        </w:trPr>
        <w:tc>
          <w:tcPr>
            <w:tcW w:type="dxa" w:w="7143"/>
          </w:tcPr>
          <w:p>
            <w:r/>
            <w:r>
              <w:rPr>
                <w:color w:val="1A1D21"/>
                <w:sz w:val="17"/>
              </w:rPr>
              <w:t>TMG Holding 1H 2026 earnings release, Cairo, 12 August 2026, via https://talaatmoustafa.com/investor-relations/</w:t>
            </w:r>
          </w:p>
        </w:tc>
        <w:tc>
          <w:tcPr>
            <w:tcW w:type="dxa" w:w="1928"/>
          </w:tcPr>
          <w:p>
            <w:pPr>
              <w:jc w:val="right"/>
            </w:pPr>
            <w:r/>
            <w:r>
              <w:rPr>
                <w:color w:val="1A1D21"/>
                <w:sz w:val="17"/>
              </w:rPr>
              <w:t>2025-06-30</w:t>
            </w:r>
          </w:p>
        </w:tc>
      </w:tr>
      <w:tr>
        <w:trPr>
          <w:cantSplit/>
        </w:trPr>
        <w:tc>
          <w:tcPr>
            <w:tcW w:type="dxa" w:w="7143"/>
          </w:tcPr>
          <w:p>
            <w:r/>
            <w:r>
              <w:rPr>
                <w:color w:val="1A1D21"/>
                <w:sz w:val="17"/>
              </w:rPr>
              <w:t>TMG Holding FY2024 earnings release, via https://talaatmoustafa.com/investor-relations/</w:t>
            </w:r>
          </w:p>
        </w:tc>
        <w:tc>
          <w:tcPr>
            <w:tcW w:type="dxa" w:w="1928"/>
          </w:tcPr>
          <w:p>
            <w:pPr>
              <w:jc w:val="right"/>
            </w:pPr>
            <w:r/>
            <w:r>
              <w:rPr>
                <w:color w:val="1A1D21"/>
                <w:sz w:val="17"/>
              </w:rPr>
              <w:t>2024-12-31</w:t>
            </w:r>
          </w:p>
        </w:tc>
      </w:tr>
      <w:tr>
        <w:trPr>
          <w:cantSplit/>
        </w:trPr>
        <w:tc>
          <w:tcPr>
            <w:tcW w:type="dxa" w:w="7143"/>
          </w:tcPr>
          <w:p>
            <w:r/>
            <w:r>
              <w:rPr>
                <w:color w:val="1A1D21"/>
                <w:sz w:val="17"/>
              </w:rPr>
              <w:t>TMG Holding FY2025 earnings release, via https://talaatmoustafa.com/investor-relations/</w:t>
            </w:r>
          </w:p>
        </w:tc>
        <w:tc>
          <w:tcPr>
            <w:tcW w:type="dxa" w:w="1928"/>
          </w:tcPr>
          <w:p>
            <w:pPr>
              <w:jc w:val="right"/>
            </w:pPr>
            <w:r/>
            <w:r>
              <w:rPr>
                <w:color w:val="1A1D21"/>
                <w:sz w:val="17"/>
              </w:rPr>
              <w:t>2025-12-31</w:t>
            </w:r>
          </w:p>
        </w:tc>
      </w:tr>
      <w:tr>
        <w:trPr>
          <w:cantSplit/>
        </w:trPr>
        <w:tc>
          <w:tcPr>
            <w:tcW w:type="dxa" w:w="7143"/>
          </w:tcPr>
          <w:p>
            <w:r/>
            <w:r>
              <w:rPr>
                <w:color w:val="1A1D21"/>
                <w:sz w:val="17"/>
              </w:rPr>
              <w:t>TMG Holding consolidated financial statements for the year ended 31 December 2023, via https://talaatmoustafa.com/investor-relations/</w:t>
            </w:r>
          </w:p>
        </w:tc>
        <w:tc>
          <w:tcPr>
            <w:tcW w:type="dxa" w:w="1928"/>
          </w:tcPr>
          <w:p>
            <w:pPr>
              <w:jc w:val="right"/>
            </w:pPr>
            <w:r/>
            <w:r>
              <w:rPr>
                <w:color w:val="1A1D21"/>
                <w:sz w:val="17"/>
              </w:rPr>
              <w:t>2023-12-31</w:t>
            </w:r>
          </w:p>
        </w:tc>
      </w:tr>
      <w:tr>
        <w:trPr>
          <w:cantSplit/>
        </w:trPr>
        <w:tc>
          <w:tcPr>
            <w:tcW w:type="dxa" w:w="7143"/>
          </w:tcPr>
          <w:p>
            <w:r/>
            <w:r>
              <w:rPr>
                <w:color w:val="1A1D21"/>
                <w:sz w:val="17"/>
              </w:rPr>
              <w:t>TMG Holding consolidated financial statements for the year ended 31 December 2024, via https://talaatmoustafa.com/investor-relations/</w:t>
            </w:r>
          </w:p>
        </w:tc>
        <w:tc>
          <w:tcPr>
            <w:tcW w:type="dxa" w:w="1928"/>
          </w:tcPr>
          <w:p>
            <w:pPr>
              <w:jc w:val="right"/>
            </w:pPr>
            <w:r/>
            <w:r>
              <w:rPr>
                <w:color w:val="1A1D21"/>
                <w:sz w:val="17"/>
              </w:rPr>
              <w:t>2024-12-31</w:t>
            </w:r>
          </w:p>
        </w:tc>
      </w:tr>
      <w:tr>
        <w:trPr>
          <w:cantSplit/>
        </w:trPr>
        <w:tc>
          <w:tcPr>
            <w:tcW w:type="dxa" w:w="7143"/>
          </w:tcPr>
          <w:p>
            <w:r/>
            <w:r>
              <w:rPr>
                <w:color w:val="1A1D21"/>
                <w:sz w:val="17"/>
              </w:rPr>
              <w:t>TMG Holding consolidated financial statements for the year ended 31 December 2025</w:t>
            </w:r>
          </w:p>
        </w:tc>
        <w:tc>
          <w:tcPr>
            <w:tcW w:type="dxa" w:w="1928"/>
          </w:tcPr>
          <w:p>
            <w:pPr>
              <w:jc w:val="right"/>
            </w:pPr>
            <w:r/>
            <w:r>
              <w:rPr>
                <w:color w:val="1A1D21"/>
                <w:sz w:val="17"/>
              </w:rPr>
              <w:t>2025-12-31</w:t>
            </w:r>
          </w:p>
        </w:tc>
      </w:tr>
      <w:tr>
        <w:trPr>
          <w:cantSplit/>
        </w:trPr>
        <w:tc>
          <w:tcPr>
            <w:tcW w:type="dxa" w:w="7143"/>
          </w:tcPr>
          <w:p>
            <w:r/>
            <w:r>
              <w:rPr>
                <w:color w:val="1A1D21"/>
                <w:sz w:val="17"/>
              </w:rPr>
              <w:t>TMG Holding interim consolidated financial statements for the three and six months ended 30 June 2026</w:t>
            </w:r>
          </w:p>
        </w:tc>
        <w:tc>
          <w:tcPr>
            <w:tcW w:type="dxa" w:w="1928"/>
          </w:tcPr>
          <w:p>
            <w:pPr>
              <w:jc w:val="right"/>
            </w:pPr>
            <w:r/>
            <w:r>
              <w:rPr>
                <w:color w:val="1A1D21"/>
                <w:sz w:val="17"/>
              </w:rPr>
              <w:t>2026-06-30</w:t>
            </w:r>
          </w:p>
        </w:tc>
      </w:tr>
      <w:tr>
        <w:trPr>
          <w:cantSplit/>
        </w:trPr>
        <w:tc>
          <w:tcPr>
            <w:tcW w:type="dxa" w:w="7143"/>
          </w:tcPr>
          <w:p>
            <w:r/>
            <w:r>
              <w:rPr>
                <w:color w:val="1A1D21"/>
                <w:sz w:val="17"/>
              </w:rPr>
              <w:t>TMG disclosure of 31 May 2026 on the Baghdad licence, which states the transaction takes the total group land bank from about 115mn sqm to about 128mn sqm and the GCC land bank to about 28mn sqm</w:t>
            </w:r>
          </w:p>
        </w:tc>
        <w:tc>
          <w:tcPr>
            <w:tcW w:type="dxa" w:w="1928"/>
          </w:tcPr>
          <w:p>
            <w:pPr>
              <w:jc w:val="right"/>
            </w:pPr>
            <w:r/>
            <w:r>
              <w:rPr>
                <w:color w:val="1A1D21"/>
                <w:sz w:val="17"/>
              </w:rPr>
              <w:t>2026-05-31</w:t>
            </w:r>
          </w:p>
        </w:tc>
      </w:tr>
    </w:tbl>
    <w:p>
      <w:pPr>
        <w:spacing w:after="200"/>
      </w:pPr>
      <w:r>
        <w:rPr>
          <w:b w:val="0"/>
          <w:i/>
          <w:color w:val="5B6570"/>
          <w:sz w:val="16"/>
        </w:rPr>
        <w:t>Every one of these was downloaded from the company's own investor-relations page. The whole archive back to 2007 was read for this edition: 138 of the 140 documents sought were obtained, and the two that were not are dead links on the company's own site — the first-half 2009 and second-quarter 2017 results releases.</w:t>
      </w:r>
    </w:p>
    <w:p>
      <w:pPr>
        <w:pStyle w:val="Heading1"/>
      </w:pPr>
      <w:r>
        <w:t>Every input, with its source</w:t>
      </w:r>
    </w:p>
    <w:p>
      <w:pPr>
        <w:pStyle w:val="Heading2"/>
      </w:pPr>
      <w:r>
        <w:t>Company — income statement</w:t>
      </w:r>
    </w:p>
    <w:tbl>
      <w:tblPr>
        <w:tblStyle w:val="TableGrid"/>
        <w:tblW w:type="auto" w:w="0"/>
        <w:jc w:val="center"/>
        <w:tblLayout w:type="fixed"/>
        <w:tblLook w:firstColumn="1" w:firstRow="1" w:lastColumn="0" w:lastRow="0" w:noHBand="0" w:noVBand="1" w:val="04A0"/>
        <w:tblLayout w:type="fixed"/>
      </w:tblPr>
      <w:tblGrid>
        <w:gridCol w:w="1219"/>
        <w:gridCol w:w="777"/>
        <w:gridCol w:w="1038"/>
        <w:gridCol w:w="1128"/>
        <w:gridCol w:w="1344"/>
        <w:gridCol w:w="3566"/>
      </w:tblGrid>
      <w:tr>
        <w:trPr>
          <w:tblHeader w:val="true"/>
        </w:trPr>
        <w:tc>
          <w:tcPr>
            <w:tcW w:type="dxa" w:w="1219"/>
          </w:tcPr>
          <w:p>
            <w:r/>
            <w:r>
              <w:rPr>
                <w:b/>
                <w:color w:val="5B6570"/>
                <w:sz w:val="15"/>
              </w:rPr>
              <w:t>Input</w:t>
            </w:r>
          </w:p>
        </w:tc>
        <w:tc>
          <w:tcPr>
            <w:tcW w:type="dxa" w:w="777"/>
          </w:tcPr>
          <w:p>
            <w:r/>
            <w:r>
              <w:rPr>
                <w:b/>
                <w:color w:val="5B6570"/>
                <w:sz w:val="15"/>
              </w:rPr>
              <w:t>Value</w:t>
            </w:r>
          </w:p>
        </w:tc>
        <w:tc>
          <w:tcPr>
            <w:tcW w:type="dxa" w:w="1037"/>
          </w:tcPr>
          <w:p>
            <w:r/>
            <w:r>
              <w:rPr>
                <w:b/>
                <w:color w:val="5B6570"/>
                <w:sz w:val="15"/>
              </w:rPr>
              <w:t>Unit</w:t>
            </w:r>
          </w:p>
        </w:tc>
        <w:tc>
          <w:tcPr>
            <w:tcW w:type="dxa" w:w="1128"/>
          </w:tcPr>
          <w:p>
            <w:r/>
            <w:r>
              <w:rPr>
                <w:b/>
                <w:color w:val="5B6570"/>
                <w:sz w:val="15"/>
              </w:rPr>
              <w:t>As at</w:t>
            </w:r>
          </w:p>
        </w:tc>
        <w:tc>
          <w:tcPr>
            <w:tcW w:type="dxa" w:w="1344"/>
          </w:tcPr>
          <w:p>
            <w:r/>
            <w:r>
              <w:rPr>
                <w:b/>
                <w:color w:val="5B6570"/>
                <w:sz w:val="15"/>
              </w:rPr>
              <w:t>Reliability</w:t>
            </w:r>
          </w:p>
        </w:tc>
        <w:tc>
          <w:tcPr>
            <w:tcW w:type="dxa" w:w="3566"/>
          </w:tcPr>
          <w:p>
            <w:r/>
            <w:r>
              <w:rPr>
                <w:b/>
                <w:color w:val="5B6570"/>
                <w:sz w:val="15"/>
              </w:rPr>
              <w:t>Note</w:t>
            </w:r>
          </w:p>
        </w:tc>
      </w:tr>
      <w:tr>
        <w:trPr>
          <w:cantSplit/>
        </w:trPr>
        <w:tc>
          <w:tcPr>
            <w:tcW w:type="dxa" w:w="1219"/>
          </w:tcPr>
          <w:p>
            <w:r/>
            <w:r>
              <w:rPr>
                <w:color w:val="1A1D21"/>
                <w:sz w:val="15"/>
              </w:rPr>
              <w:t>dev revenue fy25</w:t>
            </w:r>
          </w:p>
        </w:tc>
        <w:tc>
          <w:tcPr>
            <w:tcW w:type="dxa" w:w="777"/>
          </w:tcPr>
          <w:p>
            <w:pPr>
              <w:jc w:val="right"/>
            </w:pPr>
            <w:r/>
            <w:r>
              <w:rPr>
                <w:color w:val="1A1D21"/>
                <w:sz w:val="15"/>
              </w:rPr>
              <w:t>36,706</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dev cost fy25</w:t>
            </w:r>
          </w:p>
        </w:tc>
        <w:tc>
          <w:tcPr>
            <w:tcW w:type="dxa" w:w="777"/>
          </w:tcPr>
          <w:p>
            <w:pPr>
              <w:jc w:val="right"/>
            </w:pPr>
            <w:r/>
            <w:r>
              <w:rPr>
                <w:color w:val="1A1D21"/>
                <w:sz w:val="15"/>
              </w:rPr>
              <w:t>26,645</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hosp revenue fy25</w:t>
            </w:r>
          </w:p>
        </w:tc>
        <w:tc>
          <w:tcPr>
            <w:tcW w:type="dxa" w:w="777"/>
          </w:tcPr>
          <w:p>
            <w:pPr>
              <w:jc w:val="right"/>
            </w:pPr>
            <w:r/>
            <w:r>
              <w:rPr>
                <w:color w:val="1A1D21"/>
                <w:sz w:val="15"/>
              </w:rPr>
              <w:t>14,890</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hosp cost fy25</w:t>
            </w:r>
          </w:p>
        </w:tc>
        <w:tc>
          <w:tcPr>
            <w:tcW w:type="dxa" w:w="777"/>
          </w:tcPr>
          <w:p>
            <w:pPr>
              <w:jc w:val="right"/>
            </w:pPr>
            <w:r/>
            <w:r>
              <w:rPr>
                <w:color w:val="1A1D21"/>
                <w:sz w:val="15"/>
              </w:rPr>
              <w:t>7,801</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other revenue fy25</w:t>
            </w:r>
          </w:p>
        </w:tc>
        <w:tc>
          <w:tcPr>
            <w:tcW w:type="dxa" w:w="777"/>
          </w:tcPr>
          <w:p>
            <w:pPr>
              <w:jc w:val="right"/>
            </w:pPr>
            <w:r/>
            <w:r>
              <w:rPr>
                <w:color w:val="1A1D21"/>
                <w:sz w:val="15"/>
              </w:rPr>
              <w:t>10,900</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other cost fy25</w:t>
            </w:r>
          </w:p>
        </w:tc>
        <w:tc>
          <w:tcPr>
            <w:tcW w:type="dxa" w:w="777"/>
          </w:tcPr>
          <w:p>
            <w:pPr>
              <w:jc w:val="right"/>
            </w:pPr>
            <w:r/>
            <w:r>
              <w:rPr>
                <w:color w:val="1A1D21"/>
                <w:sz w:val="15"/>
              </w:rPr>
              <w:t>7,194</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gross profit fy25</w:t>
            </w:r>
          </w:p>
        </w:tc>
        <w:tc>
          <w:tcPr>
            <w:tcW w:type="dxa" w:w="777"/>
          </w:tcPr>
          <w:p>
            <w:pPr>
              <w:jc w:val="right"/>
            </w:pPr>
            <w:r/>
            <w:r>
              <w:rPr>
                <w:color w:val="1A1D21"/>
                <w:sz w:val="15"/>
              </w:rPr>
              <w:t>20,855</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ip revaluation fy25</w:t>
            </w:r>
          </w:p>
        </w:tc>
        <w:tc>
          <w:tcPr>
            <w:tcW w:type="dxa" w:w="777"/>
          </w:tcPr>
          <w:p>
            <w:pPr>
              <w:jc w:val="right"/>
            </w:pPr>
            <w:r/>
            <w:r>
              <w:rPr>
                <w:color w:val="1A1D21"/>
                <w:sz w:val="15"/>
              </w:rPr>
              <w:t>3,952</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t>non-cash fair-value gain on investment property; excluded from the cash-flow lens</w:t>
            </w:r>
          </w:p>
        </w:tc>
      </w:tr>
      <w:tr>
        <w:trPr>
          <w:cantSplit/>
        </w:trPr>
        <w:tc>
          <w:tcPr>
            <w:tcW w:type="dxa" w:w="1219"/>
          </w:tcPr>
          <w:p>
            <w:r/>
            <w:r>
              <w:rPr>
                <w:color w:val="1A1D21"/>
                <w:sz w:val="15"/>
              </w:rPr>
              <w:t>other income fy25</w:t>
            </w:r>
          </w:p>
        </w:tc>
        <w:tc>
          <w:tcPr>
            <w:tcW w:type="dxa" w:w="777"/>
          </w:tcPr>
          <w:p>
            <w:pPr>
              <w:jc w:val="right"/>
            </w:pPr>
            <w:r/>
            <w:r>
              <w:rPr>
                <w:color w:val="1A1D21"/>
                <w:sz w:val="15"/>
              </w:rPr>
              <w:t>3,654</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ga fy25</w:t>
            </w:r>
          </w:p>
        </w:tc>
        <w:tc>
          <w:tcPr>
            <w:tcW w:type="dxa" w:w="777"/>
          </w:tcPr>
          <w:p>
            <w:pPr>
              <w:jc w:val="right"/>
            </w:pPr>
            <w:r/>
            <w:r>
              <w:rPr>
                <w:color w:val="1A1D21"/>
                <w:sz w:val="15"/>
              </w:rPr>
              <w:t>2,133</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marketing fy25</w:t>
            </w:r>
          </w:p>
        </w:tc>
        <w:tc>
          <w:tcPr>
            <w:tcW w:type="dxa" w:w="777"/>
          </w:tcPr>
          <w:p>
            <w:pPr>
              <w:jc w:val="right"/>
            </w:pPr>
            <w:r/>
            <w:r>
              <w:rPr>
                <w:color w:val="1A1D21"/>
                <w:sz w:val="15"/>
              </w:rPr>
              <w:t>746</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fx fy25</w:t>
            </w:r>
          </w:p>
        </w:tc>
        <w:tc>
          <w:tcPr>
            <w:tcW w:type="dxa" w:w="777"/>
          </w:tcPr>
          <w:p>
            <w:pPr>
              <w:jc w:val="right"/>
            </w:pPr>
            <w:r/>
            <w:r>
              <w:rPr>
                <w:color w:val="1A1D21"/>
                <w:sz w:val="15"/>
              </w:rPr>
              <w:t>-85.70</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govt donations fy25</w:t>
            </w:r>
          </w:p>
        </w:tc>
        <w:tc>
          <w:tcPr>
            <w:tcW w:type="dxa" w:w="777"/>
          </w:tcPr>
          <w:p>
            <w:pPr>
              <w:jc w:val="right"/>
            </w:pPr>
            <w:r/>
            <w:r>
              <w:rPr>
                <w:color w:val="1A1D21"/>
                <w:sz w:val="15"/>
              </w:rPr>
              <w:t>1,340</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provisions ecl fy25</w:t>
            </w:r>
          </w:p>
        </w:tc>
        <w:tc>
          <w:tcPr>
            <w:tcW w:type="dxa" w:w="777"/>
          </w:tcPr>
          <w:p>
            <w:pPr>
              <w:jc w:val="right"/>
            </w:pPr>
            <w:r/>
            <w:r>
              <w:rPr>
                <w:color w:val="1A1D21"/>
                <w:sz w:val="15"/>
              </w:rPr>
              <w:t>408</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operating income fy25</w:t>
            </w:r>
          </w:p>
        </w:tc>
        <w:tc>
          <w:tcPr>
            <w:tcW w:type="dxa" w:w="777"/>
          </w:tcPr>
          <w:p>
            <w:pPr>
              <w:jc w:val="right"/>
            </w:pPr>
            <w:r/>
            <w:r>
              <w:rPr>
                <w:color w:val="1A1D21"/>
                <w:sz w:val="15"/>
              </w:rPr>
              <w:t>23,749</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finance income fy25</w:t>
            </w:r>
          </w:p>
        </w:tc>
        <w:tc>
          <w:tcPr>
            <w:tcW w:type="dxa" w:w="777"/>
          </w:tcPr>
          <w:p>
            <w:pPr>
              <w:jc w:val="right"/>
            </w:pPr>
            <w:r/>
            <w:r>
              <w:rPr>
                <w:color w:val="1A1D21"/>
                <w:sz w:val="15"/>
              </w:rPr>
              <w:t>4,230</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finance cost fy25</w:t>
            </w:r>
          </w:p>
        </w:tc>
        <w:tc>
          <w:tcPr>
            <w:tcW w:type="dxa" w:w="777"/>
          </w:tcPr>
          <w:p>
            <w:pPr>
              <w:jc w:val="right"/>
            </w:pPr>
            <w:r/>
            <w:r>
              <w:rPr>
                <w:color w:val="1A1D21"/>
                <w:sz w:val="15"/>
              </w:rPr>
              <w:t>3,936</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t>finance expenses 3,820.4 plus bank charges 116.2 per note 37. NOT interest on borrowings alone; the statements do not split the two</w:t>
            </w:r>
          </w:p>
        </w:tc>
      </w:tr>
      <w:tr>
        <w:trPr>
          <w:cantSplit/>
        </w:trPr>
        <w:tc>
          <w:tcPr>
            <w:tcW w:type="dxa" w:w="1219"/>
          </w:tcPr>
          <w:p>
            <w:r/>
            <w:r>
              <w:rPr>
                <w:color w:val="1A1D21"/>
                <w:sz w:val="15"/>
              </w:rPr>
              <w:t>associates fy25</w:t>
            </w:r>
          </w:p>
        </w:tc>
        <w:tc>
          <w:tcPr>
            <w:tcW w:type="dxa" w:w="777"/>
          </w:tcPr>
          <w:p>
            <w:pPr>
              <w:jc w:val="right"/>
            </w:pPr>
            <w:r/>
            <w:r>
              <w:rPr>
                <w:color w:val="1A1D21"/>
                <w:sz w:val="15"/>
              </w:rPr>
              <w:t>38.10</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da fy25</w:t>
            </w:r>
          </w:p>
        </w:tc>
        <w:tc>
          <w:tcPr>
            <w:tcW w:type="dxa" w:w="777"/>
          </w:tcPr>
          <w:p>
            <w:pPr>
              <w:jc w:val="right"/>
            </w:pPr>
            <w:r/>
            <w:r>
              <w:rPr>
                <w:color w:val="1A1D21"/>
                <w:sz w:val="15"/>
              </w:rPr>
              <w:t>427</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pbt fy25</w:t>
            </w:r>
          </w:p>
        </w:tc>
        <w:tc>
          <w:tcPr>
            <w:tcW w:type="dxa" w:w="777"/>
          </w:tcPr>
          <w:p>
            <w:pPr>
              <w:jc w:val="right"/>
            </w:pPr>
            <w:r/>
            <w:r>
              <w:rPr>
                <w:color w:val="1A1D21"/>
                <w:sz w:val="15"/>
              </w:rPr>
              <w:t>23,654</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tax fy25</w:t>
            </w:r>
          </w:p>
        </w:tc>
        <w:tc>
          <w:tcPr>
            <w:tcW w:type="dxa" w:w="777"/>
          </w:tcPr>
          <w:p>
            <w:pPr>
              <w:jc w:val="right"/>
            </w:pPr>
            <w:r/>
            <w:r>
              <w:rPr>
                <w:color w:val="1A1D21"/>
                <w:sz w:val="15"/>
              </w:rPr>
              <w:t>4,334</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deferred tax fy25</w:t>
            </w:r>
          </w:p>
        </w:tc>
        <w:tc>
          <w:tcPr>
            <w:tcW w:type="dxa" w:w="777"/>
          </w:tcPr>
          <w:p>
            <w:pPr>
              <w:jc w:val="right"/>
            </w:pPr>
            <w:r/>
            <w:r>
              <w:rPr>
                <w:color w:val="1A1D21"/>
                <w:sz w:val="15"/>
              </w:rPr>
              <w:t>1,117</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net profit fy25</w:t>
            </w:r>
          </w:p>
        </w:tc>
        <w:tc>
          <w:tcPr>
            <w:tcW w:type="dxa" w:w="777"/>
          </w:tcPr>
          <w:p>
            <w:pPr>
              <w:jc w:val="right"/>
            </w:pPr>
            <w:r/>
            <w:r>
              <w:rPr>
                <w:color w:val="1A1D21"/>
                <w:sz w:val="15"/>
              </w:rPr>
              <w:t>18,202</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npat parent fy25</w:t>
            </w:r>
          </w:p>
        </w:tc>
        <w:tc>
          <w:tcPr>
            <w:tcW w:type="dxa" w:w="777"/>
          </w:tcPr>
          <w:p>
            <w:pPr>
              <w:jc w:val="right"/>
            </w:pPr>
            <w:r/>
            <w:r>
              <w:rPr>
                <w:color w:val="1A1D21"/>
                <w:sz w:val="15"/>
              </w:rPr>
              <w:t>14,384</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nci profit fy25</w:t>
            </w:r>
          </w:p>
        </w:tc>
        <w:tc>
          <w:tcPr>
            <w:tcW w:type="dxa" w:w="777"/>
          </w:tcPr>
          <w:p>
            <w:pPr>
              <w:jc w:val="right"/>
            </w:pPr>
            <w:r/>
            <w:r>
              <w:rPr>
                <w:color w:val="1A1D21"/>
                <w:sz w:val="15"/>
              </w:rPr>
              <w:t>3,818</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eps fy25</w:t>
            </w:r>
          </w:p>
        </w:tc>
        <w:tc>
          <w:tcPr>
            <w:tcW w:type="dxa" w:w="777"/>
          </w:tcPr>
          <w:p>
            <w:pPr>
              <w:jc w:val="right"/>
            </w:pPr>
            <w:r/>
            <w:r>
              <w:rPr>
                <w:color w:val="1A1D21"/>
                <w:sz w:val="15"/>
              </w:rPr>
              <w:t>6.98</w:t>
            </w:r>
          </w:p>
        </w:tc>
        <w:tc>
          <w:tcPr>
            <w:tcW w:type="dxa" w:w="1037"/>
          </w:tcPr>
          <w:p>
            <w:r/>
            <w:r>
              <w:rPr>
                <w:color w:val="1A1D21"/>
                <w:sz w:val="15"/>
              </w:rPr>
              <w:t>EGP/share</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dev revenue fy24</w:t>
            </w:r>
          </w:p>
        </w:tc>
        <w:tc>
          <w:tcPr>
            <w:tcW w:type="dxa" w:w="777"/>
          </w:tcPr>
          <w:p>
            <w:pPr>
              <w:jc w:val="right"/>
            </w:pPr>
            <w:r/>
            <w:r>
              <w:rPr>
                <w:color w:val="1A1D21"/>
                <w:sz w:val="15"/>
              </w:rPr>
              <w:t>24,518</w:t>
            </w:r>
          </w:p>
        </w:tc>
        <w:tc>
          <w:tcPr>
            <w:tcW w:type="dxa" w:w="1037"/>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hosp revenue fy24</w:t>
            </w:r>
          </w:p>
        </w:tc>
        <w:tc>
          <w:tcPr>
            <w:tcW w:type="dxa" w:w="777"/>
          </w:tcPr>
          <w:p>
            <w:pPr>
              <w:jc w:val="right"/>
            </w:pPr>
            <w:r/>
            <w:r>
              <w:rPr>
                <w:color w:val="1A1D21"/>
                <w:sz w:val="15"/>
              </w:rPr>
              <w:t>11,496</w:t>
            </w:r>
          </w:p>
        </w:tc>
        <w:tc>
          <w:tcPr>
            <w:tcW w:type="dxa" w:w="1037"/>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other revenue fy24</w:t>
            </w:r>
          </w:p>
        </w:tc>
        <w:tc>
          <w:tcPr>
            <w:tcW w:type="dxa" w:w="777"/>
          </w:tcPr>
          <w:p>
            <w:pPr>
              <w:jc w:val="right"/>
            </w:pPr>
            <w:r/>
            <w:r>
              <w:rPr>
                <w:color w:val="1A1D21"/>
                <w:sz w:val="15"/>
              </w:rPr>
              <w:t>6,656</w:t>
            </w:r>
          </w:p>
        </w:tc>
        <w:tc>
          <w:tcPr>
            <w:tcW w:type="dxa" w:w="1037"/>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gross profit fy24</w:t>
            </w:r>
          </w:p>
        </w:tc>
        <w:tc>
          <w:tcPr>
            <w:tcW w:type="dxa" w:w="777"/>
          </w:tcPr>
          <w:p>
            <w:pPr>
              <w:jc w:val="right"/>
            </w:pPr>
            <w:r/>
            <w:r>
              <w:rPr>
                <w:color w:val="1A1D21"/>
                <w:sz w:val="15"/>
              </w:rPr>
              <w:t>15,300</w:t>
            </w:r>
          </w:p>
        </w:tc>
        <w:tc>
          <w:tcPr>
            <w:tcW w:type="dxa" w:w="1037"/>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net profit fy24</w:t>
            </w:r>
          </w:p>
        </w:tc>
        <w:tc>
          <w:tcPr>
            <w:tcW w:type="dxa" w:w="777"/>
          </w:tcPr>
          <w:p>
            <w:pPr>
              <w:jc w:val="right"/>
            </w:pPr>
            <w:r/>
            <w:r>
              <w:rPr>
                <w:color w:val="1A1D21"/>
                <w:sz w:val="15"/>
              </w:rPr>
              <w:t>14,468</w:t>
            </w:r>
          </w:p>
        </w:tc>
        <w:tc>
          <w:tcPr>
            <w:tcW w:type="dxa" w:w="1037"/>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npat parent fy24</w:t>
            </w:r>
          </w:p>
        </w:tc>
        <w:tc>
          <w:tcPr>
            <w:tcW w:type="dxa" w:w="777"/>
          </w:tcPr>
          <w:p>
            <w:pPr>
              <w:jc w:val="right"/>
            </w:pPr>
            <w:r/>
            <w:r>
              <w:rPr>
                <w:color w:val="1A1D21"/>
                <w:sz w:val="15"/>
              </w:rPr>
              <w:t>10,723</w:t>
            </w:r>
          </w:p>
        </w:tc>
        <w:tc>
          <w:tcPr>
            <w:tcW w:type="dxa" w:w="1037"/>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gross profit fy24 restated</w:t>
            </w:r>
          </w:p>
        </w:tc>
        <w:tc>
          <w:tcPr>
            <w:tcW w:type="dxa" w:w="777"/>
          </w:tcPr>
          <w:p>
            <w:pPr>
              <w:jc w:val="right"/>
            </w:pPr>
            <w:r/>
            <w:r>
              <w:rPr>
                <w:color w:val="1A1D21"/>
                <w:sz w:val="15"/>
              </w:rPr>
              <w:t>14,002</w:t>
            </w:r>
          </w:p>
        </w:tc>
        <w:tc>
          <w:tcPr>
            <w:tcW w:type="dxa" w:w="1037"/>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net profit fy24 restated</w:t>
            </w:r>
          </w:p>
        </w:tc>
        <w:tc>
          <w:tcPr>
            <w:tcW w:type="dxa" w:w="777"/>
          </w:tcPr>
          <w:p>
            <w:pPr>
              <w:jc w:val="right"/>
            </w:pPr>
            <w:r/>
            <w:r>
              <w:rPr>
                <w:color w:val="1A1D21"/>
                <w:sz w:val="15"/>
              </w:rPr>
              <w:t>12,770</w:t>
            </w:r>
          </w:p>
        </w:tc>
        <w:tc>
          <w:tcPr>
            <w:tcW w:type="dxa" w:w="1037"/>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npat parent fy24 restated</w:t>
            </w:r>
          </w:p>
        </w:tc>
        <w:tc>
          <w:tcPr>
            <w:tcW w:type="dxa" w:w="777"/>
          </w:tcPr>
          <w:p>
            <w:pPr>
              <w:jc w:val="right"/>
            </w:pPr>
            <w:r/>
            <w:r>
              <w:rPr>
                <w:color w:val="1A1D21"/>
                <w:sz w:val="15"/>
              </w:rPr>
              <w:t>9,025</w:t>
            </w:r>
          </w:p>
        </w:tc>
        <w:tc>
          <w:tcPr>
            <w:tcW w:type="dxa" w:w="1037"/>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dev revenue fy23</w:t>
            </w:r>
          </w:p>
        </w:tc>
        <w:tc>
          <w:tcPr>
            <w:tcW w:type="dxa" w:w="777"/>
          </w:tcPr>
          <w:p>
            <w:pPr>
              <w:jc w:val="right"/>
            </w:pPr>
            <w:r/>
            <w:r>
              <w:rPr>
                <w:color w:val="1A1D21"/>
                <w:sz w:val="15"/>
              </w:rPr>
              <w:t>21,579</w:t>
            </w:r>
          </w:p>
        </w:tc>
        <w:tc>
          <w:tcPr>
            <w:tcW w:type="dxa" w:w="1037"/>
          </w:tcPr>
          <w:p>
            <w:r/>
            <w:r>
              <w:rPr>
                <w:color w:val="1A1D21"/>
                <w:sz w:val="15"/>
              </w:rPr>
              <w:t>EGP mn</w:t>
            </w:r>
          </w:p>
        </w:tc>
        <w:tc>
          <w:tcPr>
            <w:tcW w:type="dxa" w:w="1128"/>
          </w:tcPr>
          <w:p>
            <w:pPr>
              <w:jc w:val="right"/>
            </w:pPr>
            <w:r/>
            <w:r>
              <w:rPr>
                <w:color w:val="1A1D21"/>
                <w:sz w:val="15"/>
              </w:rPr>
              <w:t>2023-12-31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hosp revenue fy23</w:t>
            </w:r>
          </w:p>
        </w:tc>
        <w:tc>
          <w:tcPr>
            <w:tcW w:type="dxa" w:w="777"/>
          </w:tcPr>
          <w:p>
            <w:pPr>
              <w:jc w:val="right"/>
            </w:pPr>
            <w:r/>
            <w:r>
              <w:rPr>
                <w:color w:val="1A1D21"/>
                <w:sz w:val="15"/>
              </w:rPr>
              <w:t>3,541</w:t>
            </w:r>
          </w:p>
        </w:tc>
        <w:tc>
          <w:tcPr>
            <w:tcW w:type="dxa" w:w="1037"/>
          </w:tcPr>
          <w:p>
            <w:r/>
            <w:r>
              <w:rPr>
                <w:color w:val="1A1D21"/>
                <w:sz w:val="15"/>
              </w:rPr>
              <w:t>EGP mn</w:t>
            </w:r>
          </w:p>
        </w:tc>
        <w:tc>
          <w:tcPr>
            <w:tcW w:type="dxa" w:w="1128"/>
          </w:tcPr>
          <w:p>
            <w:pPr>
              <w:jc w:val="right"/>
            </w:pPr>
            <w:r/>
            <w:r>
              <w:rPr>
                <w:color w:val="1A1D21"/>
                <w:sz w:val="15"/>
              </w:rPr>
              <w:t>2023-12-31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other revenue fy23</w:t>
            </w:r>
          </w:p>
        </w:tc>
        <w:tc>
          <w:tcPr>
            <w:tcW w:type="dxa" w:w="777"/>
          </w:tcPr>
          <w:p>
            <w:pPr>
              <w:jc w:val="right"/>
            </w:pPr>
            <w:r/>
            <w:r>
              <w:rPr>
                <w:color w:val="1A1D21"/>
                <w:sz w:val="15"/>
              </w:rPr>
              <w:t>3,312</w:t>
            </w:r>
          </w:p>
        </w:tc>
        <w:tc>
          <w:tcPr>
            <w:tcW w:type="dxa" w:w="1037"/>
          </w:tcPr>
          <w:p>
            <w:r/>
            <w:r>
              <w:rPr>
                <w:color w:val="1A1D21"/>
                <w:sz w:val="15"/>
              </w:rPr>
              <w:t>EGP mn</w:t>
            </w:r>
          </w:p>
        </w:tc>
        <w:tc>
          <w:tcPr>
            <w:tcW w:type="dxa" w:w="1128"/>
          </w:tcPr>
          <w:p>
            <w:pPr>
              <w:jc w:val="right"/>
            </w:pPr>
            <w:r/>
            <w:r>
              <w:rPr>
                <w:color w:val="1A1D21"/>
                <w:sz w:val="15"/>
              </w:rPr>
              <w:t>2023-12-31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gross profit fy23</w:t>
            </w:r>
          </w:p>
        </w:tc>
        <w:tc>
          <w:tcPr>
            <w:tcW w:type="dxa" w:w="777"/>
          </w:tcPr>
          <w:p>
            <w:pPr>
              <w:jc w:val="right"/>
            </w:pPr>
            <w:r/>
            <w:r>
              <w:rPr>
                <w:color w:val="1A1D21"/>
                <w:sz w:val="15"/>
              </w:rPr>
              <w:t>8,637</w:t>
            </w:r>
          </w:p>
        </w:tc>
        <w:tc>
          <w:tcPr>
            <w:tcW w:type="dxa" w:w="1037"/>
          </w:tcPr>
          <w:p>
            <w:r/>
            <w:r>
              <w:rPr>
                <w:color w:val="1A1D21"/>
                <w:sz w:val="15"/>
              </w:rPr>
              <w:t>EGP mn</w:t>
            </w:r>
          </w:p>
        </w:tc>
        <w:tc>
          <w:tcPr>
            <w:tcW w:type="dxa" w:w="1128"/>
          </w:tcPr>
          <w:p>
            <w:pPr>
              <w:jc w:val="right"/>
            </w:pPr>
            <w:r/>
            <w:r>
              <w:rPr>
                <w:color w:val="1A1D21"/>
                <w:sz w:val="15"/>
              </w:rPr>
              <w:t>2023-12-31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net profit fy23</w:t>
            </w:r>
          </w:p>
        </w:tc>
        <w:tc>
          <w:tcPr>
            <w:tcW w:type="dxa" w:w="777"/>
          </w:tcPr>
          <w:p>
            <w:pPr>
              <w:jc w:val="right"/>
            </w:pPr>
            <w:r/>
            <w:r>
              <w:rPr>
                <w:color w:val="1A1D21"/>
                <w:sz w:val="15"/>
              </w:rPr>
              <w:t>3,347</w:t>
            </w:r>
          </w:p>
        </w:tc>
        <w:tc>
          <w:tcPr>
            <w:tcW w:type="dxa" w:w="1037"/>
          </w:tcPr>
          <w:p>
            <w:r/>
            <w:r>
              <w:rPr>
                <w:color w:val="1A1D21"/>
                <w:sz w:val="15"/>
              </w:rPr>
              <w:t>EGP mn</w:t>
            </w:r>
          </w:p>
        </w:tc>
        <w:tc>
          <w:tcPr>
            <w:tcW w:type="dxa" w:w="1128"/>
          </w:tcPr>
          <w:p>
            <w:pPr>
              <w:jc w:val="right"/>
            </w:pPr>
            <w:r/>
            <w:r>
              <w:rPr>
                <w:color w:val="1A1D21"/>
                <w:sz w:val="15"/>
              </w:rPr>
              <w:t>2023-12-31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npat parent fy23</w:t>
            </w:r>
          </w:p>
        </w:tc>
        <w:tc>
          <w:tcPr>
            <w:tcW w:type="dxa" w:w="777"/>
          </w:tcPr>
          <w:p>
            <w:pPr>
              <w:jc w:val="right"/>
            </w:pPr>
            <w:r/>
            <w:r>
              <w:rPr>
                <w:color w:val="1A1D21"/>
                <w:sz w:val="15"/>
              </w:rPr>
              <w:t>3,313</w:t>
            </w:r>
          </w:p>
        </w:tc>
        <w:tc>
          <w:tcPr>
            <w:tcW w:type="dxa" w:w="1037"/>
          </w:tcPr>
          <w:p>
            <w:r/>
            <w:r>
              <w:rPr>
                <w:color w:val="1A1D21"/>
                <w:sz w:val="15"/>
              </w:rPr>
              <w:t>EGP mn</w:t>
            </w:r>
          </w:p>
        </w:tc>
        <w:tc>
          <w:tcPr>
            <w:tcW w:type="dxa" w:w="1128"/>
          </w:tcPr>
          <w:p>
            <w:pPr>
              <w:jc w:val="right"/>
            </w:pPr>
            <w:r/>
            <w:r>
              <w:rPr>
                <w:color w:val="1A1D21"/>
                <w:sz w:val="15"/>
              </w:rPr>
              <w:t>2023-12-31</w:t>
            </w:r>
          </w:p>
        </w:tc>
        <w:tc>
          <w:tcPr>
            <w:tcW w:type="dxa" w:w="1344"/>
          </w:tcPr>
          <w:p>
            <w:r/>
            <w:r>
              <w:rPr>
                <w:color w:val="1A1D21"/>
                <w:sz w:val="15"/>
              </w:rPr>
              <w:t>A</w:t>
            </w:r>
          </w:p>
        </w:tc>
        <w:tc>
          <w:tcPr>
            <w:tcW w:type="dxa" w:w="3566"/>
          </w:tcPr>
          <w:p>
            <w:r/>
            <w:r>
              <w:rPr>
                <w:color w:val="1A1D21"/>
                <w:sz w:val="15"/>
              </w:rPr>
            </w:r>
          </w:p>
        </w:tc>
      </w:tr>
    </w:tbl>
    <w:p>
      <w:pPr>
        <w:spacing w:after="80"/>
      </w:pPr>
      <w:r>
        <w:rPr>
          <w:b w:val="0"/>
          <w:i w:val="0"/>
          <w:color w:val="1A1D21"/>
          <w:sz w:val="8"/>
        </w:rPr>
      </w:r>
    </w:p>
    <w:p>
      <w:pPr>
        <w:pStyle w:val="Heading2"/>
      </w:pPr>
      <w:r>
        <w:t>Company — most recent reviewed interim</w:t>
      </w:r>
    </w:p>
    <w:tbl>
      <w:tblPr>
        <w:tblStyle w:val="TableGrid"/>
        <w:tblW w:type="auto" w:w="0"/>
        <w:jc w:val="center"/>
        <w:tblLayout w:type="fixed"/>
        <w:tblLook w:firstColumn="1" w:firstRow="1" w:lastColumn="0" w:lastRow="0" w:noHBand="0" w:noVBand="1" w:val="04A0"/>
        <w:tblLayout w:type="fixed"/>
      </w:tblPr>
      <w:tblGrid>
        <w:gridCol w:w="1038"/>
        <w:gridCol w:w="777"/>
        <w:gridCol w:w="1038"/>
        <w:gridCol w:w="1128"/>
        <w:gridCol w:w="1344"/>
        <w:gridCol w:w="3748"/>
      </w:tblGrid>
      <w:tr>
        <w:trPr>
          <w:tblHeader w:val="true"/>
        </w:trPr>
        <w:tc>
          <w:tcPr>
            <w:tcW w:type="dxa" w:w="1037"/>
          </w:tcPr>
          <w:p>
            <w:r/>
            <w:r>
              <w:rPr>
                <w:b/>
                <w:color w:val="5B6570"/>
                <w:sz w:val="15"/>
              </w:rPr>
              <w:t>Input</w:t>
            </w:r>
          </w:p>
        </w:tc>
        <w:tc>
          <w:tcPr>
            <w:tcW w:type="dxa" w:w="777"/>
          </w:tcPr>
          <w:p>
            <w:r/>
            <w:r>
              <w:rPr>
                <w:b/>
                <w:color w:val="5B6570"/>
                <w:sz w:val="15"/>
              </w:rPr>
              <w:t>Value</w:t>
            </w:r>
          </w:p>
        </w:tc>
        <w:tc>
          <w:tcPr>
            <w:tcW w:type="dxa" w:w="1037"/>
          </w:tcPr>
          <w:p>
            <w:r/>
            <w:r>
              <w:rPr>
                <w:b/>
                <w:color w:val="5B6570"/>
                <w:sz w:val="15"/>
              </w:rPr>
              <w:t>Unit</w:t>
            </w:r>
          </w:p>
        </w:tc>
        <w:tc>
          <w:tcPr>
            <w:tcW w:type="dxa" w:w="1128"/>
          </w:tcPr>
          <w:p>
            <w:r/>
            <w:r>
              <w:rPr>
                <w:b/>
                <w:color w:val="5B6570"/>
                <w:sz w:val="15"/>
              </w:rPr>
              <w:t>As at</w:t>
            </w:r>
          </w:p>
        </w:tc>
        <w:tc>
          <w:tcPr>
            <w:tcW w:type="dxa" w:w="1344"/>
          </w:tcPr>
          <w:p>
            <w:r/>
            <w:r>
              <w:rPr>
                <w:b/>
                <w:color w:val="5B6570"/>
                <w:sz w:val="15"/>
              </w:rPr>
              <w:t>Reliability</w:t>
            </w:r>
          </w:p>
        </w:tc>
        <w:tc>
          <w:tcPr>
            <w:tcW w:type="dxa" w:w="3747"/>
          </w:tcPr>
          <w:p>
            <w:r/>
            <w:r>
              <w:rPr>
                <w:b/>
                <w:color w:val="5B6570"/>
                <w:sz w:val="15"/>
              </w:rPr>
              <w:t>Note</w:t>
            </w:r>
          </w:p>
        </w:tc>
      </w:tr>
      <w:tr>
        <w:trPr>
          <w:cantSplit/>
        </w:trPr>
        <w:tc>
          <w:tcPr>
            <w:tcW w:type="dxa" w:w="1037"/>
          </w:tcPr>
          <w:p>
            <w:r/>
            <w:r>
              <w:rPr>
                <w:color w:val="1A1D21"/>
                <w:sz w:val="15"/>
              </w:rPr>
              <w:t>dev revenue</w:t>
            </w:r>
          </w:p>
        </w:tc>
        <w:tc>
          <w:tcPr>
            <w:tcW w:type="dxa" w:w="777"/>
          </w:tcPr>
          <w:p>
            <w:pPr>
              <w:jc w:val="right"/>
            </w:pPr>
            <w:r/>
            <w:r>
              <w:rPr>
                <w:color w:val="1A1D21"/>
                <w:sz w:val="15"/>
              </w:rPr>
              <w:t>16,967</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dev cost</w:t>
            </w:r>
          </w:p>
        </w:tc>
        <w:tc>
          <w:tcPr>
            <w:tcW w:type="dxa" w:w="777"/>
          </w:tcPr>
          <w:p>
            <w:pPr>
              <w:jc w:val="right"/>
            </w:pPr>
            <w:r/>
            <w:r>
              <w:rPr>
                <w:color w:val="1A1D21"/>
                <w:sz w:val="15"/>
              </w:rPr>
              <w:t>12,458</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hosp revenue</w:t>
            </w:r>
          </w:p>
        </w:tc>
        <w:tc>
          <w:tcPr>
            <w:tcW w:type="dxa" w:w="777"/>
          </w:tcPr>
          <w:p>
            <w:pPr>
              <w:jc w:val="right"/>
            </w:pPr>
            <w:r/>
            <w:r>
              <w:rPr>
                <w:color w:val="1A1D21"/>
                <w:sz w:val="15"/>
              </w:rPr>
              <w:t>7,513</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hosp cost</w:t>
            </w:r>
          </w:p>
        </w:tc>
        <w:tc>
          <w:tcPr>
            <w:tcW w:type="dxa" w:w="777"/>
          </w:tcPr>
          <w:p>
            <w:pPr>
              <w:jc w:val="right"/>
            </w:pPr>
            <w:r/>
            <w:r>
              <w:rPr>
                <w:color w:val="1A1D21"/>
                <w:sz w:val="15"/>
              </w:rPr>
              <w:t>4,104</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other revenue</w:t>
            </w:r>
          </w:p>
        </w:tc>
        <w:tc>
          <w:tcPr>
            <w:tcW w:type="dxa" w:w="777"/>
          </w:tcPr>
          <w:p>
            <w:pPr>
              <w:jc w:val="right"/>
            </w:pPr>
            <w:r/>
            <w:r>
              <w:rPr>
                <w:color w:val="1A1D21"/>
                <w:sz w:val="15"/>
              </w:rPr>
              <w:t>5,712</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other cost</w:t>
            </w:r>
          </w:p>
        </w:tc>
        <w:tc>
          <w:tcPr>
            <w:tcW w:type="dxa" w:w="777"/>
          </w:tcPr>
          <w:p>
            <w:pPr>
              <w:jc w:val="right"/>
            </w:pPr>
            <w:r/>
            <w:r>
              <w:rPr>
                <w:color w:val="1A1D21"/>
                <w:sz w:val="15"/>
              </w:rPr>
              <w:t>3,889</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gross profit</w:t>
            </w:r>
          </w:p>
        </w:tc>
        <w:tc>
          <w:tcPr>
            <w:tcW w:type="dxa" w:w="777"/>
          </w:tcPr>
          <w:p>
            <w:pPr>
              <w:jc w:val="right"/>
            </w:pPr>
            <w:r/>
            <w:r>
              <w:rPr>
                <w:color w:val="1A1D21"/>
                <w:sz w:val="15"/>
              </w:rPr>
              <w:t>9,741</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operating income</w:t>
            </w:r>
          </w:p>
        </w:tc>
        <w:tc>
          <w:tcPr>
            <w:tcW w:type="dxa" w:w="777"/>
          </w:tcPr>
          <w:p>
            <w:pPr>
              <w:jc w:val="right"/>
            </w:pPr>
            <w:r/>
            <w:r>
              <w:rPr>
                <w:color w:val="1A1D21"/>
                <w:sz w:val="15"/>
              </w:rPr>
              <w:t>12,932</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finance income</w:t>
            </w:r>
          </w:p>
        </w:tc>
        <w:tc>
          <w:tcPr>
            <w:tcW w:type="dxa" w:w="777"/>
          </w:tcPr>
          <w:p>
            <w:pPr>
              <w:jc w:val="right"/>
            </w:pPr>
            <w:r/>
            <w:r>
              <w:rPr>
                <w:color w:val="1A1D21"/>
                <w:sz w:val="15"/>
              </w:rPr>
              <w:t>1,037</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finance cost</w:t>
            </w:r>
          </w:p>
        </w:tc>
        <w:tc>
          <w:tcPr>
            <w:tcW w:type="dxa" w:w="777"/>
          </w:tcPr>
          <w:p>
            <w:pPr>
              <w:jc w:val="right"/>
            </w:pPr>
            <w:r/>
            <w:r>
              <w:rPr>
                <w:color w:val="1A1D21"/>
                <w:sz w:val="15"/>
              </w:rPr>
              <w:t>1,006</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da</w:t>
            </w:r>
          </w:p>
        </w:tc>
        <w:tc>
          <w:tcPr>
            <w:tcW w:type="dxa" w:w="777"/>
          </w:tcPr>
          <w:p>
            <w:pPr>
              <w:jc w:val="right"/>
            </w:pPr>
            <w:r/>
            <w:r>
              <w:rPr>
                <w:color w:val="1A1D21"/>
                <w:sz w:val="15"/>
              </w:rPr>
              <w:t>260</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pbt</w:t>
            </w:r>
          </w:p>
        </w:tc>
        <w:tc>
          <w:tcPr>
            <w:tcW w:type="dxa" w:w="777"/>
          </w:tcPr>
          <w:p>
            <w:pPr>
              <w:jc w:val="right"/>
            </w:pPr>
            <w:r/>
            <w:r>
              <w:rPr>
                <w:color w:val="1A1D21"/>
                <w:sz w:val="15"/>
              </w:rPr>
              <w:t>12,746</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tax</w:t>
            </w:r>
          </w:p>
        </w:tc>
        <w:tc>
          <w:tcPr>
            <w:tcW w:type="dxa" w:w="777"/>
          </w:tcPr>
          <w:p>
            <w:pPr>
              <w:jc w:val="right"/>
            </w:pPr>
            <w:r/>
            <w:r>
              <w:rPr>
                <w:color w:val="1A1D21"/>
                <w:sz w:val="15"/>
              </w:rPr>
              <w:t>2,543</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deferred tax</w:t>
            </w:r>
          </w:p>
        </w:tc>
        <w:tc>
          <w:tcPr>
            <w:tcW w:type="dxa" w:w="777"/>
          </w:tcPr>
          <w:p>
            <w:pPr>
              <w:jc w:val="right"/>
            </w:pPr>
            <w:r/>
            <w:r>
              <w:rPr>
                <w:color w:val="1A1D21"/>
                <w:sz w:val="15"/>
              </w:rPr>
              <w:t>257</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net profit</w:t>
            </w:r>
          </w:p>
        </w:tc>
        <w:tc>
          <w:tcPr>
            <w:tcW w:type="dxa" w:w="777"/>
          </w:tcPr>
          <w:p>
            <w:pPr>
              <w:jc w:val="right"/>
            </w:pPr>
            <w:r/>
            <w:r>
              <w:rPr>
                <w:color w:val="1A1D21"/>
                <w:sz w:val="15"/>
              </w:rPr>
              <w:t>9,946</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npat parent</w:t>
            </w:r>
          </w:p>
        </w:tc>
        <w:tc>
          <w:tcPr>
            <w:tcW w:type="dxa" w:w="777"/>
          </w:tcPr>
          <w:p>
            <w:pPr>
              <w:jc w:val="right"/>
            </w:pPr>
            <w:r/>
            <w:r>
              <w:rPr>
                <w:color w:val="1A1D21"/>
                <w:sz w:val="15"/>
              </w:rPr>
              <w:t>7,477</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nci profit</w:t>
            </w:r>
          </w:p>
        </w:tc>
        <w:tc>
          <w:tcPr>
            <w:tcW w:type="dxa" w:w="777"/>
          </w:tcPr>
          <w:p>
            <w:pPr>
              <w:jc w:val="right"/>
            </w:pPr>
            <w:r/>
            <w:r>
              <w:rPr>
                <w:color w:val="1A1D21"/>
                <w:sz w:val="15"/>
              </w:rPr>
              <w:t>2,468</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eps</w:t>
            </w:r>
          </w:p>
        </w:tc>
        <w:tc>
          <w:tcPr>
            <w:tcW w:type="dxa" w:w="777"/>
          </w:tcPr>
          <w:p>
            <w:pPr>
              <w:jc w:val="right"/>
            </w:pPr>
            <w:r/>
            <w:r>
              <w:rPr>
                <w:color w:val="1A1D21"/>
                <w:sz w:val="15"/>
              </w:rPr>
              <w:t>3.63</w:t>
            </w:r>
          </w:p>
        </w:tc>
        <w:tc>
          <w:tcPr>
            <w:tcW w:type="dxa" w:w="1037"/>
          </w:tcPr>
          <w:p>
            <w:r/>
            <w:r>
              <w:rPr>
                <w:color w:val="1A1D21"/>
                <w:sz w:val="15"/>
              </w:rPr>
              <w:t>EGP/share</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h1 25 dev revenue</w:t>
            </w:r>
          </w:p>
        </w:tc>
        <w:tc>
          <w:tcPr>
            <w:tcW w:type="dxa" w:w="777"/>
          </w:tcPr>
          <w:p>
            <w:pPr>
              <w:jc w:val="right"/>
            </w:pPr>
            <w:r/>
            <w:r>
              <w:rPr>
                <w:color w:val="1A1D21"/>
                <w:sz w:val="15"/>
              </w:rPr>
              <w:t>12,622</w:t>
            </w:r>
          </w:p>
        </w:tc>
        <w:tc>
          <w:tcPr>
            <w:tcW w:type="dxa" w:w="1037"/>
          </w:tcPr>
          <w:p>
            <w:r/>
            <w:r>
              <w:rPr>
                <w:color w:val="1A1D21"/>
                <w:sz w:val="15"/>
              </w:rPr>
              <w:t>EGP mn</w:t>
            </w:r>
          </w:p>
        </w:tc>
        <w:tc>
          <w:tcPr>
            <w:tcW w:type="dxa" w:w="1128"/>
          </w:tcPr>
          <w:p>
            <w:pPr>
              <w:jc w:val="right"/>
            </w:pPr>
            <w:r/>
            <w:r>
              <w:rPr>
                <w:color w:val="1A1D21"/>
                <w:sz w:val="15"/>
              </w:rPr>
              <w:t>2025-06-30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h1 25 net profit</w:t>
            </w:r>
          </w:p>
        </w:tc>
        <w:tc>
          <w:tcPr>
            <w:tcW w:type="dxa" w:w="777"/>
          </w:tcPr>
          <w:p>
            <w:pPr>
              <w:jc w:val="right"/>
            </w:pPr>
            <w:r/>
            <w:r>
              <w:rPr>
                <w:color w:val="1A1D21"/>
                <w:sz w:val="15"/>
              </w:rPr>
              <w:t>8,111</w:t>
            </w:r>
          </w:p>
        </w:tc>
        <w:tc>
          <w:tcPr>
            <w:tcW w:type="dxa" w:w="1037"/>
          </w:tcPr>
          <w:p>
            <w:r/>
            <w:r>
              <w:rPr>
                <w:color w:val="1A1D21"/>
                <w:sz w:val="15"/>
              </w:rPr>
              <w:t>EGP mn</w:t>
            </w:r>
          </w:p>
        </w:tc>
        <w:tc>
          <w:tcPr>
            <w:tcW w:type="dxa" w:w="1128"/>
          </w:tcPr>
          <w:p>
            <w:pPr>
              <w:jc w:val="right"/>
            </w:pPr>
            <w:r/>
            <w:r>
              <w:rPr>
                <w:color w:val="1A1D21"/>
                <w:sz w:val="15"/>
              </w:rPr>
              <w:t>2025-06-30</w:t>
            </w:r>
          </w:p>
        </w:tc>
        <w:tc>
          <w:tcPr>
            <w:tcW w:type="dxa" w:w="1344"/>
          </w:tcPr>
          <w:p>
            <w:r/>
            <w:r>
              <w:rPr>
                <w:color w:val="1A1D21"/>
                <w:sz w:val="15"/>
              </w:rPr>
              <w:t>A</w:t>
            </w:r>
          </w:p>
        </w:tc>
        <w:tc>
          <w:tcPr>
            <w:tcW w:type="dxa" w:w="3747"/>
          </w:tcPr>
          <w:p>
            <w:r/>
            <w:r>
              <w:rPr>
                <w:color w:val="1A1D21"/>
                <w:sz w:val="15"/>
              </w:rPr>
            </w:r>
          </w:p>
        </w:tc>
      </w:tr>
    </w:tbl>
    <w:p>
      <w:pPr>
        <w:spacing w:after="80"/>
      </w:pPr>
      <w:r>
        <w:rPr>
          <w:b w:val="0"/>
          <w:i w:val="0"/>
          <w:color w:val="1A1D21"/>
          <w:sz w:val="8"/>
        </w:rPr>
      </w:r>
    </w:p>
    <w:p>
      <w:pPr>
        <w:pStyle w:val="Heading2"/>
      </w:pPr>
      <w:r>
        <w:t>Company — balance sheet</w:t>
      </w:r>
    </w:p>
    <w:tbl>
      <w:tblPr>
        <w:tblStyle w:val="TableGrid"/>
        <w:tblW w:type="auto" w:w="0"/>
        <w:jc w:val="center"/>
        <w:tblLayout w:type="fixed"/>
        <w:tblLook w:firstColumn="1" w:firstRow="1" w:lastColumn="0" w:lastRow="0" w:noHBand="0" w:noVBand="1" w:val="04A0"/>
        <w:tblLayout w:type="fixed"/>
      </w:tblPr>
      <w:tblGrid>
        <w:gridCol w:w="1310"/>
        <w:gridCol w:w="879"/>
        <w:gridCol w:w="635"/>
        <w:gridCol w:w="1128"/>
        <w:gridCol w:w="1344"/>
        <w:gridCol w:w="3782"/>
      </w:tblGrid>
      <w:tr>
        <w:trPr>
          <w:tblHeader w:val="true"/>
        </w:trPr>
        <w:tc>
          <w:tcPr>
            <w:tcW w:type="dxa" w:w="1310"/>
          </w:tcPr>
          <w:p>
            <w:r/>
            <w:r>
              <w:rPr>
                <w:b/>
                <w:color w:val="5B6570"/>
                <w:sz w:val="15"/>
              </w:rPr>
              <w:t>Input</w:t>
            </w:r>
          </w:p>
        </w:tc>
        <w:tc>
          <w:tcPr>
            <w:tcW w:type="dxa" w:w="879"/>
          </w:tcPr>
          <w:p>
            <w:r/>
            <w:r>
              <w:rPr>
                <w:b/>
                <w:color w:val="5B6570"/>
                <w:sz w:val="15"/>
              </w:rPr>
              <w:t>Value</w:t>
            </w:r>
          </w:p>
        </w:tc>
        <w:tc>
          <w:tcPr>
            <w:tcW w:type="dxa" w:w="635"/>
          </w:tcPr>
          <w:p>
            <w:r/>
            <w:r>
              <w:rPr>
                <w:b/>
                <w:color w:val="5B6570"/>
                <w:sz w:val="15"/>
              </w:rPr>
              <w:t>Unit</w:t>
            </w:r>
          </w:p>
        </w:tc>
        <w:tc>
          <w:tcPr>
            <w:tcW w:type="dxa" w:w="1128"/>
          </w:tcPr>
          <w:p>
            <w:r/>
            <w:r>
              <w:rPr>
                <w:b/>
                <w:color w:val="5B6570"/>
                <w:sz w:val="15"/>
              </w:rPr>
              <w:t>As at</w:t>
            </w:r>
          </w:p>
        </w:tc>
        <w:tc>
          <w:tcPr>
            <w:tcW w:type="dxa" w:w="1344"/>
          </w:tcPr>
          <w:p>
            <w:r/>
            <w:r>
              <w:rPr>
                <w:b/>
                <w:color w:val="5B6570"/>
                <w:sz w:val="15"/>
              </w:rPr>
              <w:t>Reliability</w:t>
            </w:r>
          </w:p>
        </w:tc>
        <w:tc>
          <w:tcPr>
            <w:tcW w:type="dxa" w:w="3781"/>
          </w:tcPr>
          <w:p>
            <w:r/>
            <w:r>
              <w:rPr>
                <w:b/>
                <w:color w:val="5B6570"/>
                <w:sz w:val="15"/>
              </w:rPr>
              <w:t>Note</w:t>
            </w:r>
          </w:p>
        </w:tc>
      </w:tr>
      <w:tr>
        <w:trPr>
          <w:cantSplit/>
        </w:trPr>
        <w:tc>
          <w:tcPr>
            <w:tcW w:type="dxa" w:w="1310"/>
          </w:tcPr>
          <w:p>
            <w:r/>
            <w:r>
              <w:rPr>
                <w:color w:val="1A1D21"/>
                <w:sz w:val="15"/>
              </w:rPr>
              <w:t>ppe</w:t>
            </w:r>
          </w:p>
        </w:tc>
        <w:tc>
          <w:tcPr>
            <w:tcW w:type="dxa" w:w="879"/>
          </w:tcPr>
          <w:p>
            <w:pPr>
              <w:jc w:val="right"/>
            </w:pPr>
            <w:r/>
            <w:r>
              <w:rPr>
                <w:color w:val="1A1D21"/>
                <w:sz w:val="15"/>
              </w:rPr>
              <w:t>73,323</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investment property</w:t>
            </w:r>
          </w:p>
        </w:tc>
        <w:tc>
          <w:tcPr>
            <w:tcW w:type="dxa" w:w="879"/>
          </w:tcPr>
          <w:p>
            <w:pPr>
              <w:jc w:val="right"/>
            </w:pPr>
            <w:r/>
            <w:r>
              <w:rPr>
                <w:color w:val="1A1D21"/>
                <w:sz w:val="15"/>
              </w:rPr>
              <w:t>25,228</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assets under construction</w:t>
            </w:r>
          </w:p>
        </w:tc>
        <w:tc>
          <w:tcPr>
            <w:tcW w:type="dxa" w:w="879"/>
          </w:tcPr>
          <w:p>
            <w:pPr>
              <w:jc w:val="right"/>
            </w:pPr>
            <w:r/>
            <w:r>
              <w:rPr>
                <w:color w:val="1A1D21"/>
                <w:sz w:val="15"/>
              </w:rPr>
              <w:t>21,902</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intangibles</w:t>
            </w:r>
          </w:p>
        </w:tc>
        <w:tc>
          <w:tcPr>
            <w:tcW w:type="dxa" w:w="879"/>
          </w:tcPr>
          <w:p>
            <w:pPr>
              <w:jc w:val="right"/>
            </w:pPr>
            <w:r/>
            <w:r>
              <w:rPr>
                <w:color w:val="1A1D21"/>
                <w:sz w:val="15"/>
              </w:rPr>
              <w:t>84.60</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right of use</w:t>
            </w:r>
          </w:p>
        </w:tc>
        <w:tc>
          <w:tcPr>
            <w:tcW w:type="dxa" w:w="879"/>
          </w:tcPr>
          <w:p>
            <w:pPr>
              <w:jc w:val="right"/>
            </w:pPr>
            <w:r/>
            <w:r>
              <w:rPr>
                <w:color w:val="1A1D21"/>
                <w:sz w:val="15"/>
              </w:rPr>
              <w:t>481</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goodwill</w:t>
            </w:r>
          </w:p>
        </w:tc>
        <w:tc>
          <w:tcPr>
            <w:tcW w:type="dxa" w:w="879"/>
          </w:tcPr>
          <w:p>
            <w:pPr>
              <w:jc w:val="right"/>
            </w:pPr>
            <w:r/>
            <w:r>
              <w:rPr>
                <w:color w:val="1A1D21"/>
                <w:sz w:val="15"/>
              </w:rPr>
              <w:t>12,665</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associates</w:t>
            </w:r>
          </w:p>
        </w:tc>
        <w:tc>
          <w:tcPr>
            <w:tcW w:type="dxa" w:w="879"/>
          </w:tcPr>
          <w:p>
            <w:pPr>
              <w:jc w:val="right"/>
            </w:pPr>
            <w:r/>
            <w:r>
              <w:rPr>
                <w:color w:val="1A1D21"/>
                <w:sz w:val="15"/>
              </w:rPr>
              <w:t>1,497</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fvoci</w:t>
            </w:r>
          </w:p>
        </w:tc>
        <w:tc>
          <w:tcPr>
            <w:tcW w:type="dxa" w:w="879"/>
          </w:tcPr>
          <w:p>
            <w:pPr>
              <w:jc w:val="right"/>
            </w:pPr>
            <w:r/>
            <w:r>
              <w:rPr>
                <w:color w:val="1A1D21"/>
                <w:sz w:val="15"/>
              </w:rPr>
              <w:t>1,803</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deposits noncurrent</w:t>
            </w:r>
          </w:p>
        </w:tc>
        <w:tc>
          <w:tcPr>
            <w:tcW w:type="dxa" w:w="879"/>
          </w:tcPr>
          <w:p>
            <w:pPr>
              <w:jc w:val="right"/>
            </w:pPr>
            <w:r/>
            <w:r>
              <w:rPr>
                <w:color w:val="1A1D21"/>
                <w:sz w:val="15"/>
              </w:rPr>
              <w:t>9,394</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deferred tax asset</w:t>
            </w:r>
          </w:p>
        </w:tc>
        <w:tc>
          <w:tcPr>
            <w:tcW w:type="dxa" w:w="879"/>
          </w:tcPr>
          <w:p>
            <w:pPr>
              <w:jc w:val="right"/>
            </w:pPr>
            <w:r/>
            <w:r>
              <w:rPr>
                <w:color w:val="1A1D21"/>
                <w:sz w:val="15"/>
              </w:rPr>
              <w:t>182</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total noncurrent assets</w:t>
            </w:r>
          </w:p>
        </w:tc>
        <w:tc>
          <w:tcPr>
            <w:tcW w:type="dxa" w:w="879"/>
          </w:tcPr>
          <w:p>
            <w:pPr>
              <w:jc w:val="right"/>
            </w:pPr>
            <w:r/>
            <w:r>
              <w:rPr>
                <w:color w:val="1A1D21"/>
                <w:sz w:val="15"/>
              </w:rPr>
              <w:t>146,559</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properties under development</w:t>
            </w:r>
          </w:p>
        </w:tc>
        <w:tc>
          <w:tcPr>
            <w:tcW w:type="dxa" w:w="879"/>
          </w:tcPr>
          <w:p>
            <w:pPr>
              <w:jc w:val="right"/>
            </w:pPr>
            <w:r/>
            <w:r>
              <w:rPr>
                <w:color w:val="1A1D21"/>
                <w:sz w:val="15"/>
              </w:rPr>
              <w:t>148,315</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work in progress</w:t>
            </w:r>
          </w:p>
        </w:tc>
        <w:tc>
          <w:tcPr>
            <w:tcW w:type="dxa" w:w="879"/>
          </w:tcPr>
          <w:p>
            <w:pPr>
              <w:jc w:val="right"/>
            </w:pPr>
            <w:r/>
            <w:r>
              <w:rPr>
                <w:color w:val="1A1D21"/>
                <w:sz w:val="15"/>
              </w:rPr>
              <w:t>23.60</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inventories</w:t>
            </w:r>
          </w:p>
        </w:tc>
        <w:tc>
          <w:tcPr>
            <w:tcW w:type="dxa" w:w="879"/>
          </w:tcPr>
          <w:p>
            <w:pPr>
              <w:jc w:val="right"/>
            </w:pPr>
            <w:r/>
            <w:r>
              <w:rPr>
                <w:color w:val="1A1D21"/>
                <w:sz w:val="15"/>
              </w:rPr>
              <w:t>4,592</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trade notes receivable</w:t>
            </w:r>
          </w:p>
        </w:tc>
        <w:tc>
          <w:tcPr>
            <w:tcW w:type="dxa" w:w="879"/>
          </w:tcPr>
          <w:p>
            <w:pPr>
              <w:jc w:val="right"/>
            </w:pPr>
            <w:r/>
            <w:r>
              <w:rPr>
                <w:color w:val="1A1D21"/>
                <w:sz w:val="15"/>
              </w:rPr>
              <w:t>24,007</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nr undelivered</w:t>
            </w:r>
          </w:p>
        </w:tc>
        <w:tc>
          <w:tcPr>
            <w:tcW w:type="dxa" w:w="879"/>
          </w:tcPr>
          <w:p>
            <w:pPr>
              <w:jc w:val="right"/>
            </w:pPr>
            <w:r/>
            <w:r>
              <w:rPr>
                <w:color w:val="1A1D21"/>
                <w:sz w:val="15"/>
              </w:rPr>
              <w:t>13,770</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other current assets</w:t>
            </w:r>
          </w:p>
        </w:tc>
        <w:tc>
          <w:tcPr>
            <w:tcW w:type="dxa" w:w="879"/>
          </w:tcPr>
          <w:p>
            <w:pPr>
              <w:jc w:val="right"/>
            </w:pPr>
            <w:r/>
            <w:r>
              <w:rPr>
                <w:color w:val="1A1D21"/>
                <w:sz w:val="15"/>
              </w:rPr>
              <w:t>72,648</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fvtpl</w:t>
            </w:r>
          </w:p>
        </w:tc>
        <w:tc>
          <w:tcPr>
            <w:tcW w:type="dxa" w:w="879"/>
          </w:tcPr>
          <w:p>
            <w:pPr>
              <w:jc w:val="right"/>
            </w:pPr>
            <w:r/>
            <w:r>
              <w:rPr>
                <w:color w:val="1A1D21"/>
                <w:sz w:val="15"/>
              </w:rPr>
              <w:t>1,604</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deposits current</w:t>
            </w:r>
          </w:p>
        </w:tc>
        <w:tc>
          <w:tcPr>
            <w:tcW w:type="dxa" w:w="879"/>
          </w:tcPr>
          <w:p>
            <w:pPr>
              <w:jc w:val="right"/>
            </w:pPr>
            <w:r/>
            <w:r>
              <w:rPr>
                <w:color w:val="1A1D21"/>
                <w:sz w:val="15"/>
              </w:rPr>
              <w:t>19,273</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cash</w:t>
            </w:r>
          </w:p>
        </w:tc>
        <w:tc>
          <w:tcPr>
            <w:tcW w:type="dxa" w:w="879"/>
          </w:tcPr>
          <w:p>
            <w:pPr>
              <w:jc w:val="right"/>
            </w:pPr>
            <w:r/>
            <w:r>
              <w:rPr>
                <w:color w:val="1A1D21"/>
                <w:sz w:val="15"/>
              </w:rPr>
              <w:t>47,106</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total current assets</w:t>
            </w:r>
          </w:p>
        </w:tc>
        <w:tc>
          <w:tcPr>
            <w:tcW w:type="dxa" w:w="879"/>
          </w:tcPr>
          <w:p>
            <w:pPr>
              <w:jc w:val="right"/>
            </w:pPr>
            <w:r/>
            <w:r>
              <w:rPr>
                <w:color w:val="1A1D21"/>
                <w:sz w:val="15"/>
              </w:rPr>
              <w:t>331,339</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total assets</w:t>
            </w:r>
          </w:p>
        </w:tc>
        <w:tc>
          <w:tcPr>
            <w:tcW w:type="dxa" w:w="879"/>
          </w:tcPr>
          <w:p>
            <w:pPr>
              <w:jc w:val="right"/>
            </w:pPr>
            <w:r/>
            <w:r>
              <w:rPr>
                <w:color w:val="1A1D21"/>
                <w:sz w:val="15"/>
              </w:rPr>
              <w:t>477,898</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paid capital</w:t>
            </w:r>
          </w:p>
        </w:tc>
        <w:tc>
          <w:tcPr>
            <w:tcW w:type="dxa" w:w="879"/>
          </w:tcPr>
          <w:p>
            <w:pPr>
              <w:jc w:val="right"/>
            </w:pPr>
            <w:r/>
            <w:r>
              <w:rPr>
                <w:color w:val="1A1D21"/>
                <w:sz w:val="15"/>
              </w:rPr>
              <w:t>20,606</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retained earnings</w:t>
            </w:r>
          </w:p>
        </w:tc>
        <w:tc>
          <w:tcPr>
            <w:tcW w:type="dxa" w:w="879"/>
          </w:tcPr>
          <w:p>
            <w:pPr>
              <w:jc w:val="right"/>
            </w:pPr>
            <w:r/>
            <w:r>
              <w:rPr>
                <w:color w:val="1A1D21"/>
                <w:sz w:val="15"/>
              </w:rPr>
              <w:t>65,681</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equity parent</w:t>
            </w:r>
          </w:p>
        </w:tc>
        <w:tc>
          <w:tcPr>
            <w:tcW w:type="dxa" w:w="879"/>
          </w:tcPr>
          <w:p>
            <w:pPr>
              <w:jc w:val="right"/>
            </w:pPr>
            <w:r/>
            <w:r>
              <w:rPr>
                <w:color w:val="1A1D21"/>
                <w:sz w:val="15"/>
              </w:rPr>
              <w:t>91,671</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nci equity</w:t>
            </w:r>
          </w:p>
        </w:tc>
        <w:tc>
          <w:tcPr>
            <w:tcW w:type="dxa" w:w="879"/>
          </w:tcPr>
          <w:p>
            <w:pPr>
              <w:jc w:val="right"/>
            </w:pPr>
            <w:r/>
            <w:r>
              <w:rPr>
                <w:color w:val="1A1D21"/>
                <w:sz w:val="15"/>
              </w:rPr>
              <w:t>75,653</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total equity</w:t>
            </w:r>
          </w:p>
        </w:tc>
        <w:tc>
          <w:tcPr>
            <w:tcW w:type="dxa" w:w="879"/>
          </w:tcPr>
          <w:p>
            <w:pPr>
              <w:jc w:val="right"/>
            </w:pPr>
            <w:r/>
            <w:r>
              <w:rPr>
                <w:color w:val="1A1D21"/>
                <w:sz w:val="15"/>
              </w:rPr>
              <w:t>167,324</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other noncurrent liab</w:t>
            </w:r>
          </w:p>
        </w:tc>
        <w:tc>
          <w:tcPr>
            <w:tcW w:type="dxa" w:w="879"/>
          </w:tcPr>
          <w:p>
            <w:pPr>
              <w:jc w:val="right"/>
            </w:pPr>
            <w:r/>
            <w:r>
              <w:rPr>
                <w:color w:val="1A1D21"/>
                <w:sz w:val="15"/>
              </w:rPr>
              <w:t>51,440</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loans noncurrent</w:t>
            </w:r>
          </w:p>
        </w:tc>
        <w:tc>
          <w:tcPr>
            <w:tcW w:type="dxa" w:w="879"/>
          </w:tcPr>
          <w:p>
            <w:pPr>
              <w:jc w:val="right"/>
            </w:pPr>
            <w:r/>
            <w:r>
              <w:rPr>
                <w:color w:val="1A1D21"/>
                <w:sz w:val="15"/>
              </w:rPr>
              <w:t>13,814</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lease noncurrent</w:t>
            </w:r>
          </w:p>
        </w:tc>
        <w:tc>
          <w:tcPr>
            <w:tcW w:type="dxa" w:w="879"/>
          </w:tcPr>
          <w:p>
            <w:pPr>
              <w:jc w:val="right"/>
            </w:pPr>
            <w:r/>
            <w:r>
              <w:rPr>
                <w:color w:val="1A1D21"/>
                <w:sz w:val="15"/>
              </w:rPr>
              <w:t>272</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deferred tax liab</w:t>
            </w:r>
          </w:p>
        </w:tc>
        <w:tc>
          <w:tcPr>
            <w:tcW w:type="dxa" w:w="879"/>
          </w:tcPr>
          <w:p>
            <w:pPr>
              <w:jc w:val="right"/>
            </w:pPr>
            <w:r/>
            <w:r>
              <w:rPr>
                <w:color w:val="1A1D21"/>
                <w:sz w:val="15"/>
              </w:rPr>
              <w:t>3,240</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total noncurrent liab</w:t>
            </w:r>
          </w:p>
        </w:tc>
        <w:tc>
          <w:tcPr>
            <w:tcW w:type="dxa" w:w="879"/>
          </w:tcPr>
          <w:p>
            <w:pPr>
              <w:jc w:val="right"/>
            </w:pPr>
            <w:r/>
            <w:r>
              <w:rPr>
                <w:color w:val="1A1D21"/>
                <w:sz w:val="15"/>
              </w:rPr>
              <w:t>68,765</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credit facilities</w:t>
            </w:r>
          </w:p>
        </w:tc>
        <w:tc>
          <w:tcPr>
            <w:tcW w:type="dxa" w:w="879"/>
          </w:tcPr>
          <w:p>
            <w:pPr>
              <w:jc w:val="right"/>
            </w:pPr>
            <w:r/>
            <w:r>
              <w:rPr>
                <w:color w:val="1A1D21"/>
                <w:sz w:val="15"/>
              </w:rPr>
              <w:t>1,662</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loans current</w:t>
            </w:r>
          </w:p>
        </w:tc>
        <w:tc>
          <w:tcPr>
            <w:tcW w:type="dxa" w:w="879"/>
          </w:tcPr>
          <w:p>
            <w:pPr>
              <w:jc w:val="right"/>
            </w:pPr>
            <w:r/>
            <w:r>
              <w:rPr>
                <w:color w:val="1A1D21"/>
                <w:sz w:val="15"/>
              </w:rPr>
              <w:t>1,018</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lease current</w:t>
            </w:r>
          </w:p>
        </w:tc>
        <w:tc>
          <w:tcPr>
            <w:tcW w:type="dxa" w:w="879"/>
          </w:tcPr>
          <w:p>
            <w:pPr>
              <w:jc w:val="right"/>
            </w:pPr>
            <w:r/>
            <w:r>
              <w:rPr>
                <w:color w:val="1A1D21"/>
                <w:sz w:val="15"/>
              </w:rPr>
              <w:t>242</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suppliers contractors</w:t>
            </w:r>
          </w:p>
        </w:tc>
        <w:tc>
          <w:tcPr>
            <w:tcW w:type="dxa" w:w="879"/>
          </w:tcPr>
          <w:p>
            <w:pPr>
              <w:jc w:val="right"/>
            </w:pPr>
            <w:r/>
            <w:r>
              <w:rPr>
                <w:color w:val="1A1D21"/>
                <w:sz w:val="15"/>
              </w:rPr>
              <w:t>45,167</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customer advances</w:t>
            </w:r>
          </w:p>
        </w:tc>
        <w:tc>
          <w:tcPr>
            <w:tcW w:type="dxa" w:w="879"/>
          </w:tcPr>
          <w:p>
            <w:pPr>
              <w:jc w:val="right"/>
            </w:pPr>
            <w:r/>
            <w:r>
              <w:rPr>
                <w:color w:val="1A1D21"/>
                <w:sz w:val="15"/>
              </w:rPr>
              <w:t>133,993</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obligations nr undelivered</w:t>
            </w:r>
          </w:p>
        </w:tc>
        <w:tc>
          <w:tcPr>
            <w:tcW w:type="dxa" w:w="879"/>
          </w:tcPr>
          <w:p>
            <w:pPr>
              <w:jc w:val="right"/>
            </w:pPr>
            <w:r/>
            <w:r>
              <w:rPr>
                <w:color w:val="1A1D21"/>
                <w:sz w:val="15"/>
              </w:rPr>
              <w:t>13,770</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dividends payable</w:t>
            </w:r>
          </w:p>
        </w:tc>
        <w:tc>
          <w:tcPr>
            <w:tcW w:type="dxa" w:w="879"/>
          </w:tcPr>
          <w:p>
            <w:pPr>
              <w:jc w:val="right"/>
            </w:pPr>
            <w:r/>
            <w:r>
              <w:rPr>
                <w:color w:val="1A1D21"/>
                <w:sz w:val="15"/>
              </w:rPr>
              <w:t>377</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provisions</w:t>
            </w:r>
          </w:p>
        </w:tc>
        <w:tc>
          <w:tcPr>
            <w:tcW w:type="dxa" w:w="879"/>
          </w:tcPr>
          <w:p>
            <w:pPr>
              <w:jc w:val="right"/>
            </w:pPr>
            <w:r/>
            <w:r>
              <w:rPr>
                <w:color w:val="1A1D21"/>
                <w:sz w:val="15"/>
              </w:rPr>
              <w:t>1,146</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creditors other</w:t>
            </w:r>
          </w:p>
        </w:tc>
        <w:tc>
          <w:tcPr>
            <w:tcW w:type="dxa" w:w="879"/>
          </w:tcPr>
          <w:p>
            <w:pPr>
              <w:jc w:val="right"/>
            </w:pPr>
            <w:r/>
            <w:r>
              <w:rPr>
                <w:color w:val="1A1D21"/>
                <w:sz w:val="15"/>
              </w:rPr>
              <w:t>41,921</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tax payable</w:t>
            </w:r>
          </w:p>
        </w:tc>
        <w:tc>
          <w:tcPr>
            <w:tcW w:type="dxa" w:w="879"/>
          </w:tcPr>
          <w:p>
            <w:pPr>
              <w:jc w:val="right"/>
            </w:pPr>
            <w:r/>
            <w:r>
              <w:rPr>
                <w:color w:val="1A1D21"/>
                <w:sz w:val="15"/>
              </w:rPr>
              <w:t>2,515</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total current liab</w:t>
            </w:r>
          </w:p>
        </w:tc>
        <w:tc>
          <w:tcPr>
            <w:tcW w:type="dxa" w:w="879"/>
          </w:tcPr>
          <w:p>
            <w:pPr>
              <w:jc w:val="right"/>
            </w:pPr>
            <w:r/>
            <w:r>
              <w:rPr>
                <w:color w:val="1A1D21"/>
                <w:sz w:val="15"/>
              </w:rPr>
              <w:t>241,810</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total liabilities</w:t>
            </w:r>
          </w:p>
        </w:tc>
        <w:tc>
          <w:tcPr>
            <w:tcW w:type="dxa" w:w="879"/>
          </w:tcPr>
          <w:p>
            <w:pPr>
              <w:jc w:val="right"/>
            </w:pPr>
            <w:r/>
            <w:r>
              <w:rPr>
                <w:color w:val="1A1D21"/>
                <w:sz w:val="15"/>
              </w:rPr>
              <w:t>310,574</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postdated cheques offbs</w:t>
            </w:r>
          </w:p>
        </w:tc>
        <w:tc>
          <w:tcPr>
            <w:tcW w:type="dxa" w:w="879"/>
          </w:tcPr>
          <w:p>
            <w:pPr>
              <w:jc w:val="right"/>
            </w:pPr>
            <w:r/>
            <w:r>
              <w:rPr>
                <w:color w:val="1A1D21"/>
                <w:sz w:val="15"/>
              </w:rPr>
              <w:t>210,449</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t>post-dated cheques for sold and undelivered units, deliberately NOT on the balance sheet</w:t>
            </w:r>
          </w:p>
        </w:tc>
      </w:tr>
      <w:tr>
        <w:trPr>
          <w:cantSplit/>
        </w:trPr>
        <w:tc>
          <w:tcPr>
            <w:tcW w:type="dxa" w:w="1310"/>
          </w:tcPr>
          <w:p>
            <w:r/>
            <w:r>
              <w:rPr>
                <w:color w:val="1A1D21"/>
                <w:sz w:val="15"/>
              </w:rPr>
              <w:t>cash fy25</w:t>
            </w:r>
          </w:p>
        </w:tc>
        <w:tc>
          <w:tcPr>
            <w:tcW w:type="dxa" w:w="879"/>
          </w:tcPr>
          <w:p>
            <w:pPr>
              <w:jc w:val="right"/>
            </w:pPr>
            <w:r/>
            <w:r>
              <w:rPr>
                <w:color w:val="1A1D21"/>
                <w:sz w:val="15"/>
              </w:rPr>
              <w:t>44,846</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deposits current fy25</w:t>
            </w:r>
          </w:p>
        </w:tc>
        <w:tc>
          <w:tcPr>
            <w:tcW w:type="dxa" w:w="879"/>
          </w:tcPr>
          <w:p>
            <w:pPr>
              <w:jc w:val="right"/>
            </w:pPr>
            <w:r/>
            <w:r>
              <w:rPr>
                <w:color w:val="1A1D21"/>
                <w:sz w:val="15"/>
              </w:rPr>
              <w:t>20,086</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deposits noncurrent fy25</w:t>
            </w:r>
          </w:p>
        </w:tc>
        <w:tc>
          <w:tcPr>
            <w:tcW w:type="dxa" w:w="879"/>
          </w:tcPr>
          <w:p>
            <w:pPr>
              <w:jc w:val="right"/>
            </w:pPr>
            <w:r/>
            <w:r>
              <w:rPr>
                <w:color w:val="1A1D21"/>
                <w:sz w:val="15"/>
              </w:rPr>
              <w:t>8,978</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loans noncurrent fy25</w:t>
            </w:r>
          </w:p>
        </w:tc>
        <w:tc>
          <w:tcPr>
            <w:tcW w:type="dxa" w:w="879"/>
          </w:tcPr>
          <w:p>
            <w:pPr>
              <w:jc w:val="right"/>
            </w:pPr>
            <w:r/>
            <w:r>
              <w:rPr>
                <w:color w:val="1A1D21"/>
                <w:sz w:val="15"/>
              </w:rPr>
              <w:t>9,738</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loans current fy25</w:t>
            </w:r>
          </w:p>
        </w:tc>
        <w:tc>
          <w:tcPr>
            <w:tcW w:type="dxa" w:w="879"/>
          </w:tcPr>
          <w:p>
            <w:pPr>
              <w:jc w:val="right"/>
            </w:pPr>
            <w:r/>
            <w:r>
              <w:rPr>
                <w:color w:val="1A1D21"/>
                <w:sz w:val="15"/>
              </w:rPr>
              <w:t>791</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credit facilities fy25</w:t>
            </w:r>
          </w:p>
        </w:tc>
        <w:tc>
          <w:tcPr>
            <w:tcW w:type="dxa" w:w="879"/>
          </w:tcPr>
          <w:p>
            <w:pPr>
              <w:jc w:val="right"/>
            </w:pPr>
            <w:r/>
            <w:r>
              <w:rPr>
                <w:color w:val="1A1D21"/>
                <w:sz w:val="15"/>
              </w:rPr>
              <w:t>1,273</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customer advances fy25</w:t>
            </w:r>
          </w:p>
        </w:tc>
        <w:tc>
          <w:tcPr>
            <w:tcW w:type="dxa" w:w="879"/>
          </w:tcPr>
          <w:p>
            <w:pPr>
              <w:jc w:val="right"/>
            </w:pPr>
            <w:r/>
            <w:r>
              <w:rPr>
                <w:color w:val="1A1D21"/>
                <w:sz w:val="15"/>
              </w:rPr>
              <w:t>117,676</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properties under development fy25</w:t>
            </w:r>
          </w:p>
        </w:tc>
        <w:tc>
          <w:tcPr>
            <w:tcW w:type="dxa" w:w="879"/>
          </w:tcPr>
          <w:p>
            <w:pPr>
              <w:jc w:val="right"/>
            </w:pPr>
            <w:r/>
            <w:r>
              <w:rPr>
                <w:color w:val="1A1D21"/>
                <w:sz w:val="15"/>
              </w:rPr>
              <w:t>130,059</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equity parent fy25</w:t>
            </w:r>
          </w:p>
        </w:tc>
        <w:tc>
          <w:tcPr>
            <w:tcW w:type="dxa" w:w="879"/>
          </w:tcPr>
          <w:p>
            <w:pPr>
              <w:jc w:val="right"/>
            </w:pPr>
            <w:r/>
            <w:r>
              <w:rPr>
                <w:color w:val="1A1D21"/>
                <w:sz w:val="15"/>
              </w:rPr>
              <w:t>81,048</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nci equity fy25</w:t>
            </w:r>
          </w:p>
        </w:tc>
        <w:tc>
          <w:tcPr>
            <w:tcW w:type="dxa" w:w="879"/>
          </w:tcPr>
          <w:p>
            <w:pPr>
              <w:jc w:val="right"/>
            </w:pPr>
            <w:r/>
            <w:r>
              <w:rPr>
                <w:color w:val="1A1D21"/>
                <w:sz w:val="15"/>
              </w:rPr>
              <w:t>76,661</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total equity fy25</w:t>
            </w:r>
          </w:p>
        </w:tc>
        <w:tc>
          <w:tcPr>
            <w:tcW w:type="dxa" w:w="879"/>
          </w:tcPr>
          <w:p>
            <w:pPr>
              <w:jc w:val="right"/>
            </w:pPr>
            <w:r/>
            <w:r>
              <w:rPr>
                <w:color w:val="1A1D21"/>
                <w:sz w:val="15"/>
              </w:rPr>
              <w:t>157,708</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total assets fy25</w:t>
            </w:r>
          </w:p>
        </w:tc>
        <w:tc>
          <w:tcPr>
            <w:tcW w:type="dxa" w:w="879"/>
          </w:tcPr>
          <w:p>
            <w:pPr>
              <w:jc w:val="right"/>
            </w:pPr>
            <w:r/>
            <w:r>
              <w:rPr>
                <w:color w:val="1A1D21"/>
                <w:sz w:val="15"/>
              </w:rPr>
              <w:t>436,222</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bl>
    <w:p>
      <w:pPr>
        <w:spacing w:after="80"/>
      </w:pPr>
      <w:r>
        <w:rPr>
          <w:b w:val="0"/>
          <w:i w:val="0"/>
          <w:color w:val="1A1D21"/>
          <w:sz w:val="8"/>
        </w:rPr>
      </w:r>
    </w:p>
    <w:p>
      <w:pPr>
        <w:pStyle w:val="Heading2"/>
      </w:pPr>
      <w:r>
        <w:t>Company — operating indicators</w:t>
      </w:r>
    </w:p>
    <w:tbl>
      <w:tblPr>
        <w:tblStyle w:val="TableGrid"/>
        <w:tblW w:type="auto" w:w="0"/>
        <w:jc w:val="center"/>
        <w:tblLayout w:type="fixed"/>
        <w:tblLook w:firstColumn="1" w:firstRow="1" w:lastColumn="0" w:lastRow="0" w:noHBand="0" w:noVBand="1" w:val="04A0"/>
        <w:tblLayout w:type="fixed"/>
      </w:tblPr>
      <w:tblGrid>
        <w:gridCol w:w="1310"/>
        <w:gridCol w:w="879"/>
        <w:gridCol w:w="1446"/>
        <w:gridCol w:w="1128"/>
        <w:gridCol w:w="1344"/>
        <w:gridCol w:w="2965"/>
      </w:tblGrid>
      <w:tr>
        <w:trPr>
          <w:tblHeader w:val="true"/>
        </w:trPr>
        <w:tc>
          <w:tcPr>
            <w:tcW w:type="dxa" w:w="1310"/>
          </w:tcPr>
          <w:p>
            <w:r/>
            <w:r>
              <w:rPr>
                <w:b/>
                <w:color w:val="5B6570"/>
                <w:sz w:val="15"/>
              </w:rPr>
              <w:t>Input</w:t>
            </w:r>
          </w:p>
        </w:tc>
        <w:tc>
          <w:tcPr>
            <w:tcW w:type="dxa" w:w="879"/>
          </w:tcPr>
          <w:p>
            <w:r/>
            <w:r>
              <w:rPr>
                <w:b/>
                <w:color w:val="5B6570"/>
                <w:sz w:val="15"/>
              </w:rPr>
              <w:t>Value</w:t>
            </w:r>
          </w:p>
        </w:tc>
        <w:tc>
          <w:tcPr>
            <w:tcW w:type="dxa" w:w="1446"/>
          </w:tcPr>
          <w:p>
            <w:r/>
            <w:r>
              <w:rPr>
                <w:b/>
                <w:color w:val="5B6570"/>
                <w:sz w:val="15"/>
              </w:rPr>
              <w:t>Unit</w:t>
            </w:r>
          </w:p>
        </w:tc>
        <w:tc>
          <w:tcPr>
            <w:tcW w:type="dxa" w:w="1128"/>
          </w:tcPr>
          <w:p>
            <w:r/>
            <w:r>
              <w:rPr>
                <w:b/>
                <w:color w:val="5B6570"/>
                <w:sz w:val="15"/>
              </w:rPr>
              <w:t>As at</w:t>
            </w:r>
          </w:p>
        </w:tc>
        <w:tc>
          <w:tcPr>
            <w:tcW w:type="dxa" w:w="1344"/>
          </w:tcPr>
          <w:p>
            <w:r/>
            <w:r>
              <w:rPr>
                <w:b/>
                <w:color w:val="5B6570"/>
                <w:sz w:val="15"/>
              </w:rPr>
              <w:t>Reliability</w:t>
            </w:r>
          </w:p>
        </w:tc>
        <w:tc>
          <w:tcPr>
            <w:tcW w:type="dxa" w:w="2965"/>
          </w:tcPr>
          <w:p>
            <w:r/>
            <w:r>
              <w:rPr>
                <w:b/>
                <w:color w:val="5B6570"/>
                <w:sz w:val="15"/>
              </w:rPr>
              <w:t>Note</w:t>
            </w:r>
          </w:p>
        </w:tc>
      </w:tr>
      <w:tr>
        <w:trPr>
          <w:cantSplit/>
        </w:trPr>
        <w:tc>
          <w:tcPr>
            <w:tcW w:type="dxa" w:w="1310"/>
          </w:tcPr>
          <w:p>
            <w:r/>
            <w:r>
              <w:rPr>
                <w:color w:val="1A1D21"/>
                <w:sz w:val="15"/>
              </w:rPr>
              <w:t>backlog jun26</w:t>
            </w:r>
          </w:p>
        </w:tc>
        <w:tc>
          <w:tcPr>
            <w:tcW w:type="dxa" w:w="879"/>
          </w:tcPr>
          <w:p>
            <w:pPr>
              <w:jc w:val="right"/>
            </w:pPr>
            <w:r/>
            <w:r>
              <w:rPr>
                <w:color w:val="1A1D21"/>
                <w:sz w:val="15"/>
              </w:rPr>
              <w:t>491,000</w:t>
            </w:r>
          </w:p>
        </w:tc>
        <w:tc>
          <w:tcPr>
            <w:tcW w:type="dxa" w:w="1446"/>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t>sold but not yet recognised</w:t>
            </w:r>
          </w:p>
        </w:tc>
      </w:tr>
      <w:tr>
        <w:trPr>
          <w:cantSplit/>
        </w:trPr>
        <w:tc>
          <w:tcPr>
            <w:tcW w:type="dxa" w:w="1310"/>
          </w:tcPr>
          <w:p>
            <w:r/>
            <w:r>
              <w:rPr>
                <w:color w:val="1A1D21"/>
                <w:sz w:val="15"/>
              </w:rPr>
              <w:t>backlog mar26</w:t>
            </w:r>
          </w:p>
        </w:tc>
        <w:tc>
          <w:tcPr>
            <w:tcW w:type="dxa" w:w="879"/>
          </w:tcPr>
          <w:p>
            <w:pPr>
              <w:jc w:val="right"/>
            </w:pPr>
            <w:r/>
            <w:r>
              <w:rPr>
                <w:color w:val="1A1D21"/>
                <w:sz w:val="15"/>
              </w:rPr>
              <w:t>457,900</w:t>
            </w:r>
          </w:p>
        </w:tc>
        <w:tc>
          <w:tcPr>
            <w:tcW w:type="dxa" w:w="1446"/>
          </w:tcPr>
          <w:p>
            <w:r/>
            <w:r>
              <w:rPr>
                <w:color w:val="1A1D21"/>
                <w:sz w:val="15"/>
              </w:rPr>
              <w:t>EGP mn</w:t>
            </w:r>
          </w:p>
        </w:tc>
        <w:tc>
          <w:tcPr>
            <w:tcW w:type="dxa" w:w="1128"/>
          </w:tcPr>
          <w:p>
            <w:pPr>
              <w:jc w:val="right"/>
            </w:pPr>
            <w:r/>
            <w:r>
              <w:rPr>
                <w:color w:val="1A1D21"/>
                <w:sz w:val="15"/>
              </w:rPr>
              <w:t>2026-03-31</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backlog jun25</w:t>
            </w:r>
          </w:p>
        </w:tc>
        <w:tc>
          <w:tcPr>
            <w:tcW w:type="dxa" w:w="879"/>
          </w:tcPr>
          <w:p>
            <w:pPr>
              <w:jc w:val="right"/>
            </w:pPr>
            <w:r/>
            <w:r>
              <w:rPr>
                <w:color w:val="1A1D21"/>
                <w:sz w:val="15"/>
              </w:rPr>
              <w:t>363,800</w:t>
            </w:r>
          </w:p>
        </w:tc>
        <w:tc>
          <w:tcPr>
            <w:tcW w:type="dxa" w:w="1446"/>
          </w:tcPr>
          <w:p>
            <w:r/>
            <w:r>
              <w:rPr>
                <w:color w:val="1A1D21"/>
                <w:sz w:val="15"/>
              </w:rPr>
              <w:t>EGP mn</w:t>
            </w:r>
          </w:p>
        </w:tc>
        <w:tc>
          <w:tcPr>
            <w:tcW w:type="dxa" w:w="1128"/>
          </w:tcPr>
          <w:p>
            <w:pPr>
              <w:jc w:val="right"/>
            </w:pPr>
            <w:r/>
            <w:r>
              <w:rPr>
                <w:color w:val="1A1D21"/>
                <w:sz w:val="15"/>
              </w:rPr>
              <w:t>2025-06-30</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backlog fy25</w:t>
            </w:r>
          </w:p>
        </w:tc>
        <w:tc>
          <w:tcPr>
            <w:tcW w:type="dxa" w:w="879"/>
          </w:tcPr>
          <w:p>
            <w:pPr>
              <w:jc w:val="right"/>
            </w:pPr>
            <w:r/>
            <w:r>
              <w:rPr>
                <w:color w:val="1A1D21"/>
                <w:sz w:val="15"/>
              </w:rPr>
              <w:t>441,200</w:t>
            </w:r>
          </w:p>
        </w:tc>
        <w:tc>
          <w:tcPr>
            <w:tcW w:type="dxa" w:w="1446"/>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contracted sales h1 26</w:t>
            </w:r>
          </w:p>
        </w:tc>
        <w:tc>
          <w:tcPr>
            <w:tcW w:type="dxa" w:w="879"/>
          </w:tcPr>
          <w:p>
            <w:pPr>
              <w:jc w:val="right"/>
            </w:pPr>
            <w:r/>
            <w:r>
              <w:rPr>
                <w:color w:val="1A1D21"/>
                <w:sz w:val="15"/>
              </w:rPr>
              <w:t>219,100</w:t>
            </w:r>
          </w:p>
        </w:tc>
        <w:tc>
          <w:tcPr>
            <w:tcW w:type="dxa" w:w="1446"/>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contracted sales q2 26</w:t>
            </w:r>
          </w:p>
        </w:tc>
        <w:tc>
          <w:tcPr>
            <w:tcW w:type="dxa" w:w="879"/>
          </w:tcPr>
          <w:p>
            <w:pPr>
              <w:jc w:val="right"/>
            </w:pPr>
            <w:r/>
            <w:r>
              <w:rPr>
                <w:color w:val="1A1D21"/>
                <w:sz w:val="15"/>
              </w:rPr>
              <w:t>170,100</w:t>
            </w:r>
          </w:p>
        </w:tc>
        <w:tc>
          <w:tcPr>
            <w:tcW w:type="dxa" w:w="1446"/>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contracted sales fy25</w:t>
            </w:r>
          </w:p>
        </w:tc>
        <w:tc>
          <w:tcPr>
            <w:tcW w:type="dxa" w:w="879"/>
          </w:tcPr>
          <w:p>
            <w:pPr>
              <w:jc w:val="right"/>
            </w:pPr>
            <w:r/>
            <w:r>
              <w:rPr>
                <w:color w:val="1A1D21"/>
                <w:sz w:val="15"/>
              </w:rPr>
              <w:t>382,200</w:t>
            </w:r>
          </w:p>
        </w:tc>
        <w:tc>
          <w:tcPr>
            <w:tcW w:type="dxa" w:w="1446"/>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contracted sales fy24</w:t>
            </w:r>
          </w:p>
        </w:tc>
        <w:tc>
          <w:tcPr>
            <w:tcW w:type="dxa" w:w="879"/>
          </w:tcPr>
          <w:p>
            <w:pPr>
              <w:jc w:val="right"/>
            </w:pPr>
            <w:r/>
            <w:r>
              <w:rPr>
                <w:color w:val="1A1D21"/>
                <w:sz w:val="15"/>
              </w:rPr>
              <w:t>504,000</w:t>
            </w:r>
          </w:p>
        </w:tc>
        <w:tc>
          <w:tcPr>
            <w:tcW w:type="dxa" w:w="1446"/>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landbank msqm</w:t>
            </w:r>
          </w:p>
        </w:tc>
        <w:tc>
          <w:tcPr>
            <w:tcW w:type="dxa" w:w="879"/>
          </w:tcPr>
          <w:p>
            <w:pPr>
              <w:jc w:val="right"/>
            </w:pPr>
            <w:r/>
            <w:r>
              <w:rPr>
                <w:color w:val="1A1D21"/>
                <w:sz w:val="15"/>
              </w:rPr>
              <w:t>20.00</w:t>
            </w:r>
          </w:p>
        </w:tc>
        <w:tc>
          <w:tcPr>
            <w:tcW w:type="dxa" w:w="1446"/>
          </w:tcPr>
          <w:p>
            <w:r/>
            <w:r>
              <w:rPr>
                <w:color w:val="1A1D21"/>
                <w:sz w:val="15"/>
              </w:rPr>
              <w:t>mn sqm</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t>stated as 'c.20 mn sqm' on the release's own indicator panel. THIS IS THE REMAINING DEVELOPABLE LAND AND NOT THE GROUP TOTAL, and the distinction is w</w:t>
            </w:r>
          </w:p>
        </w:tc>
      </w:tr>
      <w:tr>
        <w:trPr>
          <w:cantSplit/>
        </w:trPr>
        <w:tc>
          <w:tcPr>
            <w:tcW w:type="dxa" w:w="1310"/>
          </w:tcPr>
          <w:p>
            <w:r/>
            <w:r>
              <w:rPr>
                <w:color w:val="1A1D21"/>
                <w:sz w:val="15"/>
              </w:rPr>
              <w:t>landbank group total msqm</w:t>
            </w:r>
          </w:p>
        </w:tc>
        <w:tc>
          <w:tcPr>
            <w:tcW w:type="dxa" w:w="879"/>
          </w:tcPr>
          <w:p>
            <w:pPr>
              <w:jc w:val="right"/>
            </w:pPr>
            <w:r/>
            <w:r>
              <w:rPr>
                <w:color w:val="1A1D21"/>
                <w:sz w:val="15"/>
              </w:rPr>
              <w:t>128</w:t>
            </w:r>
          </w:p>
        </w:tc>
        <w:tc>
          <w:tcPr>
            <w:tcW w:type="dxa" w:w="1446"/>
          </w:tcPr>
          <w:p>
            <w:r/>
            <w:r>
              <w:rPr>
                <w:color w:val="1A1D21"/>
                <w:sz w:val="15"/>
              </w:rPr>
              <w:t>mn sqm</w:t>
            </w:r>
          </w:p>
        </w:tc>
        <w:tc>
          <w:tcPr>
            <w:tcW w:type="dxa" w:w="1128"/>
          </w:tcPr>
          <w:p>
            <w:pPr>
              <w:jc w:val="right"/>
            </w:pPr>
            <w:r/>
            <w:r>
              <w:rPr>
                <w:color w:val="1A1D21"/>
                <w:sz w:val="15"/>
              </w:rPr>
              <w:t>2026-05-31</w:t>
            </w:r>
          </w:p>
        </w:tc>
        <w:tc>
          <w:tcPr>
            <w:tcW w:type="dxa" w:w="1344"/>
          </w:tcPr>
          <w:p>
            <w:r/>
            <w:r>
              <w:rPr>
                <w:color w:val="1A1D21"/>
                <w:sz w:val="15"/>
              </w:rPr>
              <w:t>A</w:t>
            </w:r>
          </w:p>
        </w:tc>
        <w:tc>
          <w:tcPr>
            <w:tcW w:type="dxa" w:w="2965"/>
          </w:tcPr>
          <w:p>
            <w:r/>
            <w:r>
              <w:rPr>
                <w:color w:val="1A1D21"/>
                <w:sz w:val="15"/>
              </w:rPr>
              <w:t>REGISTERED FOR CONTEXT AND FEEDS NOTHING. It is the gross-acquired measure described above; the 12.8mn sqm Baghdad addition inside it is an Iraqi inve</w:t>
            </w:r>
          </w:p>
        </w:tc>
      </w:tr>
      <w:tr>
        <w:trPr>
          <w:cantSplit/>
        </w:trPr>
        <w:tc>
          <w:tcPr>
            <w:tcW w:type="dxa" w:w="1310"/>
          </w:tcPr>
          <w:p>
            <w:r/>
            <w:r>
              <w:rPr>
                <w:color w:val="1A1D21"/>
                <w:sz w:val="15"/>
              </w:rPr>
              <w:t>hotel keys operating</w:t>
            </w:r>
          </w:p>
        </w:tc>
        <w:tc>
          <w:tcPr>
            <w:tcW w:type="dxa" w:w="879"/>
          </w:tcPr>
          <w:p>
            <w:pPr>
              <w:jc w:val="right"/>
            </w:pPr>
            <w:r/>
            <w:r>
              <w:rPr>
                <w:color w:val="1A1D21"/>
                <w:sz w:val="15"/>
              </w:rPr>
              <w:t>3,500</w:t>
            </w:r>
          </w:p>
        </w:tc>
        <w:tc>
          <w:tcPr>
            <w:tcW w:type="dxa" w:w="1446"/>
          </w:tcPr>
          <w:p>
            <w:r/>
            <w:r>
              <w:rPr>
                <w:color w:val="1A1D21"/>
                <w:sz w:val="15"/>
              </w:rPr>
              <w:t>keys</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t>stated as 'c.3,500'</w:t>
            </w:r>
          </w:p>
        </w:tc>
      </w:tr>
      <w:tr>
        <w:trPr>
          <w:cantSplit/>
        </w:trPr>
        <w:tc>
          <w:tcPr>
            <w:tcW w:type="dxa" w:w="1310"/>
          </w:tcPr>
          <w:p>
            <w:r/>
            <w:r>
              <w:rPr>
                <w:color w:val="1A1D21"/>
                <w:sz w:val="15"/>
              </w:rPr>
              <w:t>hotel keys under construction</w:t>
            </w:r>
          </w:p>
        </w:tc>
        <w:tc>
          <w:tcPr>
            <w:tcW w:type="dxa" w:w="879"/>
          </w:tcPr>
          <w:p>
            <w:pPr>
              <w:jc w:val="right"/>
            </w:pPr>
            <w:r/>
            <w:r>
              <w:rPr>
                <w:color w:val="1A1D21"/>
                <w:sz w:val="15"/>
              </w:rPr>
              <w:t>1,500</w:t>
            </w:r>
          </w:p>
        </w:tc>
        <w:tc>
          <w:tcPr>
            <w:tcW w:type="dxa" w:w="1446"/>
          </w:tcPr>
          <w:p>
            <w:r/>
            <w:r>
              <w:rPr>
                <w:color w:val="1A1D21"/>
                <w:sz w:val="15"/>
              </w:rPr>
              <w:t>keys</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hotel arr h1 26</w:t>
            </w:r>
          </w:p>
        </w:tc>
        <w:tc>
          <w:tcPr>
            <w:tcW w:type="dxa" w:w="879"/>
          </w:tcPr>
          <w:p>
            <w:pPr>
              <w:jc w:val="right"/>
            </w:pPr>
            <w:r/>
            <w:r>
              <w:rPr>
                <w:color w:val="1A1D21"/>
                <w:sz w:val="15"/>
              </w:rPr>
              <w:t>13,209</w:t>
            </w:r>
          </w:p>
        </w:tc>
        <w:tc>
          <w:tcPr>
            <w:tcW w:type="dxa" w:w="1446"/>
          </w:tcPr>
          <w:p>
            <w:r/>
            <w:r>
              <w:rPr>
                <w:color w:val="1A1D21"/>
                <w:sz w:val="15"/>
              </w:rPr>
              <w:t>EGP/room-night</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hospitality ebitda h1 26</w:t>
            </w:r>
          </w:p>
        </w:tc>
        <w:tc>
          <w:tcPr>
            <w:tcW w:type="dxa" w:w="879"/>
          </w:tcPr>
          <w:p>
            <w:pPr>
              <w:jc w:val="right"/>
            </w:pPr>
            <w:r/>
            <w:r>
              <w:rPr>
                <w:color w:val="1A1D21"/>
                <w:sz w:val="15"/>
              </w:rPr>
              <w:t>3,900</w:t>
            </w:r>
          </w:p>
        </w:tc>
        <w:tc>
          <w:tcPr>
            <w:tcW w:type="dxa" w:w="1446"/>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hospitality ebitda margin h1 26</w:t>
            </w:r>
          </w:p>
        </w:tc>
        <w:tc>
          <w:tcPr>
            <w:tcW w:type="dxa" w:w="879"/>
          </w:tcPr>
          <w:p>
            <w:pPr>
              <w:jc w:val="right"/>
            </w:pPr>
            <w:r/>
            <w:r>
              <w:rPr>
                <w:color w:val="1A1D21"/>
                <w:sz w:val="15"/>
              </w:rPr>
              <w:t>0.52</w:t>
            </w:r>
          </w:p>
        </w:tc>
        <w:tc>
          <w:tcPr>
            <w:tcW w:type="dxa" w:w="1446"/>
          </w:tcPr>
          <w:p>
            <w:r/>
            <w:r>
              <w:rPr>
                <w:color w:val="1A1D21"/>
                <w:sz w:val="15"/>
              </w:rPr>
              <w:t>fraction</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southmed cumulative sales</w:t>
            </w:r>
          </w:p>
        </w:tc>
        <w:tc>
          <w:tcPr>
            <w:tcW w:type="dxa" w:w="879"/>
          </w:tcPr>
          <w:p>
            <w:pPr>
              <w:jc w:val="right"/>
            </w:pPr>
            <w:r/>
            <w:r>
              <w:rPr>
                <w:color w:val="1A1D21"/>
                <w:sz w:val="15"/>
              </w:rPr>
              <w:t>500,000</w:t>
            </w:r>
          </w:p>
        </w:tc>
        <w:tc>
          <w:tcPr>
            <w:tcW w:type="dxa" w:w="1446"/>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t>since launch to 30 June 2026</w:t>
            </w:r>
          </w:p>
        </w:tc>
      </w:tr>
      <w:tr>
        <w:trPr>
          <w:cantSplit/>
        </w:trPr>
        <w:tc>
          <w:tcPr>
            <w:tcW w:type="dxa" w:w="1310"/>
          </w:tcPr>
          <w:p>
            <w:r/>
            <w:r>
              <w:rPr>
                <w:color w:val="1A1D21"/>
                <w:sz w:val="15"/>
              </w:rPr>
              <w:t>spine sales since launch</w:t>
            </w:r>
          </w:p>
        </w:tc>
        <w:tc>
          <w:tcPr>
            <w:tcW w:type="dxa" w:w="879"/>
          </w:tcPr>
          <w:p>
            <w:pPr>
              <w:jc w:val="right"/>
            </w:pPr>
            <w:r/>
            <w:r>
              <w:rPr>
                <w:color w:val="1A1D21"/>
                <w:sz w:val="15"/>
              </w:rPr>
              <w:t>33,800</w:t>
            </w:r>
          </w:p>
        </w:tc>
        <w:tc>
          <w:tcPr>
            <w:tcW w:type="dxa" w:w="1446"/>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t>launched April 2026</w:t>
            </w:r>
          </w:p>
        </w:tc>
      </w:tr>
      <w:tr>
        <w:trPr>
          <w:cantSplit/>
        </w:trPr>
        <w:tc>
          <w:tcPr>
            <w:tcW w:type="dxa" w:w="1310"/>
          </w:tcPr>
          <w:p>
            <w:r/>
            <w:r>
              <w:rPr>
                <w:color w:val="1A1D21"/>
                <w:sz w:val="15"/>
              </w:rPr>
              <w:t>banan share of re revenue h1 26</w:t>
            </w:r>
          </w:p>
        </w:tc>
        <w:tc>
          <w:tcPr>
            <w:tcW w:type="dxa" w:w="879"/>
          </w:tcPr>
          <w:p>
            <w:pPr>
              <w:jc w:val="right"/>
            </w:pPr>
            <w:r/>
            <w:r>
              <w:rPr>
                <w:color w:val="1A1D21"/>
                <w:sz w:val="15"/>
              </w:rPr>
              <w:t>0.53</w:t>
            </w:r>
          </w:p>
        </w:tc>
        <w:tc>
          <w:tcPr>
            <w:tcW w:type="dxa" w:w="1446"/>
          </w:tcPr>
          <w:p>
            <w:r/>
            <w:r>
              <w:rPr>
                <w:color w:val="1A1D21"/>
                <w:sz w:val="15"/>
              </w:rPr>
              <w:t>fraction</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t>the percentage-of-completion leg</w:t>
            </w:r>
          </w:p>
        </w:tc>
      </w:tr>
      <w:tr>
        <w:trPr>
          <w:cantSplit/>
        </w:trPr>
        <w:tc>
          <w:tcPr>
            <w:tcW w:type="dxa" w:w="1310"/>
          </w:tcPr>
          <w:p>
            <w:r/>
            <w:r>
              <w:rPr>
                <w:color w:val="1A1D21"/>
                <w:sz w:val="15"/>
              </w:rPr>
              <w:t>units delivered fy25</w:t>
            </w:r>
          </w:p>
        </w:tc>
        <w:tc>
          <w:tcPr>
            <w:tcW w:type="dxa" w:w="879"/>
          </w:tcPr>
          <w:p>
            <w:pPr>
              <w:jc w:val="right"/>
            </w:pPr>
            <w:r/>
            <w:r>
              <w:rPr>
                <w:color w:val="1A1D21"/>
                <w:sz w:val="15"/>
              </w:rPr>
              <w:t>3,196</w:t>
            </w:r>
          </w:p>
        </w:tc>
        <w:tc>
          <w:tcPr>
            <w:tcW w:type="dxa" w:w="1446"/>
          </w:tcPr>
          <w:p>
            <w:r/>
            <w:r>
              <w:rPr>
                <w:color w:val="1A1D21"/>
                <w:sz w:val="15"/>
              </w:rPr>
              <w:t>units</w:t>
            </w:r>
          </w:p>
        </w:tc>
        <w:tc>
          <w:tcPr>
            <w:tcW w:type="dxa" w:w="1128"/>
          </w:tcPr>
          <w:p>
            <w:pPr>
              <w:jc w:val="right"/>
            </w:pPr>
            <w:r/>
            <w:r>
              <w:rPr>
                <w:color w:val="1A1D21"/>
                <w:sz w:val="15"/>
              </w:rPr>
              <w:t>2025-12-31</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shares outstanding</w:t>
            </w:r>
          </w:p>
        </w:tc>
        <w:tc>
          <w:tcPr>
            <w:tcW w:type="dxa" w:w="879"/>
          </w:tcPr>
          <w:p>
            <w:pPr>
              <w:jc w:val="right"/>
            </w:pPr>
            <w:r/>
            <w:r>
              <w:rPr>
                <w:color w:val="1A1D21"/>
                <w:sz w:val="15"/>
              </w:rPr>
              <w:t>2,061</w:t>
            </w:r>
          </w:p>
        </w:tc>
        <w:tc>
          <w:tcPr>
            <w:tcW w:type="dxa" w:w="1446"/>
          </w:tcPr>
          <w:p>
            <w:r/>
            <w:r>
              <w:rPr>
                <w:color w:val="1A1D21"/>
                <w:sz w:val="15"/>
              </w:rPr>
              <w:t>mn shares</w:t>
            </w:r>
          </w:p>
        </w:tc>
        <w:tc>
          <w:tcPr>
            <w:tcW w:type="dxa" w:w="1128"/>
          </w:tcPr>
          <w:p>
            <w:pPr>
              <w:jc w:val="right"/>
            </w:pPr>
            <w:r/>
            <w:r>
              <w:rPr>
                <w:color w:val="1A1D21"/>
                <w:sz w:val="15"/>
              </w:rPr>
              <w:t>2025-12-31</w:t>
            </w:r>
          </w:p>
        </w:tc>
        <w:tc>
          <w:tcPr>
            <w:tcW w:type="dxa" w:w="1344"/>
          </w:tcPr>
          <w:p>
            <w:r/>
            <w:r>
              <w:rPr>
                <w:color w:val="1A1D21"/>
                <w:sz w:val="15"/>
              </w:rPr>
              <w:t>A</w:t>
            </w:r>
          </w:p>
        </w:tc>
        <w:tc>
          <w:tcPr>
            <w:tcW w:type="dxa" w:w="2965"/>
          </w:tcPr>
          <w:p>
            <w:r/>
            <w:r>
              <w:rPr>
                <w:color w:val="1A1D21"/>
                <w:sz w:val="15"/>
              </w:rPr>
              <w:t>paid-up capital EGP 20,606,537,860 at EGP 10 par. Cross-checks: FY2025 attributable profit 14,383.9 / EPS 6.98 = 2,060.7mn</w:t>
            </w:r>
          </w:p>
        </w:tc>
      </w:tr>
    </w:tbl>
    <w:p>
      <w:pPr>
        <w:spacing w:after="80"/>
      </w:pPr>
      <w:r>
        <w:rPr>
          <w:b w:val="0"/>
          <w:i w:val="0"/>
          <w:color w:val="1A1D21"/>
          <w:sz w:val="8"/>
        </w:rPr>
      </w:r>
    </w:p>
    <w:p>
      <w:pPr>
        <w:pStyle w:val="Heading2"/>
      </w:pPr>
      <w:r>
        <w:t>Country-level inputs</w:t>
      </w:r>
    </w:p>
    <w:tbl>
      <w:tblPr>
        <w:tblStyle w:val="TableGrid"/>
        <w:tblW w:type="auto" w:w="0"/>
        <w:jc w:val="center"/>
        <w:tblLayout w:type="fixed"/>
        <w:tblLook w:firstColumn="1" w:firstRow="1" w:lastColumn="0" w:lastRow="0" w:noHBand="0" w:noVBand="1" w:val="04A0"/>
        <w:tblLayout w:type="fixed"/>
      </w:tblPr>
      <w:tblGrid>
        <w:gridCol w:w="2268"/>
        <w:gridCol w:w="1247"/>
        <w:gridCol w:w="4196"/>
        <w:gridCol w:w="1247"/>
      </w:tblGrid>
      <w:tr>
        <w:trPr>
          <w:tblHeader w:val="true"/>
        </w:trPr>
        <w:tc>
          <w:tcPr>
            <w:tcW w:type="dxa" w:w="2268"/>
          </w:tcPr>
          <w:p>
            <w:r/>
            <w:r>
              <w:rPr>
                <w:b/>
                <w:color w:val="5B6570"/>
                <w:sz w:val="17"/>
              </w:rPr>
              <w:t>Input</w:t>
            </w:r>
          </w:p>
        </w:tc>
        <w:tc>
          <w:tcPr>
            <w:tcW w:type="dxa" w:w="1247"/>
          </w:tcPr>
          <w:p>
            <w:r/>
            <w:r>
              <w:rPr>
                <w:b/>
                <w:color w:val="5B6570"/>
                <w:sz w:val="17"/>
              </w:rPr>
              <w:t>Value</w:t>
            </w:r>
          </w:p>
        </w:tc>
        <w:tc>
          <w:tcPr>
            <w:tcW w:type="dxa" w:w="4195"/>
          </w:tcPr>
          <w:p>
            <w:r/>
            <w:r>
              <w:rPr>
                <w:b/>
                <w:color w:val="5B6570"/>
                <w:sz w:val="17"/>
              </w:rPr>
              <w:t>Source</w:t>
            </w:r>
          </w:p>
        </w:tc>
        <w:tc>
          <w:tcPr>
            <w:tcW w:type="dxa" w:w="1247"/>
          </w:tcPr>
          <w:p>
            <w:r/>
            <w:r>
              <w:rPr>
                <w:b/>
                <w:color w:val="5B6570"/>
                <w:sz w:val="17"/>
              </w:rPr>
              <w:t>Reliability</w:t>
            </w:r>
          </w:p>
        </w:tc>
      </w:tr>
      <w:tr>
        <w:trPr>
          <w:cantSplit/>
        </w:trPr>
        <w:tc>
          <w:tcPr>
            <w:tcW w:type="dxa" w:w="2268"/>
          </w:tcPr>
          <w:p>
            <w:r/>
            <w:r>
              <w:rPr>
                <w:color w:val="1A1D21"/>
                <w:sz w:val="17"/>
              </w:rPr>
              <w:t>Egyptian ten-year government bond yield</w:t>
            </w:r>
          </w:p>
        </w:tc>
        <w:tc>
          <w:tcPr>
            <w:tcW w:type="dxa" w:w="1247"/>
          </w:tcPr>
          <w:p>
            <w:pPr>
              <w:jc w:val="right"/>
            </w:pPr>
            <w:r/>
            <w:r>
              <w:rPr>
                <w:color w:val="1A1D21"/>
                <w:sz w:val="17"/>
              </w:rPr>
              <w:t>23.00%</w:t>
            </w:r>
          </w:p>
        </w:tc>
        <w:tc>
          <w:tcPr>
            <w:tcW w:type="dxa" w:w="4195"/>
          </w:tcPr>
          <w:p>
            <w:r/>
            <w:r>
              <w:rPr>
                <w:color w:val="1A1D21"/>
                <w:sz w:val="17"/>
              </w:rPr>
              <w:t>market quote dated 6 August 2026, cross-checked against a central-bank policy rate of 19.00%, an overnight lending rate of 20.00% and an interbank rate of 19.51% at the August 2026 meeting</w:t>
            </w:r>
          </w:p>
        </w:tc>
        <w:tc>
          <w:tcPr>
            <w:tcW w:type="dxa" w:w="1247"/>
          </w:tcPr>
          <w:p>
            <w:r/>
            <w:r>
              <w:rPr>
                <w:color w:val="1A1D21"/>
                <w:sz w:val="17"/>
              </w:rPr>
              <w:t>C</w:t>
            </w:r>
          </w:p>
        </w:tc>
      </w:tr>
      <w:tr>
        <w:trPr>
          <w:cantSplit/>
        </w:trPr>
        <w:tc>
          <w:tcPr>
            <w:tcW w:type="dxa" w:w="2268"/>
          </w:tcPr>
          <w:p>
            <w:r/>
            <w:r>
              <w:rPr>
                <w:color w:val="1A1D21"/>
                <w:sz w:val="17"/>
              </w:rPr>
              <w:t>Egypt's credit rating</w:t>
            </w:r>
          </w:p>
        </w:tc>
        <w:tc>
          <w:tcPr>
            <w:tcW w:type="dxa" w:w="1247"/>
          </w:tcPr>
          <w:p>
            <w:r/>
            <w:r>
              <w:rPr>
                <w:color w:val="1A1D21"/>
                <w:sz w:val="17"/>
              </w:rPr>
              <w:t>Caa1</w:t>
            </w:r>
          </w:p>
        </w:tc>
        <w:tc>
          <w:tcPr>
            <w:tcW w:type="dxa" w:w="4195"/>
          </w:tcPr>
          <w:p>
            <w:r/>
            <w:r>
              <w:rPr>
                <w:color w:val="1A1D21"/>
                <w:sz w:val="17"/>
              </w:rPr>
              <w:t>published country-premium file, Egypt's own row, read 1 September 2026</w:t>
            </w:r>
          </w:p>
        </w:tc>
        <w:tc>
          <w:tcPr>
            <w:tcW w:type="dxa" w:w="1247"/>
          </w:tcPr>
          <w:p>
            <w:r/>
            <w:r>
              <w:rPr>
                <w:color w:val="1A1D21"/>
                <w:sz w:val="17"/>
              </w:rPr>
              <w:t>C</w:t>
            </w:r>
          </w:p>
        </w:tc>
      </w:tr>
      <w:tr>
        <w:trPr>
          <w:cantSplit/>
        </w:trPr>
        <w:tc>
          <w:tcPr>
            <w:tcW w:type="dxa" w:w="2268"/>
          </w:tcPr>
          <w:p>
            <w:r/>
            <w:r>
              <w:rPr>
                <w:color w:val="1A1D21"/>
                <w:sz w:val="17"/>
              </w:rPr>
              <w:t>Egypt's adjusted default spread</w:t>
            </w:r>
          </w:p>
        </w:tc>
        <w:tc>
          <w:tcPr>
            <w:tcW w:type="dxa" w:w="1247"/>
          </w:tcPr>
          <w:p>
            <w:pPr>
              <w:jc w:val="right"/>
            </w:pPr>
            <w:r/>
            <w:r>
              <w:rPr>
                <w:color w:val="1A1D21"/>
                <w:sz w:val="17"/>
              </w:rPr>
              <w:t>6.37%</w:t>
            </w:r>
          </w:p>
        </w:tc>
        <w:tc>
          <w:tcPr>
            <w:tcW w:type="dxa" w:w="4195"/>
          </w:tcPr>
          <w:p>
            <w:r/>
            <w:r>
              <w:rPr>
                <w:color w:val="1A1D21"/>
                <w:sz w:val="17"/>
              </w:rPr>
              <w:t>the same file</w:t>
            </w:r>
          </w:p>
        </w:tc>
        <w:tc>
          <w:tcPr>
            <w:tcW w:type="dxa" w:w="1247"/>
          </w:tcPr>
          <w:p>
            <w:r/>
            <w:r>
              <w:rPr>
                <w:color w:val="1A1D21"/>
                <w:sz w:val="17"/>
              </w:rPr>
              <w:t>C</w:t>
            </w:r>
          </w:p>
        </w:tc>
      </w:tr>
      <w:tr>
        <w:trPr>
          <w:cantSplit/>
        </w:trPr>
        <w:tc>
          <w:tcPr>
            <w:tcW w:type="dxa" w:w="2268"/>
          </w:tcPr>
          <w:p>
            <w:r/>
            <w:r>
              <w:rPr>
                <w:color w:val="1A1D21"/>
                <w:sz w:val="17"/>
              </w:rPr>
              <w:t>Egypt's country risk premium</w:t>
            </w:r>
          </w:p>
        </w:tc>
        <w:tc>
          <w:tcPr>
            <w:tcW w:type="dxa" w:w="1247"/>
          </w:tcPr>
          <w:p>
            <w:pPr>
              <w:jc w:val="right"/>
            </w:pPr>
            <w:r/>
            <w:r>
              <w:rPr>
                <w:color w:val="1A1D21"/>
                <w:sz w:val="17"/>
              </w:rPr>
              <w:t>9.71%</w:t>
            </w:r>
          </w:p>
        </w:tc>
        <w:tc>
          <w:tcPr>
            <w:tcW w:type="dxa" w:w="4195"/>
          </w:tcPr>
          <w:p>
            <w:r/>
            <w:r>
              <w:rPr>
                <w:color w:val="1A1D21"/>
                <w:sz w:val="17"/>
              </w:rPr>
              <w:t>the same file</w:t>
            </w:r>
          </w:p>
        </w:tc>
        <w:tc>
          <w:tcPr>
            <w:tcW w:type="dxa" w:w="1247"/>
          </w:tcPr>
          <w:p>
            <w:r/>
            <w:r>
              <w:rPr>
                <w:color w:val="1A1D21"/>
                <w:sz w:val="17"/>
              </w:rPr>
              <w:t>C</w:t>
            </w:r>
          </w:p>
        </w:tc>
      </w:tr>
      <w:tr>
        <w:trPr>
          <w:cantSplit/>
        </w:trPr>
        <w:tc>
          <w:tcPr>
            <w:tcW w:type="dxa" w:w="2268"/>
          </w:tcPr>
          <w:p>
            <w:r/>
            <w:r>
              <w:rPr>
                <w:color w:val="1A1D21"/>
                <w:sz w:val="17"/>
              </w:rPr>
              <w:t>Equity risk premium, rating basis</w:t>
            </w:r>
          </w:p>
        </w:tc>
        <w:tc>
          <w:tcPr>
            <w:tcW w:type="dxa" w:w="1247"/>
          </w:tcPr>
          <w:p>
            <w:pPr>
              <w:jc w:val="right"/>
            </w:pPr>
            <w:r/>
            <w:r>
              <w:rPr>
                <w:color w:val="1A1D21"/>
                <w:sz w:val="17"/>
              </w:rPr>
              <w:t>13.94%</w:t>
            </w:r>
          </w:p>
        </w:tc>
        <w:tc>
          <w:tcPr>
            <w:tcW w:type="dxa" w:w="4195"/>
          </w:tcPr>
          <w:p>
            <w:r/>
            <w:r>
              <w:rPr>
                <w:color w:val="1A1D21"/>
                <w:sz w:val="17"/>
              </w:rPr>
              <w:t>the same file</w:t>
            </w:r>
          </w:p>
        </w:tc>
        <w:tc>
          <w:tcPr>
            <w:tcW w:type="dxa" w:w="1247"/>
          </w:tcPr>
          <w:p>
            <w:r/>
            <w:r>
              <w:rPr>
                <w:color w:val="1A1D21"/>
                <w:sz w:val="17"/>
              </w:rPr>
              <w:t>C</w:t>
            </w:r>
          </w:p>
        </w:tc>
      </w:tr>
      <w:tr>
        <w:trPr>
          <w:cantSplit/>
        </w:trPr>
        <w:tc>
          <w:tcPr>
            <w:tcW w:type="dxa" w:w="2268"/>
          </w:tcPr>
          <w:p>
            <w:r/>
            <w:r>
              <w:rPr>
                <w:color w:val="1A1D21"/>
                <w:sz w:val="17"/>
              </w:rPr>
              <w:t>Equity risk premium, swap basis</w:t>
            </w:r>
          </w:p>
        </w:tc>
        <w:tc>
          <w:tcPr>
            <w:tcW w:type="dxa" w:w="1247"/>
          </w:tcPr>
          <w:p>
            <w:pPr>
              <w:jc w:val="right"/>
            </w:pPr>
            <w:r/>
            <w:r>
              <w:rPr>
                <w:color w:val="1A1D21"/>
                <w:sz w:val="17"/>
              </w:rPr>
              <w:t>9.41%</w:t>
            </w:r>
          </w:p>
        </w:tc>
        <w:tc>
          <w:tcPr>
            <w:tcW w:type="dxa" w:w="4195"/>
          </w:tcPr>
          <w:p>
            <w:r/>
            <w:r>
              <w:rPr>
                <w:color w:val="1A1D21"/>
                <w:sz w:val="17"/>
              </w:rPr>
              <w:t>the same file</w:t>
            </w:r>
          </w:p>
        </w:tc>
        <w:tc>
          <w:tcPr>
            <w:tcW w:type="dxa" w:w="1247"/>
          </w:tcPr>
          <w:p>
            <w:r/>
            <w:r>
              <w:rPr>
                <w:color w:val="1A1D21"/>
                <w:sz w:val="17"/>
              </w:rPr>
              <w:t>C</w:t>
            </w:r>
          </w:p>
        </w:tc>
      </w:tr>
      <w:tr>
        <w:trPr>
          <w:cantSplit/>
        </w:trPr>
        <w:tc>
          <w:tcPr>
            <w:tcW w:type="dxa" w:w="2268"/>
          </w:tcPr>
          <w:p>
            <w:r/>
            <w:r>
              <w:rPr>
                <w:color w:val="1A1D21"/>
                <w:sz w:val="17"/>
              </w:rPr>
              <w:t>Statutory corporate tax rate</w:t>
            </w:r>
          </w:p>
        </w:tc>
        <w:tc>
          <w:tcPr>
            <w:tcW w:type="dxa" w:w="1247"/>
          </w:tcPr>
          <w:p>
            <w:pPr>
              <w:jc w:val="right"/>
            </w:pPr>
            <w:r/>
            <w:r>
              <w:rPr>
                <w:color w:val="1A1D21"/>
                <w:sz w:val="17"/>
              </w:rPr>
              <w:t>22.50%</w:t>
            </w:r>
          </w:p>
        </w:tc>
        <w:tc>
          <w:tcPr>
            <w:tcW w:type="dxa" w:w="4195"/>
          </w:tcPr>
          <w:p>
            <w:r/>
            <w:r>
              <w:rPr>
                <w:color w:val="1A1D21"/>
                <w:sz w:val="17"/>
              </w:rPr>
              <w:t>the same file</w:t>
            </w:r>
          </w:p>
        </w:tc>
        <w:tc>
          <w:tcPr>
            <w:tcW w:type="dxa" w:w="1247"/>
          </w:tcPr>
          <w:p>
            <w:r/>
            <w:r>
              <w:rPr>
                <w:color w:val="1A1D21"/>
                <w:sz w:val="17"/>
              </w:rPr>
              <w:t>C</w:t>
            </w:r>
          </w:p>
        </w:tc>
      </w:tr>
      <w:tr>
        <w:trPr>
          <w:cantSplit/>
        </w:trPr>
        <w:tc>
          <w:tcPr>
            <w:tcW w:type="dxa" w:w="2268"/>
          </w:tcPr>
          <w:p>
            <w:r/>
            <w:r>
              <w:rPr>
                <w:color w:val="1A1D21"/>
                <w:sz w:val="17"/>
              </w:rPr>
              <w:t>Egyptian inflation, exchange rate, population</w:t>
            </w:r>
          </w:p>
        </w:tc>
        <w:tc>
          <w:tcPr>
            <w:tcW w:type="dxa" w:w="1247"/>
          </w:tcPr>
          <w:p>
            <w:r/>
            <w:r>
              <w:rPr>
                <w:color w:val="1A1D21"/>
                <w:sz w:val="17"/>
              </w:rPr>
              <w:t>series, 2004–2025</w:t>
            </w:r>
          </w:p>
        </w:tc>
        <w:tc>
          <w:tcPr>
            <w:tcW w:type="dxa" w:w="4195"/>
          </w:tcPr>
          <w:p>
            <w:r/>
            <w:r>
              <w:rPr>
                <w:color w:val="1A1D21"/>
                <w:sz w:val="17"/>
              </w:rPr>
              <w:t>World Bank development indicators, retrieved 1 September 2026</w:t>
            </w:r>
          </w:p>
        </w:tc>
        <w:tc>
          <w:tcPr>
            <w:tcW w:type="dxa" w:w="1247"/>
          </w:tcPr>
          <w:p>
            <w:r/>
            <w:r>
              <w:rPr>
                <w:color w:val="1A1D21"/>
                <w:sz w:val="17"/>
              </w:rPr>
              <w:t>C</w:t>
            </w:r>
          </w:p>
        </w:tc>
      </w:tr>
      <w:tr>
        <w:trPr>
          <w:cantSplit/>
        </w:trPr>
        <w:tc>
          <w:tcPr>
            <w:tcW w:type="dxa" w:w="2268"/>
          </w:tcPr>
          <w:p>
            <w:r/>
            <w:r>
              <w:rPr>
                <w:color w:val="1A1D21"/>
                <w:sz w:val="17"/>
              </w:rPr>
              <w:t>Beta against the exchange's published index</w:t>
            </w:r>
          </w:p>
        </w:tc>
        <w:tc>
          <w:tcPr>
            <w:tcW w:type="dxa" w:w="1247"/>
          </w:tcPr>
          <w:p>
            <w:pPr>
              <w:jc w:val="right"/>
            </w:pPr>
            <w:r/>
            <w:r>
              <w:rPr>
                <w:color w:val="1A1D21"/>
                <w:sz w:val="17"/>
              </w:rPr>
              <w:t>1.4687</w:t>
            </w:r>
          </w:p>
        </w:tc>
        <w:tc>
          <w:tcPr>
            <w:tcW w:type="dxa" w:w="4195"/>
          </w:tcPr>
          <w:p>
            <w:r/>
            <w:r>
              <w:rPr>
                <w:color w:val="1A1D21"/>
                <w:sz w:val="17"/>
              </w:rPr>
              <w:t>TMGH's own weekly returns against the Egyptian Exchange's published index, 4.94 years to 2026-08-20, 256 observations</w:t>
            </w:r>
          </w:p>
        </w:tc>
        <w:tc>
          <w:tcPr>
            <w:tcW w:type="dxa" w:w="1247"/>
          </w:tcPr>
          <w:p>
            <w:r/>
            <w:r>
              <w:rPr>
                <w:color w:val="1A1D21"/>
                <w:sz w:val="17"/>
              </w:rPr>
              <w:t>A</w:t>
            </w:r>
          </w:p>
        </w:tc>
      </w:tr>
      <w:tr>
        <w:trPr>
          <w:cantSplit/>
        </w:trPr>
        <w:tc>
          <w:tcPr>
            <w:tcW w:type="dxa" w:w="2268"/>
          </w:tcPr>
          <w:p>
            <w:r/>
            <w:r>
              <w:rPr>
                <w:color w:val="1A1D21"/>
                <w:sz w:val="17"/>
              </w:rPr>
              <w:t>Last traded price</w:t>
            </w:r>
          </w:p>
        </w:tc>
        <w:tc>
          <w:tcPr>
            <w:tcW w:type="dxa" w:w="1247"/>
          </w:tcPr>
          <w:p>
            <w:pPr>
              <w:jc w:val="right"/>
            </w:pPr>
            <w:r/>
            <w:r>
              <w:rPr>
                <w:color w:val="1A1D21"/>
                <w:sz w:val="17"/>
              </w:rPr>
              <w:t>96.60</w:t>
            </w:r>
          </w:p>
        </w:tc>
        <w:tc>
          <w:tcPr>
            <w:tcW w:type="dxa" w:w="4195"/>
          </w:tcPr>
          <w:p>
            <w:r/>
            <w:r>
              <w:rPr>
                <w:color w:val="1A1D21"/>
                <w:sz w:val="17"/>
              </w:rPr>
              <w:t>Egyptian Exchange close for 2 September 2026, the latest price this repository holds for this name, read from the committed supplied price file through gap_today.latest_price_per_ticker(). SUPERSEDES the 23 August 2026 close of 97.80 the study was struck at: a fair value put against a price ten days old is a comparison a reader cannot use, however good the fair value is.</w:t>
            </w:r>
          </w:p>
        </w:tc>
        <w:tc>
          <w:tcPr>
            <w:tcW w:type="dxa" w:w="1247"/>
          </w:tcPr>
          <w:p>
            <w:r/>
            <w:r>
              <w:rPr>
                <w:color w:val="1A1D21"/>
                <w:sz w:val="17"/>
              </w:rPr>
              <w:t>A</w:t>
            </w:r>
          </w:p>
        </w:tc>
      </w:tr>
    </w:tbl>
    <w:p>
      <w:pPr>
        <w:spacing w:after="80"/>
      </w:pPr>
      <w:r>
        <w:rPr>
          <w:b w:val="0"/>
          <w:i w:val="0"/>
          <w:color w:val="1A1D21"/>
          <w:sz w:val="8"/>
        </w:rPr>
      </w:r>
    </w:p>
    <w:tbl>
      <w:tblPr>
        <w:tblStyle w:val="TableGrid"/>
        <w:tblW w:type="auto" w:w="0"/>
        <w:jc w:val="center"/>
        <w:tblLayout w:type="fixed"/>
        <w:tblLook w:firstColumn="1" w:firstRow="1" w:lastColumn="0" w:lastRow="0" w:noHBand="0" w:noVBand="1" w:val="04A0"/>
        <w:tblLayout w:type="fixed"/>
      </w:tblPr>
      <w:tblGrid>
        <w:gridCol w:w="1361"/>
        <w:gridCol w:w="7598"/>
      </w:tblGrid>
      <w:tr>
        <w:trPr>
          <w:tblHeader w:val="true"/>
        </w:trPr>
        <w:tc>
          <w:tcPr>
            <w:tcW w:type="dxa" w:w="1361"/>
          </w:tcPr>
          <w:p>
            <w:r/>
            <w:r>
              <w:rPr>
                <w:b/>
                <w:color w:val="5B6570"/>
                <w:sz w:val="17"/>
              </w:rPr>
              <w:t>Code</w:t>
            </w:r>
          </w:p>
        </w:tc>
        <w:tc>
          <w:tcPr>
            <w:tcW w:type="dxa" w:w="7597"/>
          </w:tcPr>
          <w:p>
            <w:r/>
            <w:r>
              <w:rPr>
                <w:b/>
                <w:color w:val="5B6570"/>
                <w:sz w:val="17"/>
              </w:rPr>
              <w:t>What it means</w:t>
            </w:r>
          </w:p>
        </w:tc>
      </w:tr>
      <w:tr>
        <w:trPr>
          <w:cantSplit/>
        </w:trPr>
        <w:tc>
          <w:tcPr>
            <w:tcW w:type="dxa" w:w="1361"/>
          </w:tcPr>
          <w:p>
            <w:r/>
            <w:r>
              <w:rPr>
                <w:color w:val="1A1D21"/>
                <w:sz w:val="17"/>
              </w:rPr>
              <w:t>A</w:t>
            </w:r>
          </w:p>
        </w:tc>
        <w:tc>
          <w:tcPr>
            <w:tcW w:type="dxa" w:w="7597"/>
          </w:tcPr>
          <w:p>
            <w:r/>
            <w:r>
              <w:rPr>
                <w:color w:val="1A1D21"/>
                <w:sz w:val="17"/>
              </w:rPr>
              <w:t>the company's own audited or reviewed statements, or its own investor documents</w:t>
            </w:r>
          </w:p>
        </w:tc>
      </w:tr>
      <w:tr>
        <w:trPr>
          <w:cantSplit/>
        </w:trPr>
        <w:tc>
          <w:tcPr>
            <w:tcW w:type="dxa" w:w="1361"/>
          </w:tcPr>
          <w:p>
            <w:r/>
            <w:r>
              <w:rPr>
                <w:color w:val="1A1D21"/>
                <w:sz w:val="17"/>
              </w:rPr>
              <w:t>B</w:t>
            </w:r>
          </w:p>
        </w:tc>
        <w:tc>
          <w:tcPr>
            <w:tcW w:type="dxa" w:w="7597"/>
          </w:tcPr>
          <w:p>
            <w:r/>
            <w:r>
              <w:rPr>
                <w:color w:val="1A1D21"/>
                <w:sz w:val="17"/>
              </w:rPr>
              <w:t>an exchange or regulator filing</w:t>
            </w:r>
          </w:p>
        </w:tc>
      </w:tr>
      <w:tr>
        <w:trPr>
          <w:cantSplit/>
        </w:trPr>
        <w:tc>
          <w:tcPr>
            <w:tcW w:type="dxa" w:w="1361"/>
          </w:tcPr>
          <w:p>
            <w:r/>
            <w:r>
              <w:rPr>
                <w:color w:val="1A1D21"/>
                <w:sz w:val="17"/>
              </w:rPr>
              <w:t>C</w:t>
            </w:r>
          </w:p>
        </w:tc>
        <w:tc>
          <w:tcPr>
            <w:tcW w:type="dxa" w:w="7597"/>
          </w:tcPr>
          <w:p>
            <w:r/>
            <w:r>
              <w:rPr>
                <w:color w:val="1A1D21"/>
                <w:sz w:val="17"/>
              </w:rPr>
              <w:t>a named third party, used only for country-level inputs</w:t>
            </w:r>
          </w:p>
        </w:tc>
      </w:tr>
      <w:tr>
        <w:trPr>
          <w:cantSplit/>
        </w:trPr>
        <w:tc>
          <w:tcPr>
            <w:tcW w:type="dxa" w:w="1361"/>
          </w:tcPr>
          <w:p>
            <w:r/>
            <w:r>
              <w:rPr>
                <w:color w:val="1A1D21"/>
                <w:sz w:val="17"/>
              </w:rPr>
              <w:t>DERIVED</w:t>
            </w:r>
          </w:p>
        </w:tc>
        <w:tc>
          <w:tcPr>
            <w:tcW w:type="dxa" w:w="7597"/>
          </w:tcPr>
          <w:p>
            <w:r/>
            <w:r>
              <w:rPr>
                <w:color w:val="1A1D21"/>
                <w:sz w:val="17"/>
              </w:rPr>
              <w:t>recovered from the statement's own arithmetic</w:t>
            </w:r>
          </w:p>
        </w:tc>
      </w:tr>
    </w:tbl>
    <w:p>
      <w:pPr>
        <w:spacing w:after="200"/>
      </w:pPr>
      <w:r>
        <w:rPr>
          <w:b w:val="0"/>
          <w:i/>
          <w:color w:val="5B6570"/>
          <w:sz w:val="16"/>
        </w:rPr>
        <w:t>No country-level source is ever used for a figure about the company itself, and no competitor is ever a source for TMG's own reported numbers.</w:t>
      </w:r>
    </w:p>
    <w:p>
      <w:pPr>
        <w:pStyle w:val="Heading1"/>
      </w:pPr>
      <w:r>
        <w:t>Judgements, and what would overturn each</w:t>
      </w:r>
    </w:p>
    <w:tbl>
      <w:tblPr>
        <w:tblStyle w:val="TableGrid"/>
        <w:tblW w:type="auto" w:w="0"/>
        <w:jc w:val="center"/>
        <w:tblLayout w:type="fixed"/>
        <w:tblLook w:firstColumn="1" w:firstRow="1" w:lastColumn="0" w:lastRow="0" w:noHBand="0" w:noVBand="1" w:val="04A0"/>
        <w:tblLayout w:type="fixed"/>
      </w:tblPr>
      <w:tblGrid>
        <w:gridCol w:w="2041"/>
        <w:gridCol w:w="3742"/>
        <w:gridCol w:w="3175"/>
      </w:tblGrid>
      <w:tr>
        <w:trPr>
          <w:tblHeader w:val="true"/>
        </w:trPr>
        <w:tc>
          <w:tcPr>
            <w:tcW w:type="dxa" w:w="2041"/>
          </w:tcPr>
          <w:p>
            <w:r/>
            <w:r>
              <w:rPr>
                <w:b/>
                <w:color w:val="5B6570"/>
                <w:sz w:val="17"/>
              </w:rPr>
              <w:t>Judgement</w:t>
            </w:r>
          </w:p>
        </w:tc>
        <w:tc>
          <w:tcPr>
            <w:tcW w:type="dxa" w:w="3742"/>
          </w:tcPr>
          <w:p>
            <w:r/>
            <w:r>
              <w:rPr>
                <w:b/>
                <w:color w:val="5B6570"/>
                <w:sz w:val="17"/>
              </w:rPr>
              <w:t>What was decided</w:t>
            </w:r>
          </w:p>
        </w:tc>
        <w:tc>
          <w:tcPr>
            <w:tcW w:type="dxa" w:w="3175"/>
          </w:tcPr>
          <w:p>
            <w:r/>
            <w:r>
              <w:rPr>
                <w:b/>
                <w:color w:val="5B6570"/>
                <w:sz w:val="17"/>
              </w:rPr>
              <w:t>What would overturn it</w:t>
            </w:r>
          </w:p>
        </w:tc>
      </w:tr>
      <w:tr>
        <w:trPr>
          <w:cantSplit/>
        </w:trPr>
        <w:tc>
          <w:tcPr>
            <w:tcW w:type="dxa" w:w="2041"/>
          </w:tcPr>
          <w:p>
            <w:r/>
            <w:r>
              <w:rPr>
                <w:color w:val="1A1D21"/>
                <w:sz w:val="17"/>
              </w:rPr>
              <w:t>How fast the order book converts</w:t>
            </w:r>
          </w:p>
        </w:tc>
        <w:tc>
          <w:tcPr>
            <w:tcW w:type="dxa" w:w="3742"/>
          </w:tcPr>
          <w:p>
            <w:r/>
            <w:r>
              <w:rPr>
                <w:color w:val="1A1D21"/>
                <w:sz w:val="17"/>
              </w:rPr>
              <w:t>not decided — the study publishes a slower reading of 14 years and a faster one of 10 years, and never averages them</w:t>
            </w:r>
          </w:p>
        </w:tc>
        <w:tc>
          <w:tcPr>
            <w:tcW w:type="dxa" w:w="3175"/>
          </w:tcPr>
          <w:p>
            <w:r/>
            <w:r>
              <w:rPr>
                <w:color w:val="1A1D21"/>
                <w:sz w:val="17"/>
              </w:rPr>
              <w:t>a published delivery schedule by project</w:t>
            </w:r>
          </w:p>
        </w:tc>
      </w:tr>
      <w:tr>
        <w:trPr>
          <w:cantSplit/>
        </w:trPr>
        <w:tc>
          <w:tcPr>
            <w:tcW w:type="dxa" w:w="2041"/>
          </w:tcPr>
          <w:p>
            <w:r/>
            <w:r>
              <w:rPr>
                <w:color w:val="1A1D21"/>
                <w:sz w:val="17"/>
              </w:rPr>
              <w:t>How the minority interest is deducted</w:t>
            </w:r>
          </w:p>
        </w:tc>
        <w:tc>
          <w:tcPr>
            <w:tcW w:type="dxa" w:w="3742"/>
          </w:tcPr>
          <w:p>
            <w:r/>
            <w:r>
              <w:rPr>
                <w:color w:val="1A1D21"/>
                <w:sz w:val="17"/>
              </w:rPr>
              <w:t>at its share of value, proxied by the filed profit share (adopted); at book and pro rata shown beside it</w:t>
            </w:r>
          </w:p>
        </w:tc>
        <w:tc>
          <w:tcPr>
            <w:tcW w:type="dxa" w:w="3175"/>
          </w:tcPr>
          <w:p>
            <w:r/>
            <w:r>
              <w:rPr>
                <w:color w:val="1A1D21"/>
                <w:sz w:val="17"/>
              </w:rPr>
              <w:t>a disclosure of TMG's economic share of each project company</w:t>
            </w:r>
          </w:p>
        </w:tc>
      </w:tr>
      <w:tr>
        <w:trPr>
          <w:cantSplit/>
        </w:trPr>
        <w:tc>
          <w:tcPr>
            <w:tcW w:type="dxa" w:w="2041"/>
          </w:tcPr>
          <w:p>
            <w:r/>
            <w:r>
              <w:rPr>
                <w:color w:val="1A1D21"/>
                <w:sz w:val="17"/>
              </w:rPr>
              <w:t>Which equity risk premium to use</w:t>
            </w:r>
          </w:p>
        </w:tc>
        <w:tc>
          <w:tcPr>
            <w:tcW w:type="dxa" w:w="3742"/>
          </w:tcPr>
          <w:p>
            <w:r/>
            <w:r>
              <w:rPr>
                <w:color w:val="1A1D21"/>
                <w:sz w:val="17"/>
              </w:rPr>
              <w:t>both, published side by side</w:t>
            </w:r>
          </w:p>
        </w:tc>
        <w:tc>
          <w:tcPr>
            <w:tcW w:type="dxa" w:w="3175"/>
          </w:tcPr>
          <w:p>
            <w:r/>
            <w:r>
              <w:rPr>
                <w:color w:val="1A1D21"/>
                <w:sz w:val="17"/>
              </w:rPr>
              <w:t>nothing; the two measures are genuinely different questions</w:t>
            </w:r>
          </w:p>
        </w:tc>
      </w:tr>
      <w:tr>
        <w:trPr>
          <w:cantSplit/>
        </w:trPr>
        <w:tc>
          <w:tcPr>
            <w:tcW w:type="dxa" w:w="2041"/>
          </w:tcPr>
          <w:p>
            <w:r/>
            <w:r>
              <w:rPr>
                <w:color w:val="1A1D21"/>
                <w:sz w:val="17"/>
              </w:rPr>
              <w:t>Whether to extrapolate the current sales rate</w:t>
            </w:r>
          </w:p>
        </w:tc>
        <w:tc>
          <w:tcPr>
            <w:tcW w:type="dxa" w:w="3742"/>
          </w:tcPr>
          <w:p>
            <w:r/>
            <w:r>
              <w:rPr>
                <w:color w:val="1A1D21"/>
                <w:sz w:val="17"/>
              </w:rPr>
              <w:t>no. TMG sold about ten times what it delivered in 2025, and that is not a steady state; sales are held flat in real terms, not extrapolated</w:t>
            </w:r>
          </w:p>
        </w:tc>
        <w:tc>
          <w:tcPr>
            <w:tcW w:type="dxa" w:w="3175"/>
          </w:tcPr>
          <w:p>
            <w:r/>
            <w:r>
              <w:rPr>
                <w:color w:val="1A1D21"/>
                <w:sz w:val="17"/>
              </w:rPr>
              <w:t>sustained sales at the current rate alongside deliveries rising to meet them</w:t>
            </w:r>
          </w:p>
        </w:tc>
      </w:tr>
      <w:tr>
        <w:trPr>
          <w:cantSplit/>
        </w:trPr>
        <w:tc>
          <w:tcPr>
            <w:tcW w:type="dxa" w:w="2041"/>
          </w:tcPr>
          <w:p>
            <w:r/>
            <w:r>
              <w:rPr>
                <w:color w:val="1A1D21"/>
                <w:sz w:val="17"/>
              </w:rPr>
              <w:t>Whether to correct the finance-cost forecast</w:t>
            </w:r>
          </w:p>
        </w:tc>
        <w:tc>
          <w:tcPr>
            <w:tcW w:type="dxa" w:w="3742"/>
          </w:tcPr>
          <w:p>
            <w:r/>
            <w:r>
              <w:rPr>
                <w:color w:val="1A1D21"/>
                <w:sz w:val="17"/>
              </w:rPr>
              <w:t>no. A correction passed every statistical test and was rejected because the reported charge is not interest on borrowings alone</w:t>
            </w:r>
          </w:p>
        </w:tc>
        <w:tc>
          <w:tcPr>
            <w:tcW w:type="dxa" w:w="3175"/>
          </w:tcPr>
          <w:p>
            <w:r/>
            <w:r>
              <w:rPr>
                <w:color w:val="1A1D21"/>
                <w:sz w:val="17"/>
              </w:rPr>
              <w:t>a disclosure splitting interest on borrowings from the financing component of customer contracts</w:t>
            </w:r>
          </w:p>
        </w:tc>
      </w:tr>
      <w:tr>
        <w:trPr>
          <w:cantSplit/>
        </w:trPr>
        <w:tc>
          <w:tcPr>
            <w:tcW w:type="dxa" w:w="2041"/>
          </w:tcPr>
          <w:p>
            <w:r/>
            <w:r>
              <w:rPr>
                <w:color w:val="1A1D21"/>
                <w:sz w:val="17"/>
              </w:rPr>
              <w:t>What margin to carry forward</w:t>
            </w:r>
          </w:p>
        </w:tc>
        <w:tc>
          <w:tcPr>
            <w:tcW w:type="dxa" w:w="3742"/>
          </w:tcPr>
          <w:p>
            <w:r/>
            <w:r>
              <w:rPr>
                <w:color w:val="1A1D21"/>
                <w:sz w:val="17"/>
              </w:rPr>
              <w:t>the ratio from the reviewed first half of 2026, held flat. The margin is an output of that ratio and is never set directly</w:t>
            </w:r>
          </w:p>
        </w:tc>
        <w:tc>
          <w:tcPr>
            <w:tcW w:type="dxa" w:w="3175"/>
          </w:tcPr>
          <w:p>
            <w:r/>
            <w:r>
              <w:rPr>
                <w:color w:val="1A1D21"/>
                <w:sz w:val="17"/>
              </w:rPr>
              <w:t>a structural change in the cost base with a measured direction in the company's own figures</w:t>
            </w:r>
          </w:p>
        </w:tc>
      </w:tr>
      <w:tr>
        <w:trPr>
          <w:cantSplit/>
        </w:trPr>
        <w:tc>
          <w:tcPr>
            <w:tcW w:type="dxa" w:w="2041"/>
          </w:tcPr>
          <w:p>
            <w:r/>
            <w:r>
              <w:rPr>
                <w:color w:val="1A1D21"/>
                <w:sz w:val="17"/>
              </w:rPr>
              <w:t>Whether to build unit economics</w:t>
            </w:r>
          </w:p>
        </w:tc>
        <w:tc>
          <w:tcPr>
            <w:tcW w:type="dxa" w:w="3742"/>
          </w:tcPr>
          <w:p>
            <w:r/>
            <w:r>
              <w:rPr>
                <w:color w:val="1A1D21"/>
                <w:sz w:val="17"/>
              </w:rPr>
              <w:t>no — the disclosure does not support it, and the study says so rather than inventing an average unit</w:t>
            </w:r>
          </w:p>
        </w:tc>
        <w:tc>
          <w:tcPr>
            <w:tcW w:type="dxa" w:w="3175"/>
          </w:tcPr>
          <w:p>
            <w:r/>
            <w:r>
              <w:rPr>
                <w:color w:val="1A1D21"/>
                <w:sz w:val="17"/>
              </w:rPr>
              <w:t>disclosure of units and areas by project</w:t>
            </w:r>
          </w:p>
        </w:tc>
      </w:tr>
    </w:tbl>
    <w:p>
      <w:pPr>
        <w:spacing w:after="80"/>
      </w:pPr>
      <w:r>
        <w:rPr>
          <w:b w:val="0"/>
          <w:i w:val="0"/>
          <w:color w:val="1A1D21"/>
          <w:sz w:val="8"/>
        </w:rPr>
      </w:r>
    </w:p>
    <w:p>
      <w:pPr>
        <w:pStyle w:val="Heading1"/>
      </w:pPr>
      <w:r>
        <w:t>What was looked for and not found</w:t>
      </w:r>
    </w:p>
    <w:tbl>
      <w:tblPr>
        <w:tblStyle w:val="TableGrid"/>
        <w:tblW w:type="auto" w:w="0"/>
        <w:jc w:val="center"/>
        <w:tblLayout w:type="fixed"/>
        <w:tblLook w:firstColumn="1" w:firstRow="1" w:lastColumn="0" w:lastRow="0" w:noHBand="0" w:noVBand="1" w:val="04A0"/>
        <w:tblLayout w:type="fixed"/>
      </w:tblPr>
      <w:tblGrid>
        <w:gridCol w:w="2381"/>
        <w:gridCol w:w="6577"/>
      </w:tblGrid>
      <w:tr>
        <w:trPr>
          <w:tblHeader w:val="true"/>
        </w:trPr>
        <w:tc>
          <w:tcPr>
            <w:tcW w:type="dxa" w:w="2381"/>
          </w:tcPr>
          <w:p>
            <w:r/>
            <w:r>
              <w:rPr>
                <w:b/>
                <w:color w:val="5B6570"/>
                <w:sz w:val="17"/>
              </w:rPr>
              <w:t>What</w:t>
            </w:r>
          </w:p>
        </w:tc>
        <w:tc>
          <w:tcPr>
            <w:tcW w:type="dxa" w:w="6576"/>
          </w:tcPr>
          <w:p>
            <w:r/>
            <w:r>
              <w:rPr>
                <w:b/>
                <w:color w:val="5B6570"/>
                <w:sz w:val="17"/>
              </w:rPr>
              <w:t>What is missing, and what would close it</w:t>
            </w:r>
          </w:p>
        </w:tc>
      </w:tr>
      <w:tr>
        <w:trPr>
          <w:cantSplit/>
        </w:trPr>
        <w:tc>
          <w:tcPr>
            <w:tcW w:type="dxa" w:w="2381"/>
          </w:tcPr>
          <w:p>
            <w:r/>
            <w:r>
              <w:rPr>
                <w:color w:val="1A1D21"/>
                <w:sz w:val="17"/>
              </w:rPr>
              <w:t>unit economics</w:t>
            </w:r>
          </w:p>
        </w:tc>
        <w:tc>
          <w:tcPr>
            <w:tcW w:type="dxa" w:w="6576"/>
          </w:tcPr>
          <w:p>
            <w:r/>
            <w:r>
              <w:rPr>
                <w:color w:val="1A1D21"/>
                <w:sz w:val="17"/>
              </w:rPr>
              <w:t>TMG publishes unit counts only occasionally (3,196 delivered in FY2025; 6,102 units sold in FY2022) and never as a continuous series, and publishes no average unit area, price per sqm or construction cost per sqm. Unit economics cannot be built without inventing them. WHAT WOULD CLOSE IT: a disclosure of units sold and delivered by project with average areas, as several regional peers publish.</w:t>
            </w:r>
          </w:p>
        </w:tc>
      </w:tr>
      <w:tr>
        <w:trPr>
          <w:cantSplit/>
        </w:trPr>
        <w:tc>
          <w:tcPr>
            <w:tcW w:type="dxa" w:w="2381"/>
          </w:tcPr>
          <w:p>
            <w:r/>
            <w:r>
              <w:rPr>
                <w:color w:val="1A1D21"/>
                <w:sz w:val="17"/>
              </w:rPr>
              <w:t>finance cost split</w:t>
            </w:r>
          </w:p>
        </w:tc>
        <w:tc>
          <w:tcPr>
            <w:tcW w:type="dxa" w:w="6576"/>
          </w:tcPr>
          <w:p>
            <w:r/>
            <w:r>
              <w:rPr>
                <w:color w:val="1A1D21"/>
                <w:sz w:val="17"/>
              </w:rPr>
              <w:t>Finance cost is disclosed as finance expenses plus bank charges, with no split between interest on borrowings and the unwinding of the significant financing component on customer contracts. The implied 44% on opening interest-bearing debt is therefore not a borrowing rate. WHAT WOULD CLOSE IT: the split, or a disclosed weighted average borrowing rate.</w:t>
            </w:r>
          </w:p>
        </w:tc>
      </w:tr>
      <w:tr>
        <w:trPr>
          <w:cantSplit/>
        </w:trPr>
        <w:tc>
          <w:tcPr>
            <w:tcW w:type="dxa" w:w="2381"/>
          </w:tcPr>
          <w:p>
            <w:r/>
            <w:r>
              <w:rPr>
                <w:color w:val="1A1D21"/>
                <w:sz w:val="17"/>
              </w:rPr>
              <w:t>segment capex</w:t>
            </w:r>
          </w:p>
        </w:tc>
        <w:tc>
          <w:tcPr>
            <w:tcW w:type="dxa" w:w="6576"/>
          </w:tcPr>
          <w:p>
            <w:r/>
            <w:r>
              <w:rPr>
                <w:color w:val="1A1D21"/>
                <w:sz w:val="17"/>
              </w:rPr>
              <w:t>Capital expenditure is not disclosed by segment, so the hospitality build programme cannot be separated from the development one. WHAT WOULD CLOSE IT: a segment note carrying additions to fixed assets and assets under construction.</w:t>
            </w:r>
          </w:p>
        </w:tc>
      </w:tr>
      <w:tr>
        <w:trPr>
          <w:cantSplit/>
        </w:trPr>
        <w:tc>
          <w:tcPr>
            <w:tcW w:type="dxa" w:w="2381"/>
          </w:tcPr>
          <w:p>
            <w:r/>
            <w:r>
              <w:rPr>
                <w:color w:val="1A1D21"/>
                <w:sz w:val="17"/>
              </w:rPr>
              <w:t>banan economics</w:t>
            </w:r>
          </w:p>
        </w:tc>
        <w:tc>
          <w:tcPr>
            <w:tcW w:type="dxa" w:w="6576"/>
          </w:tcPr>
          <w:p>
            <w:r/>
            <w:r>
              <w:rPr>
                <w:color w:val="1A1D21"/>
                <w:sz w:val="17"/>
              </w:rPr>
              <w:t>The Saudi project's contract value, cost to complete and margin are not disclosed separately, only its share of segment revenue. WHAT WOULD CLOSE IT: a geographic segment note.</w:t>
            </w:r>
          </w:p>
        </w:tc>
      </w:tr>
      <w:tr>
        <w:trPr>
          <w:cantSplit/>
        </w:trPr>
        <w:tc>
          <w:tcPr>
            <w:tcW w:type="dxa" w:w="2381"/>
          </w:tcPr>
          <w:p>
            <w:r/>
            <w:r>
              <w:rPr>
                <w:color w:val="1A1D21"/>
                <w:sz w:val="17"/>
              </w:rPr>
              <w:t>The company's own borrowing rate</w:t>
            </w:r>
          </w:p>
        </w:tc>
        <w:tc>
          <w:tcPr>
            <w:tcW w:type="dxa" w:w="6576"/>
          </w:tcPr>
          <w:p>
            <w:r/>
            <w:r>
              <w:rPr>
                <w:color w:val="1A1D21"/>
                <w:sz w:val="17"/>
              </w:rPr>
              <w:t>no facility pricing appears in any statement or release held, so the cost of debt is built from the sovereign yield plus a stated spread and labelled as such</w:t>
            </w:r>
          </w:p>
        </w:tc>
      </w:tr>
      <w:tr>
        <w:trPr>
          <w:cantSplit/>
        </w:trPr>
        <w:tc>
          <w:tcPr>
            <w:tcW w:type="dxa" w:w="2381"/>
          </w:tcPr>
          <w:p>
            <w:r/>
            <w:r>
              <w:rPr>
                <w:color w:val="1A1D21"/>
                <w:sz w:val="17"/>
              </w:rPr>
              <w:t>Competitors' financial statements</w:t>
            </w:r>
          </w:p>
        </w:tc>
        <w:tc>
          <w:tcPr>
            <w:tcW w:type="dxa" w:w="6576"/>
          </w:tcPr>
          <w:p>
            <w:r/>
            <w:r>
              <w:rPr>
                <w:color w:val="1A1D21"/>
                <w:sz w:val="17"/>
              </w:rPr>
              <w:t>not sourced for this edition. A competitor multiple built on an unsourced denominator would be a number wearing a decimal point, so the relative lens is built on TMGH's own history instead and the competitor list carries prices only</w:t>
            </w:r>
          </w:p>
        </w:tc>
      </w:tr>
      <w:tr>
        <w:trPr>
          <w:cantSplit/>
        </w:trPr>
        <w:tc>
          <w:tcPr>
            <w:tcW w:type="dxa" w:w="2381"/>
          </w:tcPr>
          <w:p>
            <w:r/>
            <w:r>
              <w:rPr>
                <w:color w:val="1A1D21"/>
                <w:sz w:val="17"/>
              </w:rPr>
              <w:t>Results releases for the first half of 2009 and the second quarter of 2017</w:t>
            </w:r>
          </w:p>
        </w:tc>
        <w:tc>
          <w:tcPr>
            <w:tcW w:type="dxa" w:w="6576"/>
          </w:tcPr>
          <w:p>
            <w:r/>
            <w:r>
              <w:rPr>
                <w:color w:val="1A1D21"/>
                <w:sz w:val="17"/>
              </w:rPr>
              <w:t>linked from the company's own investor-relations page but returning errors; both attempts are logged rather than passed over in silence</w:t>
            </w:r>
          </w:p>
        </w:tc>
      </w:tr>
    </w:tbl>
    <w:p>
      <w:pPr>
        <w:spacing w:after="80"/>
      </w:pPr>
      <w:r>
        <w:rPr>
          <w:b w:val="0"/>
          <w:i w:val="0"/>
          <w:color w:val="1A1D21"/>
          <w:sz w:val="8"/>
        </w:rPr>
      </w:r>
    </w:p>
    <w:p>
      <w:pPr>
        <w:pStyle w:val="Heading1"/>
      </w:pPr>
      <w:r>
        <w:t>Where two sources disagree</w:t>
      </w:r>
    </w:p>
    <w:tbl>
      <w:tblPr>
        <w:tblStyle w:val="TableGrid"/>
        <w:tblW w:type="auto" w:w="0"/>
        <w:jc w:val="center"/>
        <w:tblLayout w:type="fixed"/>
        <w:tblLook w:firstColumn="1" w:firstRow="1" w:lastColumn="0" w:lastRow="0" w:noHBand="0" w:noVBand="1" w:val="04A0"/>
        <w:tblLayout w:type="fixed"/>
      </w:tblPr>
      <w:tblGrid>
        <w:gridCol w:w="1928"/>
        <w:gridCol w:w="4082"/>
        <w:gridCol w:w="3062"/>
      </w:tblGrid>
      <w:tr>
        <w:trPr>
          <w:tblHeader w:val="true"/>
        </w:trPr>
        <w:tc>
          <w:tcPr>
            <w:tcW w:type="dxa" w:w="1928"/>
          </w:tcPr>
          <w:p>
            <w:r/>
            <w:r>
              <w:rPr>
                <w:b/>
                <w:color w:val="5B6570"/>
                <w:sz w:val="17"/>
              </w:rPr>
              <w:t>Figure</w:t>
            </w:r>
          </w:p>
        </w:tc>
        <w:tc>
          <w:tcPr>
            <w:tcW w:type="dxa" w:w="4082"/>
          </w:tcPr>
          <w:p>
            <w:r/>
            <w:r>
              <w:rPr>
                <w:b/>
                <w:color w:val="5B6570"/>
                <w:sz w:val="17"/>
              </w:rPr>
              <w:t>The disagreement</w:t>
            </w:r>
          </w:p>
        </w:tc>
        <w:tc>
          <w:tcPr>
            <w:tcW w:type="dxa" w:w="3061"/>
          </w:tcPr>
          <w:p>
            <w:r/>
            <w:r>
              <w:rPr>
                <w:b/>
                <w:color w:val="5B6570"/>
                <w:sz w:val="17"/>
              </w:rPr>
              <w:t>What this study does</w:t>
            </w:r>
          </w:p>
        </w:tc>
      </w:tr>
      <w:tr>
        <w:trPr>
          <w:cantSplit/>
        </w:trPr>
        <w:tc>
          <w:tcPr>
            <w:tcW w:type="dxa" w:w="1928"/>
          </w:tcPr>
          <w:p>
            <w:r/>
            <w:r>
              <w:rPr>
                <w:color w:val="1A1D21"/>
                <w:sz w:val="17"/>
              </w:rPr>
              <w:t>2024 gross profit, net profit and earnings per share</w:t>
            </w:r>
          </w:p>
        </w:tc>
        <w:tc>
          <w:tcPr>
            <w:tcW w:type="dxa" w:w="4082"/>
          </w:tcPr>
          <w:p>
            <w:r/>
            <w:r>
              <w:rPr>
                <w:color w:val="1A1D21"/>
                <w:sz w:val="17"/>
              </w:rPr>
              <w:t>the 2024 statements report EGP 15,300 million of gross profit and EGP 10,723 million of attributable profit; the 2025 statements restate the same year to EGP 14,002 million and EGP 9,025 million after completing the accounting for the hotel acquisition</w:t>
            </w:r>
          </w:p>
        </w:tc>
        <w:tc>
          <w:tcPr>
            <w:tcW w:type="dxa" w:w="3061"/>
          </w:tcPr>
          <w:p>
            <w:r/>
            <w:r>
              <w:rPr>
                <w:color w:val="1A1D21"/>
                <w:sz w:val="17"/>
              </w:rPr>
              <w:t>uses the figures as first reported for the historical record and shows the restatement beside them; neither is discarded</w:t>
            </w:r>
          </w:p>
        </w:tc>
      </w:tr>
      <w:tr>
        <w:trPr>
          <w:cantSplit/>
        </w:trPr>
        <w:tc>
          <w:tcPr>
            <w:tcW w:type="dxa" w:w="1928"/>
          </w:tcPr>
          <w:p>
            <w:r/>
            <w:r>
              <w:rPr>
                <w:color w:val="1A1D21"/>
                <w:sz w:val="17"/>
              </w:rPr>
              <w:t>2023 new contracted sales</w:t>
            </w:r>
          </w:p>
        </w:tc>
        <w:tc>
          <w:tcPr>
            <w:tcW w:type="dxa" w:w="4082"/>
          </w:tcPr>
          <w:p>
            <w:r/>
            <w:r>
              <w:rPr>
                <w:color w:val="1A1D21"/>
                <w:sz w:val="17"/>
              </w:rPr>
              <w:t>the company reports both a total of EGP 142.8 billion and a core figure of EGP 94.9 billion, the difference being a large non-core land transaction</w:t>
            </w:r>
          </w:p>
        </w:tc>
        <w:tc>
          <w:tcPr>
            <w:tcW w:type="dxa" w:w="3061"/>
          </w:tcPr>
          <w:p>
            <w:r/>
            <w:r>
              <w:rPr>
                <w:color w:val="1A1D21"/>
                <w:sz w:val="17"/>
              </w:rPr>
              <w:t>uses the total, consistently with every other year, and records the core figure beside it</w:t>
            </w:r>
          </w:p>
        </w:tc>
      </w:tr>
      <w:tr>
        <w:trPr>
          <w:cantSplit/>
        </w:trPr>
        <w:tc>
          <w:tcPr>
            <w:tcW w:type="dxa" w:w="1928"/>
          </w:tcPr>
          <w:p>
            <w:r/>
            <w:r>
              <w:rPr>
                <w:color w:val="1A1D21"/>
                <w:sz w:val="17"/>
              </w:rPr>
              <w:t>The discount rate</w:t>
            </w:r>
          </w:p>
        </w:tc>
        <w:tc>
          <w:tcPr>
            <w:tcW w:type="dxa" w:w="4082"/>
          </w:tcPr>
          <w:p>
            <w:r/>
            <w:r>
              <w:rPr>
                <w:color w:val="1A1D21"/>
                <w:sz w:val="17"/>
              </w:rPr>
              <w:t>the method used here gives 31.56%; the price the shares trade at implies 17.6% to 32.3%</w:t>
            </w:r>
          </w:p>
        </w:tc>
        <w:tc>
          <w:tcPr>
            <w:tcW w:type="dxa" w:w="3061"/>
          </w:tcPr>
          <w:p>
            <w:r/>
            <w:r>
              <w:rPr>
                <w:color w:val="1A1D21"/>
                <w:sz w:val="17"/>
              </w:rPr>
              <w:t>publishes both and says plainly that the difference is the disagreement</w:t>
            </w:r>
          </w:p>
        </w:tc>
      </w:tr>
    </w:tbl>
    <w:p>
      <w:pPr>
        <w:spacing w:after="80"/>
      </w:pPr>
      <w:r>
        <w:rPr>
          <w:b w:val="0"/>
          <w:i w:val="0"/>
          <w:color w:val="1A1D21"/>
          <w:sz w:val="8"/>
        </w:rPr>
      </w:r>
    </w:p>
    <w:p>
      <w:pPr>
        <w:pStyle w:val="Heading1"/>
      </w:pPr>
      <w:r>
        <w:t>How these numbers were checked</w:t>
      </w:r>
    </w:p>
    <w:p>
      <w:pPr>
        <w:pStyle w:val="ListBullet"/>
        <w:spacing w:after="60"/>
      </w:pPr>
      <w:r>
        <w:rPr>
          <w:color w:val="1A1D21"/>
          <w:sz w:val="20"/>
        </w:rPr>
        <w:t>Every statement was accepted only if it added up. The segment gross profits were checked against their own revenue and cost lines, their sum against the reported total, and the profit waterfall against the bottom line, for every year used. Where a figure did not add up it was dropped rather than adjusted.</w:t>
      </w:r>
    </w:p>
    <w:p>
      <w:pPr>
        <w:pStyle w:val="ListBullet"/>
        <w:spacing w:after="60"/>
      </w:pPr>
      <w:r>
        <w:rPr>
          <w:color w:val="1A1D21"/>
          <w:sz w:val="20"/>
        </w:rPr>
        <w:t>The 2025 balance sheet and the June 2026 balance sheet were checked to balance to the currency unit.</w:t>
      </w:r>
    </w:p>
    <w:p>
      <w:pPr>
        <w:pStyle w:val="ListBullet"/>
        <w:spacing w:after="60"/>
      </w:pPr>
      <w:r>
        <w:rPr>
          <w:color w:val="1A1D21"/>
          <w:sz w:val="20"/>
        </w:rPr>
        <w:t>Several of the company's older documents survive only as scans. Figures read from those were checked against the same figure quoted in a later document wherever one existed, and three fiscal years were left out of the historical record entirely because their tables could not be read reliably. Nothing was estimated to fill those years.</w:t>
      </w:r>
    </w:p>
    <w:p>
      <w:pPr>
        <w:pStyle w:val="ListBullet"/>
        <w:spacing w:after="60"/>
      </w:pPr>
      <w:r>
        <w:rPr>
          <w:color w:val="1A1D21"/>
          <w:sz w:val="20"/>
        </w:rPr>
        <w:t>The forecasting method was tested against the company's own record before being used on its future, and the results are reported in section 1.6 of the study — including the cases where the method performs worse than assuming last year's figure repeats.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1A1D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b/>
      <w:bCs/>
      <w:color w:val="2E5E4E"/>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bCs/>
      <w:color w:val="1A1D21"/>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b/>
      <w:bCs/>
      <w:color w:val="1A1D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